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C19" w:rsidRPr="00FA3B51" w:rsidRDefault="000B3C19" w:rsidP="005B524E">
      <w:pPr>
        <w:suppressAutoHyphens w:val="0"/>
        <w:ind w:firstLine="0"/>
        <w:jc w:val="center"/>
        <w:rPr>
          <w:b/>
        </w:rPr>
      </w:pPr>
      <w:r w:rsidRPr="00117A43">
        <w:rPr>
          <w:b/>
          <w:sz w:val="32"/>
          <w:szCs w:val="32"/>
        </w:rPr>
        <w:t>MYKOLO ROMERIO UNIVERSITETAS</w:t>
      </w:r>
    </w:p>
    <w:p w:rsidR="000B3C19" w:rsidRPr="00FA3B51" w:rsidRDefault="000B3C19" w:rsidP="005B524E">
      <w:pPr>
        <w:suppressAutoHyphens w:val="0"/>
        <w:ind w:firstLine="0"/>
        <w:jc w:val="center"/>
        <w:rPr>
          <w:b/>
        </w:rPr>
      </w:pPr>
      <w:r w:rsidRPr="00117A43">
        <w:rPr>
          <w:b/>
          <w:sz w:val="28"/>
          <w:szCs w:val="28"/>
        </w:rPr>
        <w:t>SOCIALINĖS INFORMATIKOS FAKULTETAS</w:t>
      </w:r>
    </w:p>
    <w:p w:rsidR="000B3C19" w:rsidRDefault="000B3C19" w:rsidP="005B524E">
      <w:pPr>
        <w:suppressAutoHyphens w:val="0"/>
        <w:ind w:firstLine="0"/>
        <w:jc w:val="center"/>
        <w:rPr>
          <w:b/>
        </w:rPr>
      </w:pPr>
      <w:r w:rsidRPr="00FA3B51">
        <w:rPr>
          <w:b/>
        </w:rPr>
        <w:t>ELEKTRONINIO VERSLO KATEDRA</w:t>
      </w:r>
    </w:p>
    <w:p w:rsidR="000B3C19" w:rsidRDefault="000B3C19" w:rsidP="005B524E">
      <w:pPr>
        <w:suppressAutoHyphens w:val="0"/>
        <w:ind w:firstLine="0"/>
        <w:jc w:val="center"/>
      </w:pPr>
    </w:p>
    <w:p w:rsidR="000B3C19" w:rsidRDefault="000B3C19" w:rsidP="005B524E">
      <w:pPr>
        <w:suppressAutoHyphens w:val="0"/>
        <w:ind w:firstLine="0"/>
        <w:jc w:val="center"/>
      </w:pPr>
    </w:p>
    <w:p w:rsidR="000B3C19" w:rsidRPr="00FA3B51" w:rsidRDefault="000B3C19" w:rsidP="005B524E">
      <w:pPr>
        <w:suppressAutoHyphens w:val="0"/>
        <w:ind w:firstLine="0"/>
        <w:jc w:val="center"/>
        <w:rPr>
          <w:b/>
        </w:rPr>
      </w:pPr>
      <w:r>
        <w:rPr>
          <w:b/>
          <w:sz w:val="32"/>
          <w:szCs w:val="32"/>
        </w:rPr>
        <w:t>IGOR GUBAIDULIN</w:t>
      </w:r>
    </w:p>
    <w:p w:rsidR="000B3C19" w:rsidRDefault="000B3C19" w:rsidP="005B524E">
      <w:pPr>
        <w:suppressAutoHyphens w:val="0"/>
        <w:ind w:firstLine="0"/>
        <w:jc w:val="center"/>
        <w:rPr>
          <w:sz w:val="28"/>
          <w:szCs w:val="28"/>
        </w:rPr>
      </w:pPr>
    </w:p>
    <w:p w:rsidR="00F70EDE" w:rsidRDefault="00F70EDE" w:rsidP="005B524E">
      <w:pPr>
        <w:suppressAutoHyphens w:val="0"/>
        <w:ind w:firstLine="0"/>
        <w:jc w:val="center"/>
        <w:rPr>
          <w:sz w:val="28"/>
          <w:szCs w:val="28"/>
        </w:rPr>
      </w:pPr>
    </w:p>
    <w:p w:rsidR="00F70EDE" w:rsidRDefault="00F70EDE" w:rsidP="005B524E">
      <w:pPr>
        <w:suppressAutoHyphens w:val="0"/>
        <w:ind w:firstLine="0"/>
        <w:jc w:val="center"/>
      </w:pPr>
    </w:p>
    <w:p w:rsidR="000B3C19" w:rsidRDefault="000B3C19" w:rsidP="005B524E">
      <w:pPr>
        <w:suppressAutoHyphens w:val="0"/>
        <w:ind w:firstLine="0"/>
        <w:jc w:val="center"/>
      </w:pPr>
    </w:p>
    <w:p w:rsidR="000B3C19" w:rsidRPr="004E41B4" w:rsidRDefault="000B3C19" w:rsidP="005B524E">
      <w:pPr>
        <w:suppressAutoHyphens w:val="0"/>
        <w:ind w:firstLine="0"/>
        <w:jc w:val="center"/>
      </w:pPr>
      <w:r>
        <w:rPr>
          <w:b/>
          <w:sz w:val="40"/>
          <w:szCs w:val="40"/>
          <w:lang w:val="en-US"/>
        </w:rPr>
        <w:t>VIE</w:t>
      </w:r>
      <w:r>
        <w:rPr>
          <w:b/>
          <w:sz w:val="40"/>
          <w:szCs w:val="40"/>
        </w:rPr>
        <w:t>ŠOJO IR PRIVATAUS SEKTORIŲ PARTNERY</w:t>
      </w:r>
      <w:r>
        <w:rPr>
          <w:b/>
          <w:sz w:val="40"/>
          <w:szCs w:val="40"/>
        </w:rPr>
        <w:t>S</w:t>
      </w:r>
      <w:r>
        <w:rPr>
          <w:b/>
          <w:sz w:val="40"/>
          <w:szCs w:val="40"/>
        </w:rPr>
        <w:t>TĖS GALIMYBĖS LIETUVOS VIRTUALAUS UN</w:t>
      </w:r>
      <w:r>
        <w:rPr>
          <w:b/>
          <w:sz w:val="40"/>
          <w:szCs w:val="40"/>
        </w:rPr>
        <w:t>I</w:t>
      </w:r>
      <w:r>
        <w:rPr>
          <w:b/>
          <w:sz w:val="40"/>
          <w:szCs w:val="40"/>
        </w:rPr>
        <w:t>VERSITETO PROGRAMOJE</w:t>
      </w:r>
    </w:p>
    <w:p w:rsidR="000B3C19" w:rsidRPr="00117A43" w:rsidRDefault="000B3C19" w:rsidP="005B524E">
      <w:pPr>
        <w:suppressAutoHyphens w:val="0"/>
        <w:ind w:firstLine="0"/>
        <w:jc w:val="center"/>
        <w:rPr>
          <w:b/>
        </w:rPr>
      </w:pPr>
      <w:r w:rsidRPr="00117A43">
        <w:rPr>
          <w:b/>
          <w:sz w:val="28"/>
          <w:szCs w:val="28"/>
        </w:rPr>
        <w:t>Magistro baigiamasis darbas</w:t>
      </w:r>
    </w:p>
    <w:p w:rsidR="000B3C19" w:rsidRDefault="000B3C19" w:rsidP="005B524E">
      <w:pPr>
        <w:suppressAutoHyphens w:val="0"/>
        <w:jc w:val="center"/>
      </w:pPr>
    </w:p>
    <w:p w:rsidR="000B3C19" w:rsidRDefault="000B3C19" w:rsidP="005B524E">
      <w:pPr>
        <w:suppressAutoHyphens w:val="0"/>
        <w:jc w:val="center"/>
      </w:pPr>
    </w:p>
    <w:p w:rsidR="000B3C19" w:rsidRDefault="000B3C19" w:rsidP="005B524E">
      <w:pPr>
        <w:suppressAutoHyphens w:val="0"/>
        <w:jc w:val="center"/>
      </w:pPr>
    </w:p>
    <w:p w:rsidR="000B3C19" w:rsidRDefault="000B3C19" w:rsidP="005B524E">
      <w:pPr>
        <w:suppressAutoHyphens w:val="0"/>
        <w:ind w:firstLine="0"/>
      </w:pPr>
    </w:p>
    <w:p w:rsidR="00CD61DA" w:rsidRDefault="00CD61DA" w:rsidP="005B524E">
      <w:pPr>
        <w:suppressAutoHyphens w:val="0"/>
        <w:jc w:val="right"/>
        <w:rPr>
          <w:b/>
          <w:sz w:val="28"/>
          <w:szCs w:val="28"/>
        </w:rPr>
        <w:sectPr w:rsidR="00CD61DA" w:rsidSect="004703F8">
          <w:headerReference w:type="even" r:id="rId8"/>
          <w:headerReference w:type="default" r:id="rId9"/>
          <w:footerReference w:type="even" r:id="rId10"/>
          <w:footerReference w:type="default" r:id="rId11"/>
          <w:footnotePr>
            <w:pos w:val="beneathText"/>
          </w:footnotePr>
          <w:type w:val="continuous"/>
          <w:pgSz w:w="11905" w:h="16837"/>
          <w:pgMar w:top="1134" w:right="567" w:bottom="1134" w:left="1418" w:header="567" w:footer="567" w:gutter="0"/>
          <w:cols w:space="1296"/>
          <w:titlePg/>
          <w:docGrid w:linePitch="360"/>
        </w:sectPr>
      </w:pPr>
    </w:p>
    <w:p w:rsidR="000B3C19" w:rsidRPr="00F70EDE" w:rsidRDefault="00CD61DA" w:rsidP="005B524E">
      <w:pPr>
        <w:suppressAutoHyphens w:val="0"/>
        <w:ind w:firstLine="0"/>
        <w:jc w:val="left"/>
        <w:rPr>
          <w:b/>
          <w:sz w:val="28"/>
          <w:szCs w:val="28"/>
        </w:rPr>
      </w:pPr>
      <w:r>
        <w:rPr>
          <w:b/>
          <w:sz w:val="28"/>
          <w:szCs w:val="28"/>
        </w:rPr>
        <w:lastRenderedPageBreak/>
        <w:br w:type="column"/>
      </w:r>
      <w:r w:rsidR="000C24BF">
        <w:rPr>
          <w:b/>
          <w:sz w:val="28"/>
          <w:szCs w:val="28"/>
        </w:rPr>
        <w:lastRenderedPageBreak/>
        <w:t>V</w:t>
      </w:r>
      <w:r w:rsidR="000B3C19" w:rsidRPr="00F70EDE">
        <w:rPr>
          <w:b/>
          <w:sz w:val="28"/>
          <w:szCs w:val="28"/>
        </w:rPr>
        <w:t>adovė</w:t>
      </w:r>
    </w:p>
    <w:p w:rsidR="000B3C19" w:rsidRPr="00F70EDE" w:rsidRDefault="000B3C19" w:rsidP="005B524E">
      <w:pPr>
        <w:suppressAutoHyphens w:val="0"/>
        <w:ind w:firstLine="0"/>
        <w:jc w:val="left"/>
        <w:rPr>
          <w:b/>
          <w:sz w:val="28"/>
          <w:szCs w:val="28"/>
        </w:rPr>
      </w:pPr>
      <w:r w:rsidRPr="00F70EDE">
        <w:rPr>
          <w:b/>
          <w:sz w:val="28"/>
          <w:szCs w:val="28"/>
        </w:rPr>
        <w:t>lekt. Eglė Malinauskienė</w:t>
      </w:r>
    </w:p>
    <w:p w:rsidR="00CD61DA" w:rsidRDefault="00CD61DA" w:rsidP="005B524E">
      <w:pPr>
        <w:suppressAutoHyphens w:val="0"/>
        <w:jc w:val="center"/>
        <w:rPr>
          <w:sz w:val="28"/>
          <w:szCs w:val="28"/>
        </w:rPr>
        <w:sectPr w:rsidR="00CD61DA" w:rsidSect="00CD61DA">
          <w:footnotePr>
            <w:pos w:val="beneathText"/>
          </w:footnotePr>
          <w:type w:val="continuous"/>
          <w:pgSz w:w="11905" w:h="16837"/>
          <w:pgMar w:top="1134" w:right="567" w:bottom="1134" w:left="1418" w:header="567" w:footer="567" w:gutter="0"/>
          <w:cols w:num="2" w:space="1296"/>
          <w:titlePg/>
          <w:docGrid w:linePitch="360"/>
        </w:sectPr>
      </w:pPr>
    </w:p>
    <w:p w:rsidR="000B3C19" w:rsidRDefault="000B3C19" w:rsidP="005B524E">
      <w:pPr>
        <w:suppressAutoHyphens w:val="0"/>
        <w:jc w:val="center"/>
        <w:rPr>
          <w:sz w:val="28"/>
          <w:szCs w:val="28"/>
        </w:rPr>
      </w:pPr>
    </w:p>
    <w:p w:rsidR="000B3C19" w:rsidRDefault="000B3C19" w:rsidP="005B524E">
      <w:pPr>
        <w:suppressAutoHyphens w:val="0"/>
        <w:jc w:val="center"/>
        <w:rPr>
          <w:sz w:val="28"/>
          <w:szCs w:val="28"/>
        </w:rPr>
      </w:pPr>
    </w:p>
    <w:p w:rsidR="000B3C19" w:rsidRDefault="000B3C19" w:rsidP="005B524E">
      <w:pPr>
        <w:suppressAutoHyphens w:val="0"/>
        <w:jc w:val="center"/>
      </w:pPr>
    </w:p>
    <w:p w:rsidR="000B3C19" w:rsidRDefault="000B3C19" w:rsidP="005B524E">
      <w:pPr>
        <w:suppressAutoHyphens w:val="0"/>
        <w:ind w:firstLine="0"/>
      </w:pPr>
    </w:p>
    <w:p w:rsidR="000B3C19" w:rsidRDefault="000B3C19" w:rsidP="005B524E">
      <w:pPr>
        <w:suppressAutoHyphens w:val="0"/>
        <w:jc w:val="center"/>
      </w:pPr>
    </w:p>
    <w:p w:rsidR="000B3C19" w:rsidRDefault="000B3C19" w:rsidP="005B524E">
      <w:pPr>
        <w:suppressAutoHyphens w:val="0"/>
        <w:jc w:val="center"/>
      </w:pPr>
    </w:p>
    <w:p w:rsidR="000B3C19" w:rsidRDefault="000B3C19" w:rsidP="005B524E">
      <w:pPr>
        <w:suppressAutoHyphens w:val="0"/>
        <w:jc w:val="center"/>
      </w:pPr>
    </w:p>
    <w:p w:rsidR="005C3FBA" w:rsidRDefault="005C3FBA" w:rsidP="005B524E">
      <w:pPr>
        <w:suppressAutoHyphens w:val="0"/>
        <w:jc w:val="center"/>
      </w:pPr>
    </w:p>
    <w:p w:rsidR="005C3FBA" w:rsidRDefault="005C3FBA" w:rsidP="005B524E">
      <w:pPr>
        <w:suppressAutoHyphens w:val="0"/>
        <w:jc w:val="center"/>
      </w:pPr>
    </w:p>
    <w:p w:rsidR="000B3C19" w:rsidRDefault="000B3C19" w:rsidP="005B524E">
      <w:pPr>
        <w:suppressAutoHyphens w:val="0"/>
        <w:jc w:val="center"/>
      </w:pPr>
    </w:p>
    <w:p w:rsidR="003E072D" w:rsidRPr="00F70EDE" w:rsidRDefault="00F70EDE" w:rsidP="005B524E">
      <w:pPr>
        <w:suppressAutoHyphens w:val="0"/>
        <w:ind w:firstLine="0"/>
        <w:jc w:val="center"/>
        <w:rPr>
          <w:b/>
          <w:caps/>
          <w:kern w:val="2"/>
          <w:sz w:val="28"/>
          <w:szCs w:val="28"/>
        </w:rPr>
      </w:pPr>
      <w:r w:rsidRPr="00F70EDE">
        <w:rPr>
          <w:b/>
          <w:caps/>
          <w:kern w:val="2"/>
          <w:sz w:val="28"/>
          <w:szCs w:val="28"/>
        </w:rPr>
        <w:t>VI</w:t>
      </w:r>
      <w:r w:rsidR="000B3C19" w:rsidRPr="00F70EDE">
        <w:rPr>
          <w:b/>
          <w:caps/>
          <w:kern w:val="2"/>
          <w:sz w:val="28"/>
          <w:szCs w:val="28"/>
        </w:rPr>
        <w:t>lnius, 2009</w:t>
      </w:r>
      <w:r w:rsidR="00255C14">
        <w:br w:type="page"/>
      </w:r>
    </w:p>
    <w:p w:rsidR="00F70EDE" w:rsidRPr="00FA3B51" w:rsidRDefault="00F70EDE" w:rsidP="005B524E">
      <w:pPr>
        <w:suppressAutoHyphens w:val="0"/>
        <w:ind w:firstLine="0"/>
        <w:jc w:val="center"/>
        <w:rPr>
          <w:b/>
        </w:rPr>
      </w:pPr>
      <w:r w:rsidRPr="00117A43">
        <w:rPr>
          <w:b/>
          <w:sz w:val="32"/>
          <w:szCs w:val="32"/>
        </w:rPr>
        <w:lastRenderedPageBreak/>
        <w:t>MYKOLO ROMERIO UNIVERSITETAS</w:t>
      </w:r>
    </w:p>
    <w:p w:rsidR="00F70EDE" w:rsidRPr="00FA3B51" w:rsidRDefault="00F70EDE" w:rsidP="005B524E">
      <w:pPr>
        <w:suppressAutoHyphens w:val="0"/>
        <w:ind w:firstLine="0"/>
        <w:jc w:val="center"/>
        <w:rPr>
          <w:b/>
        </w:rPr>
      </w:pPr>
      <w:r w:rsidRPr="00117A43">
        <w:rPr>
          <w:b/>
          <w:sz w:val="28"/>
          <w:szCs w:val="28"/>
        </w:rPr>
        <w:t>SOCIALINĖS INFORMATIKOS FAKULTETAS</w:t>
      </w:r>
    </w:p>
    <w:p w:rsidR="00F70EDE" w:rsidRDefault="00F70EDE" w:rsidP="005B524E">
      <w:pPr>
        <w:suppressAutoHyphens w:val="0"/>
        <w:ind w:firstLine="0"/>
        <w:jc w:val="center"/>
        <w:rPr>
          <w:b/>
        </w:rPr>
      </w:pPr>
      <w:r w:rsidRPr="00FA3B51">
        <w:rPr>
          <w:b/>
        </w:rPr>
        <w:t>ELEKTRONINIO VERSLO KATEDRA</w:t>
      </w:r>
    </w:p>
    <w:p w:rsidR="00F70EDE" w:rsidRDefault="00F70EDE" w:rsidP="005B524E">
      <w:pPr>
        <w:suppressAutoHyphens w:val="0"/>
        <w:ind w:firstLine="0"/>
        <w:jc w:val="center"/>
      </w:pPr>
    </w:p>
    <w:p w:rsidR="00F70EDE" w:rsidRDefault="00F70EDE" w:rsidP="005B524E">
      <w:pPr>
        <w:suppressAutoHyphens w:val="0"/>
        <w:ind w:firstLine="0"/>
        <w:jc w:val="center"/>
      </w:pPr>
    </w:p>
    <w:p w:rsidR="00F70EDE" w:rsidRDefault="00F70EDE" w:rsidP="005B524E">
      <w:pPr>
        <w:suppressAutoHyphens w:val="0"/>
        <w:ind w:firstLine="0"/>
        <w:jc w:val="center"/>
      </w:pPr>
    </w:p>
    <w:p w:rsidR="00F70EDE" w:rsidRDefault="00F70EDE" w:rsidP="005B524E">
      <w:pPr>
        <w:suppressAutoHyphens w:val="0"/>
        <w:ind w:firstLine="0"/>
        <w:jc w:val="center"/>
      </w:pPr>
    </w:p>
    <w:p w:rsidR="00F70EDE" w:rsidRPr="004E41B4" w:rsidRDefault="00F70EDE" w:rsidP="005B524E">
      <w:pPr>
        <w:suppressAutoHyphens w:val="0"/>
        <w:ind w:firstLine="0"/>
        <w:jc w:val="center"/>
      </w:pPr>
      <w:r>
        <w:rPr>
          <w:b/>
          <w:sz w:val="40"/>
          <w:szCs w:val="40"/>
          <w:lang w:val="en-US"/>
        </w:rPr>
        <w:t>VIE</w:t>
      </w:r>
      <w:r>
        <w:rPr>
          <w:b/>
          <w:sz w:val="40"/>
          <w:szCs w:val="40"/>
        </w:rPr>
        <w:t>ŠOJO IR PRIVATAUS SEKTORIŲ PARTNERY</w:t>
      </w:r>
      <w:r>
        <w:rPr>
          <w:b/>
          <w:sz w:val="40"/>
          <w:szCs w:val="40"/>
        </w:rPr>
        <w:t>S</w:t>
      </w:r>
      <w:r>
        <w:rPr>
          <w:b/>
          <w:sz w:val="40"/>
          <w:szCs w:val="40"/>
        </w:rPr>
        <w:t>TĖS GALIMYBĖS LIETUVOS VIRTUALAUS UN</w:t>
      </w:r>
      <w:r>
        <w:rPr>
          <w:b/>
          <w:sz w:val="40"/>
          <w:szCs w:val="40"/>
        </w:rPr>
        <w:t>I</w:t>
      </w:r>
      <w:r>
        <w:rPr>
          <w:b/>
          <w:sz w:val="40"/>
          <w:szCs w:val="40"/>
        </w:rPr>
        <w:t>VERSITETO PROGRAMOJE</w:t>
      </w:r>
    </w:p>
    <w:p w:rsidR="00F70EDE" w:rsidRDefault="0017148B" w:rsidP="005B524E">
      <w:pPr>
        <w:suppressAutoHyphens w:val="0"/>
        <w:ind w:firstLine="0"/>
        <w:jc w:val="center"/>
        <w:rPr>
          <w:b/>
          <w:sz w:val="28"/>
          <w:szCs w:val="28"/>
        </w:rPr>
      </w:pPr>
      <w:r>
        <w:rPr>
          <w:b/>
          <w:sz w:val="28"/>
          <w:szCs w:val="28"/>
        </w:rPr>
        <w:t>Elektroninio verslo vadybos m</w:t>
      </w:r>
      <w:r w:rsidR="00F70EDE" w:rsidRPr="00117A43">
        <w:rPr>
          <w:b/>
          <w:sz w:val="28"/>
          <w:szCs w:val="28"/>
        </w:rPr>
        <w:t>agistro baigiamasis darbas</w:t>
      </w:r>
    </w:p>
    <w:p w:rsidR="0017148B" w:rsidRPr="00117A43" w:rsidRDefault="0017148B" w:rsidP="005B524E">
      <w:pPr>
        <w:suppressAutoHyphens w:val="0"/>
        <w:ind w:firstLine="0"/>
        <w:jc w:val="center"/>
        <w:rPr>
          <w:b/>
        </w:rPr>
      </w:pPr>
      <w:r>
        <w:rPr>
          <w:b/>
          <w:sz w:val="28"/>
          <w:szCs w:val="28"/>
        </w:rPr>
        <w:t xml:space="preserve">Studijų programa </w:t>
      </w:r>
      <w:r w:rsidR="003D432E" w:rsidRPr="003D432E">
        <w:rPr>
          <w:b/>
          <w:sz w:val="28"/>
          <w:szCs w:val="28"/>
        </w:rPr>
        <w:t>62403S124</w:t>
      </w:r>
      <w:r w:rsidR="003D432E" w:rsidRPr="00117A43">
        <w:rPr>
          <w:b/>
        </w:rPr>
        <w:t xml:space="preserve"> </w:t>
      </w:r>
    </w:p>
    <w:p w:rsidR="00F70EDE" w:rsidRDefault="00F70EDE" w:rsidP="005B524E">
      <w:pPr>
        <w:suppressAutoHyphens w:val="0"/>
        <w:jc w:val="center"/>
      </w:pPr>
    </w:p>
    <w:p w:rsidR="00F70EDE" w:rsidRDefault="00F70EDE" w:rsidP="005B524E">
      <w:pPr>
        <w:suppressAutoHyphens w:val="0"/>
        <w:jc w:val="center"/>
      </w:pPr>
    </w:p>
    <w:p w:rsidR="00F70EDE" w:rsidRDefault="00F70EDE" w:rsidP="005B524E">
      <w:pPr>
        <w:suppressAutoHyphens w:val="0"/>
        <w:jc w:val="center"/>
      </w:pPr>
    </w:p>
    <w:p w:rsidR="00F70EDE" w:rsidRDefault="00F70EDE" w:rsidP="005B524E">
      <w:pPr>
        <w:suppressAutoHyphens w:val="0"/>
        <w:ind w:firstLine="0"/>
      </w:pPr>
    </w:p>
    <w:p w:rsidR="00CD61DA" w:rsidRDefault="00CD61DA" w:rsidP="005B524E">
      <w:pPr>
        <w:suppressAutoHyphens w:val="0"/>
        <w:jc w:val="right"/>
        <w:rPr>
          <w:b/>
        </w:rPr>
        <w:sectPr w:rsidR="00CD61DA" w:rsidSect="004703F8">
          <w:footnotePr>
            <w:pos w:val="beneathText"/>
          </w:footnotePr>
          <w:type w:val="continuous"/>
          <w:pgSz w:w="11905" w:h="16837"/>
          <w:pgMar w:top="1134" w:right="567" w:bottom="1134" w:left="1418" w:header="567" w:footer="567" w:gutter="0"/>
          <w:cols w:space="1296"/>
          <w:titlePg/>
          <w:docGrid w:linePitch="360"/>
        </w:sectPr>
      </w:pPr>
    </w:p>
    <w:p w:rsidR="00F70EDE" w:rsidRPr="00866A58" w:rsidRDefault="00CD61DA" w:rsidP="005B524E">
      <w:pPr>
        <w:suppressAutoHyphens w:val="0"/>
        <w:ind w:firstLine="0"/>
        <w:jc w:val="left"/>
        <w:rPr>
          <w:b/>
        </w:rPr>
      </w:pPr>
      <w:r>
        <w:rPr>
          <w:b/>
        </w:rPr>
        <w:lastRenderedPageBreak/>
        <w:br w:type="column"/>
      </w:r>
      <w:r w:rsidR="0017148B">
        <w:rPr>
          <w:b/>
        </w:rPr>
        <w:lastRenderedPageBreak/>
        <w:t>V</w:t>
      </w:r>
      <w:r w:rsidR="00F70EDE" w:rsidRPr="00866A58">
        <w:rPr>
          <w:b/>
        </w:rPr>
        <w:t>adovė</w:t>
      </w:r>
    </w:p>
    <w:p w:rsidR="00F70EDE" w:rsidRDefault="00F70EDE" w:rsidP="005B524E">
      <w:pPr>
        <w:suppressAutoHyphens w:val="0"/>
        <w:ind w:firstLine="709"/>
        <w:jc w:val="left"/>
        <w:rPr>
          <w:b/>
        </w:rPr>
      </w:pPr>
      <w:r w:rsidRPr="00866A58">
        <w:rPr>
          <w:b/>
        </w:rPr>
        <w:t>lekt. Eglė Malinauskienė</w:t>
      </w:r>
    </w:p>
    <w:p w:rsidR="00866A58" w:rsidRPr="00866A58" w:rsidRDefault="00866A58" w:rsidP="005B524E">
      <w:pPr>
        <w:suppressAutoHyphens w:val="0"/>
        <w:jc w:val="left"/>
        <w:rPr>
          <w:lang w:val="en-US"/>
        </w:rPr>
      </w:pPr>
    </w:p>
    <w:p w:rsidR="00CD61DA" w:rsidRDefault="00CD61DA" w:rsidP="005B524E">
      <w:pPr>
        <w:suppressAutoHyphens w:val="0"/>
        <w:jc w:val="right"/>
        <w:rPr>
          <w:b/>
        </w:rPr>
        <w:sectPr w:rsidR="00CD61DA" w:rsidSect="00CD61DA">
          <w:footnotePr>
            <w:pos w:val="beneathText"/>
          </w:footnotePr>
          <w:type w:val="continuous"/>
          <w:pgSz w:w="11905" w:h="16837"/>
          <w:pgMar w:top="1134" w:right="567" w:bottom="1134" w:left="1418" w:header="567" w:footer="567" w:gutter="0"/>
          <w:cols w:num="2" w:space="1296"/>
          <w:titlePg/>
          <w:docGrid w:linePitch="360"/>
        </w:sectPr>
      </w:pPr>
    </w:p>
    <w:p w:rsidR="00866A58" w:rsidRPr="00866A58" w:rsidRDefault="00866A58" w:rsidP="005B524E">
      <w:pPr>
        <w:suppressAutoHyphens w:val="0"/>
        <w:jc w:val="right"/>
        <w:rPr>
          <w:b/>
        </w:rPr>
      </w:pPr>
    </w:p>
    <w:p w:rsidR="00CD61DA" w:rsidRDefault="00CD61DA" w:rsidP="005B524E">
      <w:pPr>
        <w:suppressAutoHyphens w:val="0"/>
        <w:jc w:val="right"/>
        <w:rPr>
          <w:b/>
        </w:rPr>
        <w:sectPr w:rsidR="00CD61DA" w:rsidSect="004703F8">
          <w:footnotePr>
            <w:pos w:val="beneathText"/>
          </w:footnotePr>
          <w:type w:val="continuous"/>
          <w:pgSz w:w="11905" w:h="16837"/>
          <w:pgMar w:top="1134" w:right="567" w:bottom="1134" w:left="1418" w:header="567" w:footer="567" w:gutter="0"/>
          <w:cols w:space="1296"/>
          <w:titlePg/>
          <w:docGrid w:linePitch="360"/>
        </w:sectPr>
      </w:pPr>
    </w:p>
    <w:p w:rsidR="00866A58" w:rsidRPr="00866A58" w:rsidRDefault="00CD61DA" w:rsidP="005B524E">
      <w:pPr>
        <w:suppressAutoHyphens w:val="0"/>
        <w:ind w:firstLine="0"/>
        <w:jc w:val="left"/>
        <w:rPr>
          <w:b/>
        </w:rPr>
      </w:pPr>
      <w:r>
        <w:rPr>
          <w:b/>
        </w:rPr>
        <w:lastRenderedPageBreak/>
        <w:t>Recenzentas</w:t>
      </w:r>
    </w:p>
    <w:p w:rsidR="00CD61DA" w:rsidRPr="00866A58" w:rsidRDefault="00CD61DA" w:rsidP="005B524E">
      <w:pPr>
        <w:suppressAutoHyphens w:val="0"/>
        <w:ind w:firstLine="0"/>
        <w:jc w:val="left"/>
        <w:rPr>
          <w:b/>
        </w:rPr>
      </w:pPr>
      <w:r>
        <w:rPr>
          <w:sz w:val="28"/>
          <w:szCs w:val="28"/>
        </w:rPr>
        <w:br w:type="column"/>
      </w:r>
      <w:r>
        <w:rPr>
          <w:b/>
        </w:rPr>
        <w:lastRenderedPageBreak/>
        <w:t>Atliko</w:t>
      </w:r>
    </w:p>
    <w:p w:rsidR="00CD61DA" w:rsidRDefault="00CD61DA" w:rsidP="005B524E">
      <w:pPr>
        <w:suppressAutoHyphens w:val="0"/>
        <w:ind w:firstLine="0"/>
        <w:jc w:val="left"/>
        <w:rPr>
          <w:b/>
        </w:rPr>
      </w:pPr>
      <w:r w:rsidRPr="00CD61DA">
        <w:rPr>
          <w:b/>
        </w:rPr>
        <w:t xml:space="preserve">EVVmd8-01 gr. </w:t>
      </w:r>
      <w:r>
        <w:rPr>
          <w:b/>
        </w:rPr>
        <w:t>s</w:t>
      </w:r>
      <w:r w:rsidRPr="00CD61DA">
        <w:rPr>
          <w:b/>
        </w:rPr>
        <w:t>tud</w:t>
      </w:r>
      <w:r w:rsidR="00A71759">
        <w:rPr>
          <w:b/>
        </w:rPr>
        <w:t>entas</w:t>
      </w:r>
    </w:p>
    <w:p w:rsidR="00CD61DA" w:rsidRPr="00CD61DA" w:rsidRDefault="00CD61DA" w:rsidP="005B524E">
      <w:pPr>
        <w:suppressAutoHyphens w:val="0"/>
        <w:ind w:firstLine="709"/>
        <w:rPr>
          <w:b/>
        </w:rPr>
      </w:pPr>
      <w:r w:rsidRPr="00CD61DA">
        <w:rPr>
          <w:b/>
        </w:rPr>
        <w:t>Igor Gubaidulin</w:t>
      </w:r>
    </w:p>
    <w:p w:rsidR="00CD61DA" w:rsidRPr="00CD61DA" w:rsidRDefault="00CD61DA" w:rsidP="005B524E">
      <w:pPr>
        <w:suppressAutoHyphens w:val="0"/>
        <w:ind w:firstLine="0"/>
        <w:jc w:val="left"/>
        <w:rPr>
          <w:b/>
          <w:sz w:val="28"/>
          <w:szCs w:val="28"/>
        </w:rPr>
      </w:pPr>
      <w:r w:rsidRPr="00CD61DA">
        <w:rPr>
          <w:b/>
          <w:lang w:val="en-US"/>
        </w:rPr>
        <w:t>2009-12-21</w:t>
      </w:r>
    </w:p>
    <w:p w:rsidR="00CD61DA" w:rsidRDefault="00CD61DA" w:rsidP="005B524E">
      <w:pPr>
        <w:suppressAutoHyphens w:val="0"/>
        <w:jc w:val="center"/>
        <w:rPr>
          <w:sz w:val="28"/>
          <w:szCs w:val="28"/>
        </w:rPr>
        <w:sectPr w:rsidR="00CD61DA" w:rsidSect="00CD61DA">
          <w:footnotePr>
            <w:pos w:val="beneathText"/>
          </w:footnotePr>
          <w:type w:val="continuous"/>
          <w:pgSz w:w="11905" w:h="16837"/>
          <w:pgMar w:top="1134" w:right="567" w:bottom="1134" w:left="1418" w:header="567" w:footer="567" w:gutter="0"/>
          <w:cols w:num="2" w:space="1296"/>
          <w:titlePg/>
          <w:docGrid w:linePitch="360"/>
        </w:sectPr>
      </w:pPr>
    </w:p>
    <w:p w:rsidR="00F70EDE" w:rsidRDefault="00F70EDE" w:rsidP="005B524E">
      <w:pPr>
        <w:suppressAutoHyphens w:val="0"/>
        <w:jc w:val="center"/>
        <w:rPr>
          <w:sz w:val="28"/>
          <w:szCs w:val="28"/>
        </w:rPr>
      </w:pPr>
    </w:p>
    <w:p w:rsidR="00F70EDE" w:rsidRDefault="00F70EDE" w:rsidP="005B524E">
      <w:pPr>
        <w:suppressAutoHyphens w:val="0"/>
        <w:jc w:val="center"/>
      </w:pPr>
    </w:p>
    <w:p w:rsidR="00F70EDE" w:rsidRDefault="00F70EDE" w:rsidP="005B524E">
      <w:pPr>
        <w:suppressAutoHyphens w:val="0"/>
        <w:ind w:firstLine="0"/>
      </w:pPr>
    </w:p>
    <w:p w:rsidR="00F70EDE" w:rsidRDefault="00F70EDE" w:rsidP="005B524E">
      <w:pPr>
        <w:suppressAutoHyphens w:val="0"/>
        <w:jc w:val="center"/>
      </w:pPr>
    </w:p>
    <w:p w:rsidR="005C3FBA" w:rsidRDefault="005C3FBA" w:rsidP="005B524E">
      <w:pPr>
        <w:suppressAutoHyphens w:val="0"/>
        <w:jc w:val="center"/>
      </w:pPr>
    </w:p>
    <w:p w:rsidR="00F70EDE" w:rsidRDefault="00F70EDE" w:rsidP="005B524E">
      <w:pPr>
        <w:suppressAutoHyphens w:val="0"/>
        <w:ind w:firstLine="0"/>
      </w:pPr>
    </w:p>
    <w:p w:rsidR="00F70EDE" w:rsidRPr="00CD61DA" w:rsidRDefault="00F70EDE" w:rsidP="005B524E">
      <w:pPr>
        <w:suppressAutoHyphens w:val="0"/>
        <w:ind w:firstLine="0"/>
        <w:jc w:val="center"/>
        <w:rPr>
          <w:b/>
          <w:caps/>
          <w:kern w:val="28"/>
          <w:sz w:val="28"/>
          <w:szCs w:val="28"/>
        </w:rPr>
      </w:pPr>
      <w:r w:rsidRPr="00CD61DA">
        <w:rPr>
          <w:b/>
          <w:caps/>
          <w:kern w:val="28"/>
          <w:sz w:val="28"/>
          <w:szCs w:val="28"/>
        </w:rPr>
        <w:t>Vilnius, 2009</w:t>
      </w:r>
      <w:r w:rsidRPr="00CD61DA">
        <w:rPr>
          <w:b/>
          <w:caps/>
          <w:kern w:val="28"/>
          <w:sz w:val="28"/>
          <w:szCs w:val="28"/>
        </w:rPr>
        <w:br w:type="page"/>
      </w:r>
    </w:p>
    <w:sdt>
      <w:sdtPr>
        <w:id w:val="7458391"/>
        <w:docPartObj>
          <w:docPartGallery w:val="Table of Contents"/>
          <w:docPartUnique/>
        </w:docPartObj>
      </w:sdtPr>
      <w:sdtContent>
        <w:p w:rsidR="003E072D" w:rsidRPr="003E072D" w:rsidRDefault="003E072D" w:rsidP="005B524E">
          <w:pPr>
            <w:suppressAutoHyphens w:val="0"/>
            <w:spacing w:after="100" w:afterAutospacing="1"/>
            <w:ind w:firstLine="0"/>
            <w:jc w:val="center"/>
            <w:rPr>
              <w:b/>
              <w:sz w:val="32"/>
            </w:rPr>
          </w:pPr>
          <w:r w:rsidRPr="003C4E50">
            <w:rPr>
              <w:b/>
              <w:caps/>
              <w:kern w:val="40"/>
              <w:sz w:val="32"/>
              <w:szCs w:val="32"/>
            </w:rPr>
            <w:t>Turinys</w:t>
          </w:r>
        </w:p>
        <w:p w:rsidR="00272E7B" w:rsidRDefault="009A186D">
          <w:pPr>
            <w:pStyle w:val="TOC1"/>
            <w:tabs>
              <w:tab w:val="left" w:pos="1132"/>
            </w:tabs>
            <w:rPr>
              <w:rFonts w:asciiTheme="minorHAnsi" w:eastAsiaTheme="minorEastAsia" w:hAnsiTheme="minorHAnsi" w:cstheme="minorBidi"/>
              <w:caps w:val="0"/>
              <w:noProof/>
              <w:kern w:val="0"/>
              <w:sz w:val="22"/>
              <w:szCs w:val="22"/>
              <w:lang w:val="en-US"/>
            </w:rPr>
          </w:pPr>
          <w:r w:rsidRPr="009A186D">
            <w:fldChar w:fldCharType="begin"/>
          </w:r>
          <w:r w:rsidR="003E072D">
            <w:instrText xml:space="preserve"> TOC \o "1-3" \h \z \u </w:instrText>
          </w:r>
          <w:r w:rsidRPr="009A186D">
            <w:fldChar w:fldCharType="separate"/>
          </w:r>
          <w:hyperlink w:anchor="_Toc251011245" w:history="1">
            <w:r w:rsidR="00272E7B" w:rsidRPr="005464AA">
              <w:rPr>
                <w:rStyle w:val="Hyperlink"/>
                <w:noProof/>
              </w:rPr>
              <w:t>1.</w:t>
            </w:r>
            <w:r w:rsidR="00272E7B">
              <w:rPr>
                <w:rFonts w:asciiTheme="minorHAnsi" w:eastAsiaTheme="minorEastAsia" w:hAnsiTheme="minorHAnsi" w:cstheme="minorBidi"/>
                <w:caps w:val="0"/>
                <w:noProof/>
                <w:kern w:val="0"/>
                <w:sz w:val="22"/>
                <w:szCs w:val="22"/>
                <w:lang w:val="en-US"/>
              </w:rPr>
              <w:tab/>
            </w:r>
            <w:r w:rsidR="00272E7B" w:rsidRPr="005464AA">
              <w:rPr>
                <w:rStyle w:val="Hyperlink"/>
                <w:noProof/>
              </w:rPr>
              <w:t>Viešojo ir privataus sektorių partnerystės vaidmuo šiuolaikiniame švietime ir moksle</w:t>
            </w:r>
            <w:r w:rsidR="00272E7B">
              <w:rPr>
                <w:noProof/>
                <w:webHidden/>
              </w:rPr>
              <w:tab/>
            </w:r>
            <w:r w:rsidR="00272E7B">
              <w:rPr>
                <w:noProof/>
                <w:webHidden/>
              </w:rPr>
              <w:fldChar w:fldCharType="begin"/>
            </w:r>
            <w:r w:rsidR="00272E7B">
              <w:rPr>
                <w:noProof/>
                <w:webHidden/>
              </w:rPr>
              <w:instrText xml:space="preserve"> PAGEREF _Toc251011245 \h </w:instrText>
            </w:r>
            <w:r w:rsidR="00272E7B">
              <w:rPr>
                <w:noProof/>
                <w:webHidden/>
              </w:rPr>
            </w:r>
            <w:r w:rsidR="00272E7B">
              <w:rPr>
                <w:noProof/>
                <w:webHidden/>
              </w:rPr>
              <w:fldChar w:fldCharType="separate"/>
            </w:r>
            <w:r w:rsidR="00AE4701">
              <w:rPr>
                <w:noProof/>
                <w:webHidden/>
              </w:rPr>
              <w:t>11</w:t>
            </w:r>
            <w:r w:rsidR="00272E7B">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46" w:history="1">
            <w:r w:rsidRPr="005464AA">
              <w:rPr>
                <w:rStyle w:val="Hyperlink"/>
                <w:noProof/>
                <w:lang w:eastAsia="ar-SA"/>
              </w:rPr>
              <w:t>1.1</w:t>
            </w:r>
            <w:r>
              <w:rPr>
                <w:rFonts w:asciiTheme="minorHAnsi" w:eastAsiaTheme="minorEastAsia" w:hAnsiTheme="minorHAnsi" w:cstheme="minorBidi"/>
                <w:noProof/>
                <w:kern w:val="0"/>
                <w:sz w:val="22"/>
                <w:szCs w:val="22"/>
                <w:lang w:val="en-US"/>
              </w:rPr>
              <w:tab/>
            </w:r>
            <w:r w:rsidRPr="005464AA">
              <w:rPr>
                <w:rStyle w:val="Hyperlink"/>
                <w:noProof/>
                <w:lang w:eastAsia="ar-SA"/>
              </w:rPr>
              <w:t>Viešojo ir privataus sektorių partnerystės samprata ir apžvalga</w:t>
            </w:r>
            <w:r>
              <w:rPr>
                <w:noProof/>
                <w:webHidden/>
              </w:rPr>
              <w:tab/>
            </w:r>
            <w:r>
              <w:rPr>
                <w:noProof/>
                <w:webHidden/>
              </w:rPr>
              <w:fldChar w:fldCharType="begin"/>
            </w:r>
            <w:r>
              <w:rPr>
                <w:noProof/>
                <w:webHidden/>
              </w:rPr>
              <w:instrText xml:space="preserve"> PAGEREF _Toc251011246 \h </w:instrText>
            </w:r>
            <w:r>
              <w:rPr>
                <w:noProof/>
                <w:webHidden/>
              </w:rPr>
            </w:r>
            <w:r>
              <w:rPr>
                <w:noProof/>
                <w:webHidden/>
              </w:rPr>
              <w:fldChar w:fldCharType="separate"/>
            </w:r>
            <w:r w:rsidR="00AE4701">
              <w:rPr>
                <w:noProof/>
                <w:webHidden/>
              </w:rPr>
              <w:t>11</w:t>
            </w:r>
            <w:r>
              <w:rPr>
                <w:noProof/>
                <w:webHidden/>
              </w:rPr>
              <w:fldChar w:fldCharType="end"/>
            </w:r>
          </w:hyperlink>
        </w:p>
        <w:p w:rsidR="00272E7B" w:rsidRDefault="00272E7B">
          <w:pPr>
            <w:pStyle w:val="TOC3"/>
            <w:tabs>
              <w:tab w:val="left" w:pos="1981"/>
            </w:tabs>
            <w:rPr>
              <w:rFonts w:asciiTheme="minorHAnsi" w:eastAsiaTheme="minorEastAsia" w:hAnsiTheme="minorHAnsi" w:cstheme="minorBidi"/>
              <w:noProof/>
              <w:kern w:val="0"/>
              <w:sz w:val="22"/>
              <w:szCs w:val="22"/>
              <w:lang w:val="en-US"/>
            </w:rPr>
          </w:pPr>
          <w:hyperlink w:anchor="_Toc251011247" w:history="1">
            <w:r w:rsidRPr="005464AA">
              <w:rPr>
                <w:rStyle w:val="Hyperlink"/>
                <w:noProof/>
              </w:rPr>
              <w:t>1.1.1</w:t>
            </w:r>
            <w:r>
              <w:rPr>
                <w:rFonts w:asciiTheme="minorHAnsi" w:eastAsiaTheme="minorEastAsia" w:hAnsiTheme="minorHAnsi" w:cstheme="minorBidi"/>
                <w:noProof/>
                <w:kern w:val="0"/>
                <w:sz w:val="22"/>
                <w:szCs w:val="22"/>
                <w:lang w:val="en-US"/>
              </w:rPr>
              <w:tab/>
            </w:r>
            <w:r w:rsidRPr="005464AA">
              <w:rPr>
                <w:rStyle w:val="Hyperlink"/>
                <w:noProof/>
              </w:rPr>
              <w:t>Viešojo ir privataus sektorių partnerystės samprata</w:t>
            </w:r>
            <w:r>
              <w:rPr>
                <w:noProof/>
                <w:webHidden/>
              </w:rPr>
              <w:tab/>
            </w:r>
            <w:r>
              <w:rPr>
                <w:noProof/>
                <w:webHidden/>
              </w:rPr>
              <w:fldChar w:fldCharType="begin"/>
            </w:r>
            <w:r>
              <w:rPr>
                <w:noProof/>
                <w:webHidden/>
              </w:rPr>
              <w:instrText xml:space="preserve"> PAGEREF _Toc251011247 \h </w:instrText>
            </w:r>
            <w:r>
              <w:rPr>
                <w:noProof/>
                <w:webHidden/>
              </w:rPr>
            </w:r>
            <w:r>
              <w:rPr>
                <w:noProof/>
                <w:webHidden/>
              </w:rPr>
              <w:fldChar w:fldCharType="separate"/>
            </w:r>
            <w:r w:rsidR="00AE4701">
              <w:rPr>
                <w:noProof/>
                <w:webHidden/>
              </w:rPr>
              <w:t>11</w:t>
            </w:r>
            <w:r>
              <w:rPr>
                <w:noProof/>
                <w:webHidden/>
              </w:rPr>
              <w:fldChar w:fldCharType="end"/>
            </w:r>
          </w:hyperlink>
        </w:p>
        <w:p w:rsidR="00272E7B" w:rsidRDefault="00272E7B">
          <w:pPr>
            <w:pStyle w:val="TOC3"/>
            <w:tabs>
              <w:tab w:val="left" w:pos="1981"/>
            </w:tabs>
            <w:rPr>
              <w:rFonts w:asciiTheme="minorHAnsi" w:eastAsiaTheme="minorEastAsia" w:hAnsiTheme="minorHAnsi" w:cstheme="minorBidi"/>
              <w:noProof/>
              <w:kern w:val="0"/>
              <w:sz w:val="22"/>
              <w:szCs w:val="22"/>
              <w:lang w:val="en-US"/>
            </w:rPr>
          </w:pPr>
          <w:hyperlink w:anchor="_Toc251011248" w:history="1">
            <w:r w:rsidRPr="005464AA">
              <w:rPr>
                <w:rStyle w:val="Hyperlink"/>
                <w:noProof/>
              </w:rPr>
              <w:t>1.1.2</w:t>
            </w:r>
            <w:r>
              <w:rPr>
                <w:rFonts w:asciiTheme="minorHAnsi" w:eastAsiaTheme="minorEastAsia" w:hAnsiTheme="minorHAnsi" w:cstheme="minorBidi"/>
                <w:noProof/>
                <w:kern w:val="0"/>
                <w:sz w:val="22"/>
                <w:szCs w:val="22"/>
                <w:lang w:val="en-US"/>
              </w:rPr>
              <w:tab/>
            </w:r>
            <w:r w:rsidRPr="005464AA">
              <w:rPr>
                <w:rStyle w:val="Hyperlink"/>
                <w:noProof/>
              </w:rPr>
              <w:t>Viešojo ir privataus sektorių partnerystės apžvalga švietimo ir mokslo sferoje</w:t>
            </w:r>
            <w:r>
              <w:rPr>
                <w:noProof/>
                <w:webHidden/>
              </w:rPr>
              <w:tab/>
            </w:r>
            <w:r>
              <w:rPr>
                <w:noProof/>
                <w:webHidden/>
              </w:rPr>
              <w:fldChar w:fldCharType="begin"/>
            </w:r>
            <w:r>
              <w:rPr>
                <w:noProof/>
                <w:webHidden/>
              </w:rPr>
              <w:instrText xml:space="preserve"> PAGEREF _Toc251011248 \h </w:instrText>
            </w:r>
            <w:r>
              <w:rPr>
                <w:noProof/>
                <w:webHidden/>
              </w:rPr>
            </w:r>
            <w:r>
              <w:rPr>
                <w:noProof/>
                <w:webHidden/>
              </w:rPr>
              <w:fldChar w:fldCharType="separate"/>
            </w:r>
            <w:r w:rsidR="00AE4701">
              <w:rPr>
                <w:noProof/>
                <w:webHidden/>
              </w:rPr>
              <w:t>14</w:t>
            </w:r>
            <w:r>
              <w:rPr>
                <w:noProof/>
                <w:webHidden/>
              </w:rPr>
              <w:fldChar w:fldCharType="end"/>
            </w:r>
          </w:hyperlink>
        </w:p>
        <w:p w:rsidR="00272E7B" w:rsidRDefault="00272E7B">
          <w:pPr>
            <w:pStyle w:val="TOC3"/>
            <w:tabs>
              <w:tab w:val="left" w:pos="1981"/>
            </w:tabs>
            <w:rPr>
              <w:rFonts w:asciiTheme="minorHAnsi" w:eastAsiaTheme="minorEastAsia" w:hAnsiTheme="minorHAnsi" w:cstheme="minorBidi"/>
              <w:noProof/>
              <w:kern w:val="0"/>
              <w:sz w:val="22"/>
              <w:szCs w:val="22"/>
              <w:lang w:val="en-US"/>
            </w:rPr>
          </w:pPr>
          <w:hyperlink w:anchor="_Toc251011249" w:history="1">
            <w:r w:rsidRPr="005464AA">
              <w:rPr>
                <w:rStyle w:val="Hyperlink"/>
                <w:noProof/>
              </w:rPr>
              <w:t>1.1.3</w:t>
            </w:r>
            <w:r>
              <w:rPr>
                <w:rFonts w:asciiTheme="minorHAnsi" w:eastAsiaTheme="minorEastAsia" w:hAnsiTheme="minorHAnsi" w:cstheme="minorBidi"/>
                <w:noProof/>
                <w:kern w:val="0"/>
                <w:sz w:val="22"/>
                <w:szCs w:val="22"/>
                <w:lang w:val="en-US"/>
              </w:rPr>
              <w:tab/>
            </w:r>
            <w:r w:rsidRPr="005464AA">
              <w:rPr>
                <w:rStyle w:val="Hyperlink"/>
                <w:noProof/>
              </w:rPr>
              <w:t xml:space="preserve">Viešojo ir privataus sektorių partnerystės klasifikacija švietimo ir mokslo </w:t>
            </w:r>
            <w:r w:rsidR="00E87089">
              <w:rPr>
                <w:rStyle w:val="Hyperlink"/>
                <w:noProof/>
              </w:rPr>
              <w:br/>
            </w:r>
            <w:r w:rsidRPr="005464AA">
              <w:rPr>
                <w:rStyle w:val="Hyperlink"/>
                <w:noProof/>
              </w:rPr>
              <w:t>sferoje</w:t>
            </w:r>
            <w:r>
              <w:rPr>
                <w:noProof/>
                <w:webHidden/>
              </w:rPr>
              <w:tab/>
            </w:r>
            <w:r>
              <w:rPr>
                <w:noProof/>
                <w:webHidden/>
              </w:rPr>
              <w:tab/>
            </w:r>
            <w:r>
              <w:rPr>
                <w:noProof/>
                <w:webHidden/>
              </w:rPr>
              <w:fldChar w:fldCharType="begin"/>
            </w:r>
            <w:r>
              <w:rPr>
                <w:noProof/>
                <w:webHidden/>
              </w:rPr>
              <w:instrText xml:space="preserve"> PAGEREF _Toc251011249 \h </w:instrText>
            </w:r>
            <w:r>
              <w:rPr>
                <w:noProof/>
                <w:webHidden/>
              </w:rPr>
            </w:r>
            <w:r>
              <w:rPr>
                <w:noProof/>
                <w:webHidden/>
              </w:rPr>
              <w:fldChar w:fldCharType="separate"/>
            </w:r>
            <w:r w:rsidR="00AE4701">
              <w:rPr>
                <w:noProof/>
                <w:webHidden/>
              </w:rPr>
              <w:t>15</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50" w:history="1">
            <w:r w:rsidRPr="005464AA">
              <w:rPr>
                <w:rStyle w:val="Hyperlink"/>
                <w:noProof/>
                <w:lang w:eastAsia="lt-LT"/>
              </w:rPr>
              <w:t>1.2</w:t>
            </w:r>
            <w:r>
              <w:rPr>
                <w:rFonts w:asciiTheme="minorHAnsi" w:eastAsiaTheme="minorEastAsia" w:hAnsiTheme="minorHAnsi" w:cstheme="minorBidi"/>
                <w:noProof/>
                <w:kern w:val="0"/>
                <w:sz w:val="22"/>
                <w:szCs w:val="22"/>
                <w:lang w:val="en-US"/>
              </w:rPr>
              <w:tab/>
            </w:r>
            <w:r w:rsidRPr="005464AA">
              <w:rPr>
                <w:rStyle w:val="Hyperlink"/>
                <w:noProof/>
                <w:lang w:eastAsia="lt-LT"/>
              </w:rPr>
              <w:t>Viešojo ir privataus sektorių partnerystės formos</w:t>
            </w:r>
            <w:r>
              <w:rPr>
                <w:noProof/>
                <w:webHidden/>
              </w:rPr>
              <w:tab/>
            </w:r>
            <w:r>
              <w:rPr>
                <w:noProof/>
                <w:webHidden/>
              </w:rPr>
              <w:fldChar w:fldCharType="begin"/>
            </w:r>
            <w:r>
              <w:rPr>
                <w:noProof/>
                <w:webHidden/>
              </w:rPr>
              <w:instrText xml:space="preserve"> PAGEREF _Toc251011250 \h </w:instrText>
            </w:r>
            <w:r>
              <w:rPr>
                <w:noProof/>
                <w:webHidden/>
              </w:rPr>
            </w:r>
            <w:r>
              <w:rPr>
                <w:noProof/>
                <w:webHidden/>
              </w:rPr>
              <w:fldChar w:fldCharType="separate"/>
            </w:r>
            <w:r w:rsidR="00AE4701">
              <w:rPr>
                <w:noProof/>
                <w:webHidden/>
              </w:rPr>
              <w:t>17</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51" w:history="1">
            <w:r w:rsidRPr="005464AA">
              <w:rPr>
                <w:rStyle w:val="Hyperlink"/>
                <w:noProof/>
                <w:kern w:val="24"/>
              </w:rPr>
              <w:t>1.3</w:t>
            </w:r>
            <w:r>
              <w:rPr>
                <w:rFonts w:asciiTheme="minorHAnsi" w:eastAsiaTheme="minorEastAsia" w:hAnsiTheme="minorHAnsi" w:cstheme="minorBidi"/>
                <w:noProof/>
                <w:kern w:val="0"/>
                <w:sz w:val="22"/>
                <w:szCs w:val="22"/>
                <w:lang w:val="en-US"/>
              </w:rPr>
              <w:tab/>
            </w:r>
            <w:r w:rsidRPr="005464AA">
              <w:rPr>
                <w:rStyle w:val="Hyperlink"/>
                <w:noProof/>
                <w:kern w:val="24"/>
              </w:rPr>
              <w:t>Viešojo ir privataus sektorių partnerystės sutartis</w:t>
            </w:r>
            <w:r>
              <w:rPr>
                <w:noProof/>
                <w:webHidden/>
              </w:rPr>
              <w:tab/>
            </w:r>
            <w:r>
              <w:rPr>
                <w:noProof/>
                <w:webHidden/>
              </w:rPr>
              <w:fldChar w:fldCharType="begin"/>
            </w:r>
            <w:r>
              <w:rPr>
                <w:noProof/>
                <w:webHidden/>
              </w:rPr>
              <w:instrText xml:space="preserve"> PAGEREF _Toc251011251 \h </w:instrText>
            </w:r>
            <w:r>
              <w:rPr>
                <w:noProof/>
                <w:webHidden/>
              </w:rPr>
            </w:r>
            <w:r>
              <w:rPr>
                <w:noProof/>
                <w:webHidden/>
              </w:rPr>
              <w:fldChar w:fldCharType="separate"/>
            </w:r>
            <w:r w:rsidR="00AE4701">
              <w:rPr>
                <w:noProof/>
                <w:webHidden/>
              </w:rPr>
              <w:t>19</w:t>
            </w:r>
            <w:r>
              <w:rPr>
                <w:noProof/>
                <w:webHidden/>
              </w:rPr>
              <w:fldChar w:fldCharType="end"/>
            </w:r>
          </w:hyperlink>
        </w:p>
        <w:p w:rsidR="00272E7B" w:rsidRDefault="00272E7B">
          <w:pPr>
            <w:pStyle w:val="TOC3"/>
            <w:tabs>
              <w:tab w:val="left" w:pos="1981"/>
            </w:tabs>
            <w:rPr>
              <w:rFonts w:asciiTheme="minorHAnsi" w:eastAsiaTheme="minorEastAsia" w:hAnsiTheme="minorHAnsi" w:cstheme="minorBidi"/>
              <w:noProof/>
              <w:kern w:val="0"/>
              <w:sz w:val="22"/>
              <w:szCs w:val="22"/>
              <w:lang w:val="en-US"/>
            </w:rPr>
          </w:pPr>
          <w:hyperlink w:anchor="_Toc251011252" w:history="1">
            <w:r w:rsidRPr="005464AA">
              <w:rPr>
                <w:rStyle w:val="Hyperlink"/>
                <w:noProof/>
              </w:rPr>
              <w:t>1.3.1</w:t>
            </w:r>
            <w:r>
              <w:rPr>
                <w:rFonts w:asciiTheme="minorHAnsi" w:eastAsiaTheme="minorEastAsia" w:hAnsiTheme="minorHAnsi" w:cstheme="minorBidi"/>
                <w:noProof/>
                <w:kern w:val="0"/>
                <w:sz w:val="22"/>
                <w:szCs w:val="22"/>
                <w:lang w:val="en-US"/>
              </w:rPr>
              <w:tab/>
            </w:r>
            <w:r w:rsidRPr="005464AA">
              <w:rPr>
                <w:rStyle w:val="Hyperlink"/>
                <w:noProof/>
              </w:rPr>
              <w:t>Viešojo ir privataus sektorių partnerystės sutarčių samprata</w:t>
            </w:r>
            <w:r>
              <w:rPr>
                <w:noProof/>
                <w:webHidden/>
              </w:rPr>
              <w:tab/>
            </w:r>
            <w:r>
              <w:rPr>
                <w:noProof/>
                <w:webHidden/>
              </w:rPr>
              <w:fldChar w:fldCharType="begin"/>
            </w:r>
            <w:r>
              <w:rPr>
                <w:noProof/>
                <w:webHidden/>
              </w:rPr>
              <w:instrText xml:space="preserve"> PAGEREF _Toc251011252 \h </w:instrText>
            </w:r>
            <w:r>
              <w:rPr>
                <w:noProof/>
                <w:webHidden/>
              </w:rPr>
            </w:r>
            <w:r>
              <w:rPr>
                <w:noProof/>
                <w:webHidden/>
              </w:rPr>
              <w:fldChar w:fldCharType="separate"/>
            </w:r>
            <w:r w:rsidR="00AE4701">
              <w:rPr>
                <w:noProof/>
                <w:webHidden/>
              </w:rPr>
              <w:t>19</w:t>
            </w:r>
            <w:r>
              <w:rPr>
                <w:noProof/>
                <w:webHidden/>
              </w:rPr>
              <w:fldChar w:fldCharType="end"/>
            </w:r>
          </w:hyperlink>
        </w:p>
        <w:p w:rsidR="00272E7B" w:rsidRDefault="00272E7B">
          <w:pPr>
            <w:pStyle w:val="TOC3"/>
            <w:tabs>
              <w:tab w:val="left" w:pos="1981"/>
            </w:tabs>
            <w:rPr>
              <w:rFonts w:asciiTheme="minorHAnsi" w:eastAsiaTheme="minorEastAsia" w:hAnsiTheme="minorHAnsi" w:cstheme="minorBidi"/>
              <w:noProof/>
              <w:kern w:val="0"/>
              <w:sz w:val="22"/>
              <w:szCs w:val="22"/>
              <w:lang w:val="en-US"/>
            </w:rPr>
          </w:pPr>
          <w:hyperlink w:anchor="_Toc251011253" w:history="1">
            <w:r w:rsidRPr="005464AA">
              <w:rPr>
                <w:rStyle w:val="Hyperlink"/>
                <w:noProof/>
              </w:rPr>
              <w:t>1.3.2</w:t>
            </w:r>
            <w:r>
              <w:rPr>
                <w:rFonts w:asciiTheme="minorHAnsi" w:eastAsiaTheme="minorEastAsia" w:hAnsiTheme="minorHAnsi" w:cstheme="minorBidi"/>
                <w:noProof/>
                <w:kern w:val="0"/>
                <w:sz w:val="22"/>
                <w:szCs w:val="22"/>
                <w:lang w:val="en-US"/>
              </w:rPr>
              <w:tab/>
            </w:r>
            <w:r w:rsidRPr="005464AA">
              <w:rPr>
                <w:rStyle w:val="Hyperlink"/>
                <w:noProof/>
              </w:rPr>
              <w:t>Viešojo ir privataus sektorių partnerystės paslaugų sutartys švietimo ir mokslo sferoje</w:t>
            </w:r>
            <w:r>
              <w:rPr>
                <w:noProof/>
                <w:webHidden/>
              </w:rPr>
              <w:tab/>
            </w:r>
            <w:r>
              <w:rPr>
                <w:noProof/>
                <w:webHidden/>
              </w:rPr>
              <w:tab/>
            </w:r>
            <w:r>
              <w:rPr>
                <w:noProof/>
                <w:webHidden/>
              </w:rPr>
              <w:fldChar w:fldCharType="begin"/>
            </w:r>
            <w:r>
              <w:rPr>
                <w:noProof/>
                <w:webHidden/>
              </w:rPr>
              <w:instrText xml:space="preserve"> PAGEREF _Toc251011253 \h </w:instrText>
            </w:r>
            <w:r>
              <w:rPr>
                <w:noProof/>
                <w:webHidden/>
              </w:rPr>
            </w:r>
            <w:r>
              <w:rPr>
                <w:noProof/>
                <w:webHidden/>
              </w:rPr>
              <w:fldChar w:fldCharType="separate"/>
            </w:r>
            <w:r w:rsidR="00AE4701">
              <w:rPr>
                <w:noProof/>
                <w:webHidden/>
              </w:rPr>
              <w:t>21</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54" w:history="1">
            <w:r w:rsidRPr="005464AA">
              <w:rPr>
                <w:rStyle w:val="Hyperlink"/>
                <w:noProof/>
              </w:rPr>
              <w:t>1.4</w:t>
            </w:r>
            <w:r>
              <w:rPr>
                <w:rFonts w:asciiTheme="minorHAnsi" w:eastAsiaTheme="minorEastAsia" w:hAnsiTheme="minorHAnsi" w:cstheme="minorBidi"/>
                <w:noProof/>
                <w:kern w:val="0"/>
                <w:sz w:val="22"/>
                <w:szCs w:val="22"/>
                <w:lang w:val="en-US"/>
              </w:rPr>
              <w:tab/>
            </w:r>
            <w:r w:rsidRPr="005464AA">
              <w:rPr>
                <w:rStyle w:val="Hyperlink"/>
                <w:noProof/>
              </w:rPr>
              <w:t>Viešojo ir privataus sektorių partnerystė Lietuvoje ir jos poreikis</w:t>
            </w:r>
            <w:r>
              <w:rPr>
                <w:noProof/>
                <w:webHidden/>
              </w:rPr>
              <w:tab/>
            </w:r>
            <w:r>
              <w:rPr>
                <w:noProof/>
                <w:webHidden/>
              </w:rPr>
              <w:fldChar w:fldCharType="begin"/>
            </w:r>
            <w:r>
              <w:rPr>
                <w:noProof/>
                <w:webHidden/>
              </w:rPr>
              <w:instrText xml:space="preserve"> PAGEREF _Toc251011254 \h </w:instrText>
            </w:r>
            <w:r>
              <w:rPr>
                <w:noProof/>
                <w:webHidden/>
              </w:rPr>
            </w:r>
            <w:r>
              <w:rPr>
                <w:noProof/>
                <w:webHidden/>
              </w:rPr>
              <w:fldChar w:fldCharType="separate"/>
            </w:r>
            <w:r w:rsidR="00AE4701">
              <w:rPr>
                <w:noProof/>
                <w:webHidden/>
              </w:rPr>
              <w:t>22</w:t>
            </w:r>
            <w:r>
              <w:rPr>
                <w:noProof/>
                <w:webHidden/>
              </w:rPr>
              <w:fldChar w:fldCharType="end"/>
            </w:r>
          </w:hyperlink>
        </w:p>
        <w:p w:rsidR="00272E7B" w:rsidRDefault="00272E7B">
          <w:pPr>
            <w:pStyle w:val="TOC1"/>
            <w:tabs>
              <w:tab w:val="left" w:pos="1132"/>
            </w:tabs>
            <w:rPr>
              <w:rFonts w:asciiTheme="minorHAnsi" w:eastAsiaTheme="minorEastAsia" w:hAnsiTheme="minorHAnsi" w:cstheme="minorBidi"/>
              <w:caps w:val="0"/>
              <w:noProof/>
              <w:kern w:val="0"/>
              <w:sz w:val="22"/>
              <w:szCs w:val="22"/>
              <w:lang w:val="en-US"/>
            </w:rPr>
          </w:pPr>
          <w:hyperlink w:anchor="_Toc251011255" w:history="1">
            <w:r w:rsidRPr="005464AA">
              <w:rPr>
                <w:rStyle w:val="Hyperlink"/>
                <w:rFonts w:cs="Arial"/>
                <w:noProof/>
              </w:rPr>
              <w:t>2.</w:t>
            </w:r>
            <w:r>
              <w:rPr>
                <w:rFonts w:asciiTheme="minorHAnsi" w:eastAsiaTheme="minorEastAsia" w:hAnsiTheme="minorHAnsi" w:cstheme="minorBidi"/>
                <w:caps w:val="0"/>
                <w:noProof/>
                <w:kern w:val="0"/>
                <w:sz w:val="22"/>
                <w:szCs w:val="22"/>
                <w:lang w:val="en-US"/>
              </w:rPr>
              <w:tab/>
            </w:r>
            <w:r w:rsidRPr="005464AA">
              <w:rPr>
                <w:rStyle w:val="Hyperlink"/>
                <w:rFonts w:cs="Arial"/>
                <w:noProof/>
              </w:rPr>
              <w:t>VIRTUALAUS universiteto samprata, modeliai ir plėtros tendencijos</w:t>
            </w:r>
            <w:r>
              <w:rPr>
                <w:noProof/>
                <w:webHidden/>
              </w:rPr>
              <w:tab/>
            </w:r>
            <w:r>
              <w:rPr>
                <w:noProof/>
                <w:webHidden/>
              </w:rPr>
              <w:fldChar w:fldCharType="begin"/>
            </w:r>
            <w:r>
              <w:rPr>
                <w:noProof/>
                <w:webHidden/>
              </w:rPr>
              <w:instrText xml:space="preserve"> PAGEREF _Toc251011255 \h </w:instrText>
            </w:r>
            <w:r>
              <w:rPr>
                <w:noProof/>
                <w:webHidden/>
              </w:rPr>
            </w:r>
            <w:r>
              <w:rPr>
                <w:noProof/>
                <w:webHidden/>
              </w:rPr>
              <w:fldChar w:fldCharType="separate"/>
            </w:r>
            <w:r w:rsidR="00AE4701">
              <w:rPr>
                <w:noProof/>
                <w:webHidden/>
              </w:rPr>
              <w:t>24</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56" w:history="1">
            <w:r w:rsidRPr="005464AA">
              <w:rPr>
                <w:rStyle w:val="Hyperlink"/>
                <w:noProof/>
                <w:lang w:eastAsia="ar-SA"/>
              </w:rPr>
              <w:t>2.1</w:t>
            </w:r>
            <w:r>
              <w:rPr>
                <w:rFonts w:asciiTheme="minorHAnsi" w:eastAsiaTheme="minorEastAsia" w:hAnsiTheme="minorHAnsi" w:cstheme="minorBidi"/>
                <w:noProof/>
                <w:kern w:val="0"/>
                <w:sz w:val="22"/>
                <w:szCs w:val="22"/>
                <w:lang w:val="en-US"/>
              </w:rPr>
              <w:tab/>
            </w:r>
            <w:r w:rsidRPr="005464AA">
              <w:rPr>
                <w:rStyle w:val="Hyperlink"/>
                <w:noProof/>
                <w:lang w:eastAsia="ar-SA"/>
              </w:rPr>
              <w:t>Virtualaus universiteto samprata ir modeliai</w:t>
            </w:r>
            <w:r>
              <w:rPr>
                <w:noProof/>
                <w:webHidden/>
              </w:rPr>
              <w:tab/>
            </w:r>
            <w:r>
              <w:rPr>
                <w:noProof/>
                <w:webHidden/>
              </w:rPr>
              <w:fldChar w:fldCharType="begin"/>
            </w:r>
            <w:r>
              <w:rPr>
                <w:noProof/>
                <w:webHidden/>
              </w:rPr>
              <w:instrText xml:space="preserve"> PAGEREF _Toc251011256 \h </w:instrText>
            </w:r>
            <w:r>
              <w:rPr>
                <w:noProof/>
                <w:webHidden/>
              </w:rPr>
            </w:r>
            <w:r>
              <w:rPr>
                <w:noProof/>
                <w:webHidden/>
              </w:rPr>
              <w:fldChar w:fldCharType="separate"/>
            </w:r>
            <w:r w:rsidR="00AE4701">
              <w:rPr>
                <w:noProof/>
                <w:webHidden/>
              </w:rPr>
              <w:t>24</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57" w:history="1">
            <w:r w:rsidRPr="005464AA">
              <w:rPr>
                <w:rStyle w:val="Hyperlink"/>
                <w:noProof/>
              </w:rPr>
              <w:t>2.2</w:t>
            </w:r>
            <w:r>
              <w:rPr>
                <w:rFonts w:asciiTheme="minorHAnsi" w:eastAsiaTheme="minorEastAsia" w:hAnsiTheme="minorHAnsi" w:cstheme="minorBidi"/>
                <w:noProof/>
                <w:kern w:val="0"/>
                <w:sz w:val="22"/>
                <w:szCs w:val="22"/>
                <w:lang w:val="en-US"/>
              </w:rPr>
              <w:tab/>
            </w:r>
            <w:r w:rsidRPr="005464AA">
              <w:rPr>
                <w:rStyle w:val="Hyperlink"/>
                <w:noProof/>
              </w:rPr>
              <w:t>Bendrieji virtualaus universiteto modeliai</w:t>
            </w:r>
            <w:r>
              <w:rPr>
                <w:noProof/>
                <w:webHidden/>
              </w:rPr>
              <w:tab/>
            </w:r>
            <w:r>
              <w:rPr>
                <w:noProof/>
                <w:webHidden/>
              </w:rPr>
              <w:fldChar w:fldCharType="begin"/>
            </w:r>
            <w:r>
              <w:rPr>
                <w:noProof/>
                <w:webHidden/>
              </w:rPr>
              <w:instrText xml:space="preserve"> PAGEREF _Toc251011257 \h </w:instrText>
            </w:r>
            <w:r>
              <w:rPr>
                <w:noProof/>
                <w:webHidden/>
              </w:rPr>
            </w:r>
            <w:r>
              <w:rPr>
                <w:noProof/>
                <w:webHidden/>
              </w:rPr>
              <w:fldChar w:fldCharType="separate"/>
            </w:r>
            <w:r w:rsidR="00AE4701">
              <w:rPr>
                <w:noProof/>
                <w:webHidden/>
              </w:rPr>
              <w:t>26</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58" w:history="1">
            <w:r w:rsidRPr="005464AA">
              <w:rPr>
                <w:rStyle w:val="Hyperlink"/>
                <w:noProof/>
              </w:rPr>
              <w:t>2.3</w:t>
            </w:r>
            <w:r>
              <w:rPr>
                <w:rFonts w:asciiTheme="minorHAnsi" w:eastAsiaTheme="minorEastAsia" w:hAnsiTheme="minorHAnsi" w:cstheme="minorBidi"/>
                <w:noProof/>
                <w:kern w:val="0"/>
                <w:sz w:val="22"/>
                <w:szCs w:val="22"/>
                <w:lang w:val="en-US"/>
              </w:rPr>
              <w:tab/>
            </w:r>
            <w:r w:rsidRPr="005464AA">
              <w:rPr>
                <w:rStyle w:val="Hyperlink"/>
                <w:noProof/>
              </w:rPr>
              <w:t>Pasaulinės virtualaus universiteto plėtros praktikos apžvalga</w:t>
            </w:r>
            <w:r>
              <w:rPr>
                <w:noProof/>
                <w:webHidden/>
              </w:rPr>
              <w:tab/>
            </w:r>
            <w:r>
              <w:rPr>
                <w:noProof/>
                <w:webHidden/>
              </w:rPr>
              <w:fldChar w:fldCharType="begin"/>
            </w:r>
            <w:r>
              <w:rPr>
                <w:noProof/>
                <w:webHidden/>
              </w:rPr>
              <w:instrText xml:space="preserve"> PAGEREF _Toc251011258 \h </w:instrText>
            </w:r>
            <w:r>
              <w:rPr>
                <w:noProof/>
                <w:webHidden/>
              </w:rPr>
            </w:r>
            <w:r>
              <w:rPr>
                <w:noProof/>
                <w:webHidden/>
              </w:rPr>
              <w:fldChar w:fldCharType="separate"/>
            </w:r>
            <w:r w:rsidR="00AE4701">
              <w:rPr>
                <w:noProof/>
                <w:webHidden/>
              </w:rPr>
              <w:t>31</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59" w:history="1">
            <w:r w:rsidRPr="005464AA">
              <w:rPr>
                <w:rStyle w:val="Hyperlink"/>
                <w:noProof/>
              </w:rPr>
              <w:t>2.4</w:t>
            </w:r>
            <w:r>
              <w:rPr>
                <w:rFonts w:asciiTheme="minorHAnsi" w:eastAsiaTheme="minorEastAsia" w:hAnsiTheme="minorHAnsi" w:cstheme="minorBidi"/>
                <w:noProof/>
                <w:kern w:val="0"/>
                <w:sz w:val="22"/>
                <w:szCs w:val="22"/>
                <w:lang w:val="en-US"/>
              </w:rPr>
              <w:tab/>
            </w:r>
            <w:r w:rsidRPr="005464AA">
              <w:rPr>
                <w:rStyle w:val="Hyperlink"/>
                <w:noProof/>
              </w:rPr>
              <w:t>Virtualaus universiteto kūrimas Lietuvoje</w:t>
            </w:r>
            <w:r>
              <w:rPr>
                <w:noProof/>
                <w:webHidden/>
              </w:rPr>
              <w:tab/>
            </w:r>
            <w:r>
              <w:rPr>
                <w:noProof/>
                <w:webHidden/>
              </w:rPr>
              <w:fldChar w:fldCharType="begin"/>
            </w:r>
            <w:r>
              <w:rPr>
                <w:noProof/>
                <w:webHidden/>
              </w:rPr>
              <w:instrText xml:space="preserve"> PAGEREF _Toc251011259 \h </w:instrText>
            </w:r>
            <w:r>
              <w:rPr>
                <w:noProof/>
                <w:webHidden/>
              </w:rPr>
            </w:r>
            <w:r>
              <w:rPr>
                <w:noProof/>
                <w:webHidden/>
              </w:rPr>
              <w:fldChar w:fldCharType="separate"/>
            </w:r>
            <w:r w:rsidR="00AE4701">
              <w:rPr>
                <w:noProof/>
                <w:webHidden/>
              </w:rPr>
              <w:t>34</w:t>
            </w:r>
            <w:r>
              <w:rPr>
                <w:noProof/>
                <w:webHidden/>
              </w:rPr>
              <w:fldChar w:fldCharType="end"/>
            </w:r>
          </w:hyperlink>
        </w:p>
        <w:p w:rsidR="00272E7B" w:rsidRDefault="00272E7B">
          <w:pPr>
            <w:pStyle w:val="TOC1"/>
            <w:tabs>
              <w:tab w:val="left" w:pos="1132"/>
            </w:tabs>
            <w:rPr>
              <w:rFonts w:asciiTheme="minorHAnsi" w:eastAsiaTheme="minorEastAsia" w:hAnsiTheme="minorHAnsi" w:cstheme="minorBidi"/>
              <w:caps w:val="0"/>
              <w:noProof/>
              <w:kern w:val="0"/>
              <w:sz w:val="22"/>
              <w:szCs w:val="22"/>
              <w:lang w:val="en-US"/>
            </w:rPr>
          </w:pPr>
          <w:hyperlink w:anchor="_Toc251011260" w:history="1">
            <w:r w:rsidRPr="005464AA">
              <w:rPr>
                <w:rStyle w:val="Hyperlink"/>
                <w:noProof/>
              </w:rPr>
              <w:t>3.</w:t>
            </w:r>
            <w:r>
              <w:rPr>
                <w:rFonts w:asciiTheme="minorHAnsi" w:eastAsiaTheme="minorEastAsia" w:hAnsiTheme="minorHAnsi" w:cstheme="minorBidi"/>
                <w:caps w:val="0"/>
                <w:noProof/>
                <w:kern w:val="0"/>
                <w:sz w:val="22"/>
                <w:szCs w:val="22"/>
                <w:lang w:val="en-US"/>
              </w:rPr>
              <w:tab/>
            </w:r>
            <w:r w:rsidRPr="005464AA">
              <w:rPr>
                <w:rStyle w:val="Hyperlink"/>
                <w:noProof/>
              </w:rPr>
              <w:t>Viešojo ir privataus sektorių partnerystės galimybių ir poreikio vertinimo Lietuvos virtualaus universiteto programoje metodologija</w:t>
            </w:r>
            <w:r>
              <w:rPr>
                <w:noProof/>
                <w:webHidden/>
              </w:rPr>
              <w:tab/>
            </w:r>
            <w:r>
              <w:rPr>
                <w:noProof/>
                <w:webHidden/>
              </w:rPr>
              <w:fldChar w:fldCharType="begin"/>
            </w:r>
            <w:r>
              <w:rPr>
                <w:noProof/>
                <w:webHidden/>
              </w:rPr>
              <w:instrText xml:space="preserve"> PAGEREF _Toc251011260 \h </w:instrText>
            </w:r>
            <w:r>
              <w:rPr>
                <w:noProof/>
                <w:webHidden/>
              </w:rPr>
            </w:r>
            <w:r>
              <w:rPr>
                <w:noProof/>
                <w:webHidden/>
              </w:rPr>
              <w:fldChar w:fldCharType="separate"/>
            </w:r>
            <w:r w:rsidR="00AE4701">
              <w:rPr>
                <w:noProof/>
                <w:webHidden/>
              </w:rPr>
              <w:t>38</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61" w:history="1">
            <w:r w:rsidRPr="005464AA">
              <w:rPr>
                <w:rStyle w:val="Hyperlink"/>
                <w:noProof/>
              </w:rPr>
              <w:t>3.1</w:t>
            </w:r>
            <w:r>
              <w:rPr>
                <w:rFonts w:asciiTheme="minorHAnsi" w:eastAsiaTheme="minorEastAsia" w:hAnsiTheme="minorHAnsi" w:cstheme="minorBidi"/>
                <w:noProof/>
                <w:kern w:val="0"/>
                <w:sz w:val="22"/>
                <w:szCs w:val="22"/>
                <w:lang w:val="en-US"/>
              </w:rPr>
              <w:tab/>
            </w:r>
            <w:r w:rsidRPr="005464AA">
              <w:rPr>
                <w:rStyle w:val="Hyperlink"/>
                <w:noProof/>
              </w:rPr>
              <w:t>Tyrimo metodologija</w:t>
            </w:r>
            <w:r>
              <w:rPr>
                <w:noProof/>
                <w:webHidden/>
              </w:rPr>
              <w:tab/>
            </w:r>
            <w:r>
              <w:rPr>
                <w:noProof/>
                <w:webHidden/>
              </w:rPr>
              <w:fldChar w:fldCharType="begin"/>
            </w:r>
            <w:r>
              <w:rPr>
                <w:noProof/>
                <w:webHidden/>
              </w:rPr>
              <w:instrText xml:space="preserve"> PAGEREF _Toc251011261 \h </w:instrText>
            </w:r>
            <w:r>
              <w:rPr>
                <w:noProof/>
                <w:webHidden/>
              </w:rPr>
            </w:r>
            <w:r>
              <w:rPr>
                <w:noProof/>
                <w:webHidden/>
              </w:rPr>
              <w:fldChar w:fldCharType="separate"/>
            </w:r>
            <w:r w:rsidR="00AE4701">
              <w:rPr>
                <w:noProof/>
                <w:webHidden/>
              </w:rPr>
              <w:t>38</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62" w:history="1">
            <w:r w:rsidRPr="005464AA">
              <w:rPr>
                <w:rStyle w:val="Hyperlink"/>
                <w:noProof/>
              </w:rPr>
              <w:t>3.2</w:t>
            </w:r>
            <w:r>
              <w:rPr>
                <w:rFonts w:asciiTheme="minorHAnsi" w:eastAsiaTheme="minorEastAsia" w:hAnsiTheme="minorHAnsi" w:cstheme="minorBidi"/>
                <w:noProof/>
                <w:kern w:val="0"/>
                <w:sz w:val="22"/>
                <w:szCs w:val="22"/>
                <w:lang w:val="en-US"/>
              </w:rPr>
              <w:tab/>
            </w:r>
            <w:r w:rsidRPr="005464AA">
              <w:rPr>
                <w:rStyle w:val="Hyperlink"/>
                <w:noProof/>
              </w:rPr>
              <w:t>Respondentų charakteristikos</w:t>
            </w:r>
            <w:r>
              <w:rPr>
                <w:noProof/>
                <w:webHidden/>
              </w:rPr>
              <w:tab/>
            </w:r>
            <w:r>
              <w:rPr>
                <w:noProof/>
                <w:webHidden/>
              </w:rPr>
              <w:fldChar w:fldCharType="begin"/>
            </w:r>
            <w:r>
              <w:rPr>
                <w:noProof/>
                <w:webHidden/>
              </w:rPr>
              <w:instrText xml:space="preserve"> PAGEREF _Toc251011262 \h </w:instrText>
            </w:r>
            <w:r>
              <w:rPr>
                <w:noProof/>
                <w:webHidden/>
              </w:rPr>
            </w:r>
            <w:r>
              <w:rPr>
                <w:noProof/>
                <w:webHidden/>
              </w:rPr>
              <w:fldChar w:fldCharType="separate"/>
            </w:r>
            <w:r w:rsidR="00AE4701">
              <w:rPr>
                <w:noProof/>
                <w:webHidden/>
              </w:rPr>
              <w:t>38</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63" w:history="1">
            <w:r w:rsidRPr="005464AA">
              <w:rPr>
                <w:rStyle w:val="Hyperlink"/>
                <w:noProof/>
              </w:rPr>
              <w:t>3.3</w:t>
            </w:r>
            <w:r>
              <w:rPr>
                <w:rFonts w:asciiTheme="minorHAnsi" w:eastAsiaTheme="minorEastAsia" w:hAnsiTheme="minorHAnsi" w:cstheme="minorBidi"/>
                <w:noProof/>
                <w:kern w:val="0"/>
                <w:sz w:val="22"/>
                <w:szCs w:val="22"/>
                <w:lang w:val="en-US"/>
              </w:rPr>
              <w:tab/>
            </w:r>
            <w:r w:rsidRPr="005464AA">
              <w:rPr>
                <w:rStyle w:val="Hyperlink"/>
                <w:noProof/>
              </w:rPr>
              <w:t>Tyrimo eiga</w:t>
            </w:r>
            <w:r>
              <w:rPr>
                <w:noProof/>
                <w:webHidden/>
              </w:rPr>
              <w:tab/>
            </w:r>
            <w:r>
              <w:rPr>
                <w:noProof/>
                <w:webHidden/>
              </w:rPr>
              <w:fldChar w:fldCharType="begin"/>
            </w:r>
            <w:r>
              <w:rPr>
                <w:noProof/>
                <w:webHidden/>
              </w:rPr>
              <w:instrText xml:space="preserve"> PAGEREF _Toc251011263 \h </w:instrText>
            </w:r>
            <w:r>
              <w:rPr>
                <w:noProof/>
                <w:webHidden/>
              </w:rPr>
            </w:r>
            <w:r>
              <w:rPr>
                <w:noProof/>
                <w:webHidden/>
              </w:rPr>
              <w:fldChar w:fldCharType="separate"/>
            </w:r>
            <w:r w:rsidR="00AE4701">
              <w:rPr>
                <w:noProof/>
                <w:webHidden/>
              </w:rPr>
              <w:t>39</w:t>
            </w:r>
            <w:r>
              <w:rPr>
                <w:noProof/>
                <w:webHidden/>
              </w:rPr>
              <w:fldChar w:fldCharType="end"/>
            </w:r>
          </w:hyperlink>
        </w:p>
        <w:p w:rsidR="00272E7B" w:rsidRDefault="00272E7B">
          <w:pPr>
            <w:pStyle w:val="TOC1"/>
            <w:tabs>
              <w:tab w:val="left" w:pos="1132"/>
            </w:tabs>
            <w:rPr>
              <w:rFonts w:asciiTheme="minorHAnsi" w:eastAsiaTheme="minorEastAsia" w:hAnsiTheme="minorHAnsi" w:cstheme="minorBidi"/>
              <w:caps w:val="0"/>
              <w:noProof/>
              <w:kern w:val="0"/>
              <w:sz w:val="22"/>
              <w:szCs w:val="22"/>
              <w:lang w:val="en-US"/>
            </w:rPr>
          </w:pPr>
          <w:hyperlink w:anchor="_Toc251011264" w:history="1">
            <w:r w:rsidRPr="005464AA">
              <w:rPr>
                <w:rStyle w:val="Hyperlink"/>
                <w:noProof/>
              </w:rPr>
              <w:t>4.</w:t>
            </w:r>
            <w:r>
              <w:rPr>
                <w:rFonts w:asciiTheme="minorHAnsi" w:eastAsiaTheme="minorEastAsia" w:hAnsiTheme="minorHAnsi" w:cstheme="minorBidi"/>
                <w:caps w:val="0"/>
                <w:noProof/>
                <w:kern w:val="0"/>
                <w:sz w:val="22"/>
                <w:szCs w:val="22"/>
                <w:lang w:val="en-US"/>
              </w:rPr>
              <w:tab/>
            </w:r>
            <w:r w:rsidRPr="005464AA">
              <w:rPr>
                <w:rStyle w:val="Hyperlink"/>
                <w:noProof/>
              </w:rPr>
              <w:t>Tyrimo rezultatai</w:t>
            </w:r>
            <w:r>
              <w:rPr>
                <w:noProof/>
                <w:webHidden/>
              </w:rPr>
              <w:tab/>
            </w:r>
            <w:r>
              <w:rPr>
                <w:noProof/>
                <w:webHidden/>
              </w:rPr>
              <w:fldChar w:fldCharType="begin"/>
            </w:r>
            <w:r>
              <w:rPr>
                <w:noProof/>
                <w:webHidden/>
              </w:rPr>
              <w:instrText xml:space="preserve"> PAGEREF _Toc251011264 \h </w:instrText>
            </w:r>
            <w:r>
              <w:rPr>
                <w:noProof/>
                <w:webHidden/>
              </w:rPr>
            </w:r>
            <w:r>
              <w:rPr>
                <w:noProof/>
                <w:webHidden/>
              </w:rPr>
              <w:fldChar w:fldCharType="separate"/>
            </w:r>
            <w:r w:rsidR="00AE4701">
              <w:rPr>
                <w:noProof/>
                <w:webHidden/>
              </w:rPr>
              <w:t>41</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65" w:history="1">
            <w:r w:rsidRPr="005464AA">
              <w:rPr>
                <w:rStyle w:val="Hyperlink"/>
                <w:noProof/>
              </w:rPr>
              <w:t>4.1</w:t>
            </w:r>
            <w:r>
              <w:rPr>
                <w:rFonts w:asciiTheme="minorHAnsi" w:eastAsiaTheme="minorEastAsia" w:hAnsiTheme="minorHAnsi" w:cstheme="minorBidi"/>
                <w:noProof/>
                <w:kern w:val="0"/>
                <w:sz w:val="22"/>
                <w:szCs w:val="22"/>
                <w:lang w:val="en-US"/>
              </w:rPr>
              <w:tab/>
            </w:r>
            <w:r w:rsidRPr="005464AA">
              <w:rPr>
                <w:rStyle w:val="Hyperlink"/>
                <w:noProof/>
              </w:rPr>
              <w:t>Požiūris į e. mokymą(si), virtualaus universiteto idėją ir LVU programą</w:t>
            </w:r>
            <w:r>
              <w:rPr>
                <w:noProof/>
                <w:webHidden/>
              </w:rPr>
              <w:tab/>
            </w:r>
            <w:r>
              <w:rPr>
                <w:noProof/>
                <w:webHidden/>
              </w:rPr>
              <w:fldChar w:fldCharType="begin"/>
            </w:r>
            <w:r>
              <w:rPr>
                <w:noProof/>
                <w:webHidden/>
              </w:rPr>
              <w:instrText xml:space="preserve"> PAGEREF _Toc251011265 \h </w:instrText>
            </w:r>
            <w:r>
              <w:rPr>
                <w:noProof/>
                <w:webHidden/>
              </w:rPr>
            </w:r>
            <w:r>
              <w:rPr>
                <w:noProof/>
                <w:webHidden/>
              </w:rPr>
              <w:fldChar w:fldCharType="separate"/>
            </w:r>
            <w:r w:rsidR="00AE4701">
              <w:rPr>
                <w:noProof/>
                <w:webHidden/>
              </w:rPr>
              <w:t>41</w:t>
            </w:r>
            <w:r>
              <w:rPr>
                <w:noProof/>
                <w:webHidden/>
              </w:rPr>
              <w:fldChar w:fldCharType="end"/>
            </w:r>
          </w:hyperlink>
        </w:p>
        <w:p w:rsidR="00272E7B" w:rsidRDefault="00272E7B">
          <w:pPr>
            <w:pStyle w:val="TOC3"/>
            <w:tabs>
              <w:tab w:val="left" w:pos="1981"/>
            </w:tabs>
            <w:rPr>
              <w:rFonts w:asciiTheme="minorHAnsi" w:eastAsiaTheme="minorEastAsia" w:hAnsiTheme="minorHAnsi" w:cstheme="minorBidi"/>
              <w:noProof/>
              <w:kern w:val="0"/>
              <w:sz w:val="22"/>
              <w:szCs w:val="22"/>
              <w:lang w:val="en-US"/>
            </w:rPr>
          </w:pPr>
          <w:hyperlink w:anchor="_Toc251011266" w:history="1">
            <w:r w:rsidRPr="005464AA">
              <w:rPr>
                <w:rStyle w:val="Hyperlink"/>
                <w:noProof/>
              </w:rPr>
              <w:t>4.1.1</w:t>
            </w:r>
            <w:r>
              <w:rPr>
                <w:rFonts w:asciiTheme="minorHAnsi" w:eastAsiaTheme="minorEastAsia" w:hAnsiTheme="minorHAnsi" w:cstheme="minorBidi"/>
                <w:noProof/>
                <w:kern w:val="0"/>
                <w:sz w:val="22"/>
                <w:szCs w:val="22"/>
                <w:lang w:val="en-US"/>
              </w:rPr>
              <w:tab/>
            </w:r>
            <w:r w:rsidRPr="005464AA">
              <w:rPr>
                <w:rStyle w:val="Hyperlink"/>
                <w:noProof/>
              </w:rPr>
              <w:t>E. mokymas(is) ir virtualaus universiteto idėja</w:t>
            </w:r>
            <w:r>
              <w:rPr>
                <w:noProof/>
                <w:webHidden/>
              </w:rPr>
              <w:tab/>
            </w:r>
            <w:r>
              <w:rPr>
                <w:noProof/>
                <w:webHidden/>
              </w:rPr>
              <w:fldChar w:fldCharType="begin"/>
            </w:r>
            <w:r>
              <w:rPr>
                <w:noProof/>
                <w:webHidden/>
              </w:rPr>
              <w:instrText xml:space="preserve"> PAGEREF _Toc251011266 \h </w:instrText>
            </w:r>
            <w:r>
              <w:rPr>
                <w:noProof/>
                <w:webHidden/>
              </w:rPr>
            </w:r>
            <w:r>
              <w:rPr>
                <w:noProof/>
                <w:webHidden/>
              </w:rPr>
              <w:fldChar w:fldCharType="separate"/>
            </w:r>
            <w:r w:rsidR="00AE4701">
              <w:rPr>
                <w:noProof/>
                <w:webHidden/>
              </w:rPr>
              <w:t>41</w:t>
            </w:r>
            <w:r>
              <w:rPr>
                <w:noProof/>
                <w:webHidden/>
              </w:rPr>
              <w:fldChar w:fldCharType="end"/>
            </w:r>
          </w:hyperlink>
        </w:p>
        <w:p w:rsidR="00272E7B" w:rsidRDefault="00272E7B">
          <w:pPr>
            <w:pStyle w:val="TOC3"/>
            <w:tabs>
              <w:tab w:val="left" w:pos="1981"/>
            </w:tabs>
            <w:rPr>
              <w:rFonts w:asciiTheme="minorHAnsi" w:eastAsiaTheme="minorEastAsia" w:hAnsiTheme="minorHAnsi" w:cstheme="minorBidi"/>
              <w:noProof/>
              <w:kern w:val="0"/>
              <w:sz w:val="22"/>
              <w:szCs w:val="22"/>
              <w:lang w:val="en-US"/>
            </w:rPr>
          </w:pPr>
          <w:hyperlink w:anchor="_Toc251011267" w:history="1">
            <w:r w:rsidRPr="005464AA">
              <w:rPr>
                <w:rStyle w:val="Hyperlink"/>
                <w:noProof/>
              </w:rPr>
              <w:t>4.1.2</w:t>
            </w:r>
            <w:r>
              <w:rPr>
                <w:rFonts w:asciiTheme="minorHAnsi" w:eastAsiaTheme="minorEastAsia" w:hAnsiTheme="minorHAnsi" w:cstheme="minorBidi"/>
                <w:noProof/>
                <w:kern w:val="0"/>
                <w:sz w:val="22"/>
                <w:szCs w:val="22"/>
                <w:lang w:val="en-US"/>
              </w:rPr>
              <w:tab/>
            </w:r>
            <w:r w:rsidRPr="005464AA">
              <w:rPr>
                <w:rStyle w:val="Hyperlink"/>
                <w:noProof/>
              </w:rPr>
              <w:t>Lietuvos virtualus universitetas</w:t>
            </w:r>
            <w:r>
              <w:rPr>
                <w:noProof/>
                <w:webHidden/>
              </w:rPr>
              <w:tab/>
            </w:r>
            <w:r>
              <w:rPr>
                <w:noProof/>
                <w:webHidden/>
              </w:rPr>
              <w:fldChar w:fldCharType="begin"/>
            </w:r>
            <w:r>
              <w:rPr>
                <w:noProof/>
                <w:webHidden/>
              </w:rPr>
              <w:instrText xml:space="preserve"> PAGEREF _Toc251011267 \h </w:instrText>
            </w:r>
            <w:r>
              <w:rPr>
                <w:noProof/>
                <w:webHidden/>
              </w:rPr>
            </w:r>
            <w:r>
              <w:rPr>
                <w:noProof/>
                <w:webHidden/>
              </w:rPr>
              <w:fldChar w:fldCharType="separate"/>
            </w:r>
            <w:r w:rsidR="00AE4701">
              <w:rPr>
                <w:noProof/>
                <w:webHidden/>
              </w:rPr>
              <w:t>43</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68" w:history="1">
            <w:r w:rsidRPr="005464AA">
              <w:rPr>
                <w:rStyle w:val="Hyperlink"/>
                <w:noProof/>
              </w:rPr>
              <w:t>4.2</w:t>
            </w:r>
            <w:r>
              <w:rPr>
                <w:rFonts w:asciiTheme="minorHAnsi" w:eastAsiaTheme="minorEastAsia" w:hAnsiTheme="minorHAnsi" w:cstheme="minorBidi"/>
                <w:noProof/>
                <w:kern w:val="0"/>
                <w:sz w:val="22"/>
                <w:szCs w:val="22"/>
                <w:lang w:val="en-US"/>
              </w:rPr>
              <w:tab/>
            </w:r>
            <w:r w:rsidRPr="005464AA">
              <w:rPr>
                <w:rStyle w:val="Hyperlink"/>
                <w:noProof/>
              </w:rPr>
              <w:t>Viešojo ir privataus sektorių partnerystė Lietuvoje</w:t>
            </w:r>
            <w:r>
              <w:rPr>
                <w:noProof/>
                <w:webHidden/>
              </w:rPr>
              <w:tab/>
            </w:r>
            <w:r>
              <w:rPr>
                <w:noProof/>
                <w:webHidden/>
              </w:rPr>
              <w:fldChar w:fldCharType="begin"/>
            </w:r>
            <w:r>
              <w:rPr>
                <w:noProof/>
                <w:webHidden/>
              </w:rPr>
              <w:instrText xml:space="preserve"> PAGEREF _Toc251011268 \h </w:instrText>
            </w:r>
            <w:r>
              <w:rPr>
                <w:noProof/>
                <w:webHidden/>
              </w:rPr>
            </w:r>
            <w:r>
              <w:rPr>
                <w:noProof/>
                <w:webHidden/>
              </w:rPr>
              <w:fldChar w:fldCharType="separate"/>
            </w:r>
            <w:r w:rsidR="00AE4701">
              <w:rPr>
                <w:noProof/>
                <w:webHidden/>
              </w:rPr>
              <w:t>46</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69" w:history="1">
            <w:r w:rsidRPr="005464AA">
              <w:rPr>
                <w:rStyle w:val="Hyperlink"/>
                <w:noProof/>
              </w:rPr>
              <w:t>4.3</w:t>
            </w:r>
            <w:r>
              <w:rPr>
                <w:rFonts w:asciiTheme="minorHAnsi" w:eastAsiaTheme="minorEastAsia" w:hAnsiTheme="minorHAnsi" w:cstheme="minorBidi"/>
                <w:noProof/>
                <w:kern w:val="0"/>
                <w:sz w:val="22"/>
                <w:szCs w:val="22"/>
                <w:lang w:val="en-US"/>
              </w:rPr>
              <w:tab/>
            </w:r>
            <w:r w:rsidRPr="005464AA">
              <w:rPr>
                <w:rStyle w:val="Hyperlink"/>
                <w:noProof/>
              </w:rPr>
              <w:t>Viešojo ir privataus sektorių partnerystės galimybės Lietuvos virtualaus universiteto programoje</w:t>
            </w:r>
            <w:r>
              <w:rPr>
                <w:noProof/>
                <w:webHidden/>
              </w:rPr>
              <w:tab/>
            </w:r>
            <w:r>
              <w:rPr>
                <w:noProof/>
                <w:webHidden/>
              </w:rPr>
              <w:tab/>
            </w:r>
            <w:r>
              <w:rPr>
                <w:noProof/>
                <w:webHidden/>
              </w:rPr>
              <w:fldChar w:fldCharType="begin"/>
            </w:r>
            <w:r>
              <w:rPr>
                <w:noProof/>
                <w:webHidden/>
              </w:rPr>
              <w:instrText xml:space="preserve"> PAGEREF _Toc251011269 \h </w:instrText>
            </w:r>
            <w:r>
              <w:rPr>
                <w:noProof/>
                <w:webHidden/>
              </w:rPr>
            </w:r>
            <w:r>
              <w:rPr>
                <w:noProof/>
                <w:webHidden/>
              </w:rPr>
              <w:fldChar w:fldCharType="separate"/>
            </w:r>
            <w:r w:rsidR="00AE4701">
              <w:rPr>
                <w:noProof/>
                <w:webHidden/>
              </w:rPr>
              <w:t>49</w:t>
            </w:r>
            <w:r>
              <w:rPr>
                <w:noProof/>
                <w:webHidden/>
              </w:rPr>
              <w:fldChar w:fldCharType="end"/>
            </w:r>
          </w:hyperlink>
        </w:p>
        <w:p w:rsidR="00272E7B" w:rsidRDefault="00272E7B">
          <w:pPr>
            <w:pStyle w:val="TOC2"/>
            <w:tabs>
              <w:tab w:val="left" w:pos="1415"/>
            </w:tabs>
            <w:rPr>
              <w:rFonts w:asciiTheme="minorHAnsi" w:eastAsiaTheme="minorEastAsia" w:hAnsiTheme="minorHAnsi" w:cstheme="minorBidi"/>
              <w:noProof/>
              <w:kern w:val="0"/>
              <w:sz w:val="22"/>
              <w:szCs w:val="22"/>
              <w:lang w:val="en-US"/>
            </w:rPr>
          </w:pPr>
          <w:hyperlink w:anchor="_Toc251011270" w:history="1">
            <w:r w:rsidRPr="005464AA">
              <w:rPr>
                <w:rStyle w:val="Hyperlink"/>
                <w:noProof/>
              </w:rPr>
              <w:t>4.4</w:t>
            </w:r>
            <w:r>
              <w:rPr>
                <w:rFonts w:asciiTheme="minorHAnsi" w:eastAsiaTheme="minorEastAsia" w:hAnsiTheme="minorHAnsi" w:cstheme="minorBidi"/>
                <w:noProof/>
                <w:kern w:val="0"/>
                <w:sz w:val="22"/>
                <w:szCs w:val="22"/>
                <w:lang w:val="en-US"/>
              </w:rPr>
              <w:tab/>
            </w:r>
            <w:r w:rsidRPr="005464AA">
              <w:rPr>
                <w:rStyle w:val="Hyperlink"/>
                <w:noProof/>
              </w:rPr>
              <w:t>Požiūris į viešojo ir privataus sektorių partnerystės sutarčių naudojimą</w:t>
            </w:r>
            <w:r>
              <w:rPr>
                <w:noProof/>
                <w:webHidden/>
              </w:rPr>
              <w:tab/>
            </w:r>
            <w:r>
              <w:rPr>
                <w:noProof/>
                <w:webHidden/>
              </w:rPr>
              <w:fldChar w:fldCharType="begin"/>
            </w:r>
            <w:r>
              <w:rPr>
                <w:noProof/>
                <w:webHidden/>
              </w:rPr>
              <w:instrText xml:space="preserve"> PAGEREF _Toc251011270 \h </w:instrText>
            </w:r>
            <w:r>
              <w:rPr>
                <w:noProof/>
                <w:webHidden/>
              </w:rPr>
            </w:r>
            <w:r>
              <w:rPr>
                <w:noProof/>
                <w:webHidden/>
              </w:rPr>
              <w:fldChar w:fldCharType="separate"/>
            </w:r>
            <w:r w:rsidR="00AE4701">
              <w:rPr>
                <w:noProof/>
                <w:webHidden/>
              </w:rPr>
              <w:t>51</w:t>
            </w:r>
            <w:r>
              <w:rPr>
                <w:noProof/>
                <w:webHidden/>
              </w:rPr>
              <w:fldChar w:fldCharType="end"/>
            </w:r>
          </w:hyperlink>
        </w:p>
        <w:p w:rsidR="00272E7B" w:rsidRDefault="00272E7B">
          <w:pPr>
            <w:pStyle w:val="TOC1"/>
            <w:rPr>
              <w:rFonts w:asciiTheme="minorHAnsi" w:eastAsiaTheme="minorEastAsia" w:hAnsiTheme="minorHAnsi" w:cstheme="minorBidi"/>
              <w:caps w:val="0"/>
              <w:noProof/>
              <w:kern w:val="0"/>
              <w:sz w:val="22"/>
              <w:szCs w:val="22"/>
              <w:lang w:val="en-US"/>
            </w:rPr>
          </w:pPr>
          <w:hyperlink w:anchor="_Toc251011271" w:history="1">
            <w:r w:rsidRPr="005464AA">
              <w:rPr>
                <w:rStyle w:val="Hyperlink"/>
                <w:noProof/>
              </w:rPr>
              <w:t>Išvados</w:t>
            </w:r>
            <w:r>
              <w:rPr>
                <w:noProof/>
                <w:webHidden/>
              </w:rPr>
              <w:tab/>
            </w:r>
            <w:r>
              <w:rPr>
                <w:noProof/>
                <w:webHidden/>
              </w:rPr>
              <w:fldChar w:fldCharType="begin"/>
            </w:r>
            <w:r>
              <w:rPr>
                <w:noProof/>
                <w:webHidden/>
              </w:rPr>
              <w:instrText xml:space="preserve"> PAGEREF _Toc251011271 \h </w:instrText>
            </w:r>
            <w:r>
              <w:rPr>
                <w:noProof/>
                <w:webHidden/>
              </w:rPr>
            </w:r>
            <w:r>
              <w:rPr>
                <w:noProof/>
                <w:webHidden/>
              </w:rPr>
              <w:fldChar w:fldCharType="separate"/>
            </w:r>
            <w:r w:rsidR="00AE4701">
              <w:rPr>
                <w:noProof/>
                <w:webHidden/>
              </w:rPr>
              <w:t>52</w:t>
            </w:r>
            <w:r>
              <w:rPr>
                <w:noProof/>
                <w:webHidden/>
              </w:rPr>
              <w:fldChar w:fldCharType="end"/>
            </w:r>
          </w:hyperlink>
        </w:p>
        <w:p w:rsidR="00272E7B" w:rsidRDefault="00272E7B">
          <w:pPr>
            <w:pStyle w:val="TOC1"/>
            <w:rPr>
              <w:rFonts w:asciiTheme="minorHAnsi" w:eastAsiaTheme="minorEastAsia" w:hAnsiTheme="minorHAnsi" w:cstheme="minorBidi"/>
              <w:caps w:val="0"/>
              <w:noProof/>
              <w:kern w:val="0"/>
              <w:sz w:val="22"/>
              <w:szCs w:val="22"/>
              <w:lang w:val="en-US"/>
            </w:rPr>
          </w:pPr>
          <w:hyperlink w:anchor="_Toc251011272" w:history="1">
            <w:r w:rsidRPr="005464AA">
              <w:rPr>
                <w:rStyle w:val="Hyperlink"/>
                <w:noProof/>
              </w:rPr>
              <w:t>Rekomendacijos</w:t>
            </w:r>
            <w:r>
              <w:rPr>
                <w:noProof/>
                <w:webHidden/>
              </w:rPr>
              <w:tab/>
            </w:r>
            <w:r>
              <w:rPr>
                <w:noProof/>
                <w:webHidden/>
              </w:rPr>
              <w:fldChar w:fldCharType="begin"/>
            </w:r>
            <w:r>
              <w:rPr>
                <w:noProof/>
                <w:webHidden/>
              </w:rPr>
              <w:instrText xml:space="preserve"> PAGEREF _Toc251011272 \h </w:instrText>
            </w:r>
            <w:r>
              <w:rPr>
                <w:noProof/>
                <w:webHidden/>
              </w:rPr>
            </w:r>
            <w:r>
              <w:rPr>
                <w:noProof/>
                <w:webHidden/>
              </w:rPr>
              <w:fldChar w:fldCharType="separate"/>
            </w:r>
            <w:r w:rsidR="00AE4701">
              <w:rPr>
                <w:noProof/>
                <w:webHidden/>
              </w:rPr>
              <w:t>54</w:t>
            </w:r>
            <w:r>
              <w:rPr>
                <w:noProof/>
                <w:webHidden/>
              </w:rPr>
              <w:fldChar w:fldCharType="end"/>
            </w:r>
          </w:hyperlink>
        </w:p>
        <w:p w:rsidR="00272E7B" w:rsidRDefault="00272E7B">
          <w:pPr>
            <w:pStyle w:val="TOC1"/>
            <w:rPr>
              <w:rFonts w:asciiTheme="minorHAnsi" w:eastAsiaTheme="minorEastAsia" w:hAnsiTheme="minorHAnsi" w:cstheme="minorBidi"/>
              <w:caps w:val="0"/>
              <w:noProof/>
              <w:kern w:val="0"/>
              <w:sz w:val="22"/>
              <w:szCs w:val="22"/>
              <w:lang w:val="en-US"/>
            </w:rPr>
          </w:pPr>
          <w:hyperlink w:anchor="_Toc251011273" w:history="1">
            <w:r w:rsidRPr="005464AA">
              <w:rPr>
                <w:rStyle w:val="Hyperlink"/>
                <w:noProof/>
              </w:rPr>
              <w:t>Literatūra</w:t>
            </w:r>
            <w:r>
              <w:rPr>
                <w:noProof/>
                <w:webHidden/>
              </w:rPr>
              <w:tab/>
            </w:r>
            <w:r>
              <w:rPr>
                <w:noProof/>
                <w:webHidden/>
              </w:rPr>
              <w:fldChar w:fldCharType="begin"/>
            </w:r>
            <w:r>
              <w:rPr>
                <w:noProof/>
                <w:webHidden/>
              </w:rPr>
              <w:instrText xml:space="preserve"> PAGEREF _Toc251011273 \h </w:instrText>
            </w:r>
            <w:r>
              <w:rPr>
                <w:noProof/>
                <w:webHidden/>
              </w:rPr>
            </w:r>
            <w:r>
              <w:rPr>
                <w:noProof/>
                <w:webHidden/>
              </w:rPr>
              <w:fldChar w:fldCharType="separate"/>
            </w:r>
            <w:r w:rsidR="00AE4701">
              <w:rPr>
                <w:noProof/>
                <w:webHidden/>
              </w:rPr>
              <w:t>57</w:t>
            </w:r>
            <w:r>
              <w:rPr>
                <w:noProof/>
                <w:webHidden/>
              </w:rPr>
              <w:fldChar w:fldCharType="end"/>
            </w:r>
          </w:hyperlink>
        </w:p>
        <w:p w:rsidR="00272E7B" w:rsidRDefault="00272E7B">
          <w:pPr>
            <w:pStyle w:val="TOC1"/>
            <w:rPr>
              <w:rFonts w:asciiTheme="minorHAnsi" w:eastAsiaTheme="minorEastAsia" w:hAnsiTheme="minorHAnsi" w:cstheme="minorBidi"/>
              <w:caps w:val="0"/>
              <w:noProof/>
              <w:kern w:val="0"/>
              <w:sz w:val="22"/>
              <w:szCs w:val="22"/>
              <w:lang w:val="en-US"/>
            </w:rPr>
          </w:pPr>
          <w:hyperlink w:anchor="_Toc251011274" w:history="1">
            <w:r w:rsidRPr="005464AA">
              <w:rPr>
                <w:rStyle w:val="Hyperlink"/>
                <w:noProof/>
                <w:lang w:eastAsia="ar-SA"/>
              </w:rPr>
              <w:t>Anotacija</w:t>
            </w:r>
            <w:r>
              <w:rPr>
                <w:noProof/>
                <w:webHidden/>
              </w:rPr>
              <w:tab/>
            </w:r>
            <w:r>
              <w:rPr>
                <w:noProof/>
                <w:webHidden/>
              </w:rPr>
              <w:fldChar w:fldCharType="begin"/>
            </w:r>
            <w:r>
              <w:rPr>
                <w:noProof/>
                <w:webHidden/>
              </w:rPr>
              <w:instrText xml:space="preserve"> PAGEREF _Toc251011274 \h </w:instrText>
            </w:r>
            <w:r>
              <w:rPr>
                <w:noProof/>
                <w:webHidden/>
              </w:rPr>
            </w:r>
            <w:r>
              <w:rPr>
                <w:noProof/>
                <w:webHidden/>
              </w:rPr>
              <w:fldChar w:fldCharType="separate"/>
            </w:r>
            <w:r w:rsidR="00AE4701">
              <w:rPr>
                <w:noProof/>
                <w:webHidden/>
              </w:rPr>
              <w:t>62</w:t>
            </w:r>
            <w:r>
              <w:rPr>
                <w:noProof/>
                <w:webHidden/>
              </w:rPr>
              <w:fldChar w:fldCharType="end"/>
            </w:r>
          </w:hyperlink>
        </w:p>
        <w:p w:rsidR="00272E7B" w:rsidRDefault="00272E7B">
          <w:pPr>
            <w:pStyle w:val="TOC1"/>
            <w:rPr>
              <w:rFonts w:asciiTheme="minorHAnsi" w:eastAsiaTheme="minorEastAsia" w:hAnsiTheme="minorHAnsi" w:cstheme="minorBidi"/>
              <w:caps w:val="0"/>
              <w:noProof/>
              <w:kern w:val="0"/>
              <w:sz w:val="22"/>
              <w:szCs w:val="22"/>
              <w:lang w:val="en-US"/>
            </w:rPr>
          </w:pPr>
          <w:hyperlink w:anchor="_Toc251011275" w:history="1">
            <w:r w:rsidRPr="005464AA">
              <w:rPr>
                <w:rStyle w:val="Hyperlink"/>
                <w:noProof/>
                <w:lang w:val="en-US" w:eastAsia="ar-SA"/>
              </w:rPr>
              <w:t>AnotATION</w:t>
            </w:r>
            <w:r>
              <w:rPr>
                <w:noProof/>
                <w:webHidden/>
              </w:rPr>
              <w:tab/>
            </w:r>
            <w:r>
              <w:rPr>
                <w:noProof/>
                <w:webHidden/>
              </w:rPr>
              <w:fldChar w:fldCharType="begin"/>
            </w:r>
            <w:r>
              <w:rPr>
                <w:noProof/>
                <w:webHidden/>
              </w:rPr>
              <w:instrText xml:space="preserve"> PAGEREF _Toc251011275 \h </w:instrText>
            </w:r>
            <w:r>
              <w:rPr>
                <w:noProof/>
                <w:webHidden/>
              </w:rPr>
            </w:r>
            <w:r>
              <w:rPr>
                <w:noProof/>
                <w:webHidden/>
              </w:rPr>
              <w:fldChar w:fldCharType="separate"/>
            </w:r>
            <w:r w:rsidR="00AE4701">
              <w:rPr>
                <w:noProof/>
                <w:webHidden/>
              </w:rPr>
              <w:t>63</w:t>
            </w:r>
            <w:r>
              <w:rPr>
                <w:noProof/>
                <w:webHidden/>
              </w:rPr>
              <w:fldChar w:fldCharType="end"/>
            </w:r>
          </w:hyperlink>
        </w:p>
        <w:p w:rsidR="00272E7B" w:rsidRDefault="00272E7B">
          <w:pPr>
            <w:pStyle w:val="TOC1"/>
            <w:rPr>
              <w:rFonts w:asciiTheme="minorHAnsi" w:eastAsiaTheme="minorEastAsia" w:hAnsiTheme="minorHAnsi" w:cstheme="minorBidi"/>
              <w:caps w:val="0"/>
              <w:noProof/>
              <w:kern w:val="0"/>
              <w:sz w:val="22"/>
              <w:szCs w:val="22"/>
              <w:lang w:val="en-US"/>
            </w:rPr>
          </w:pPr>
          <w:hyperlink w:anchor="_Toc251011276" w:history="1">
            <w:r w:rsidRPr="005464AA">
              <w:rPr>
                <w:rStyle w:val="Hyperlink"/>
                <w:noProof/>
                <w:lang w:eastAsia="ar-SA"/>
              </w:rPr>
              <w:t>Santrauka</w:t>
            </w:r>
            <w:r>
              <w:rPr>
                <w:noProof/>
                <w:webHidden/>
              </w:rPr>
              <w:tab/>
            </w:r>
            <w:r>
              <w:rPr>
                <w:noProof/>
                <w:webHidden/>
              </w:rPr>
              <w:fldChar w:fldCharType="begin"/>
            </w:r>
            <w:r>
              <w:rPr>
                <w:noProof/>
                <w:webHidden/>
              </w:rPr>
              <w:instrText xml:space="preserve"> PAGEREF _Toc251011276 \h </w:instrText>
            </w:r>
            <w:r>
              <w:rPr>
                <w:noProof/>
                <w:webHidden/>
              </w:rPr>
            </w:r>
            <w:r>
              <w:rPr>
                <w:noProof/>
                <w:webHidden/>
              </w:rPr>
              <w:fldChar w:fldCharType="separate"/>
            </w:r>
            <w:r w:rsidR="00AE4701">
              <w:rPr>
                <w:noProof/>
                <w:webHidden/>
              </w:rPr>
              <w:t>64</w:t>
            </w:r>
            <w:r>
              <w:rPr>
                <w:noProof/>
                <w:webHidden/>
              </w:rPr>
              <w:fldChar w:fldCharType="end"/>
            </w:r>
          </w:hyperlink>
        </w:p>
        <w:p w:rsidR="00272E7B" w:rsidRDefault="00272E7B">
          <w:pPr>
            <w:pStyle w:val="TOC1"/>
            <w:rPr>
              <w:rFonts w:asciiTheme="minorHAnsi" w:eastAsiaTheme="minorEastAsia" w:hAnsiTheme="minorHAnsi" w:cstheme="minorBidi"/>
              <w:caps w:val="0"/>
              <w:noProof/>
              <w:kern w:val="0"/>
              <w:sz w:val="22"/>
              <w:szCs w:val="22"/>
              <w:lang w:val="en-US"/>
            </w:rPr>
          </w:pPr>
          <w:hyperlink w:anchor="_Toc251011277" w:history="1">
            <w:r w:rsidRPr="005464AA">
              <w:rPr>
                <w:rStyle w:val="Hyperlink"/>
                <w:noProof/>
                <w:lang w:eastAsia="ar-SA"/>
              </w:rPr>
              <w:t>Summary</w:t>
            </w:r>
            <w:r>
              <w:rPr>
                <w:noProof/>
                <w:webHidden/>
              </w:rPr>
              <w:tab/>
            </w:r>
            <w:r>
              <w:rPr>
                <w:noProof/>
                <w:webHidden/>
              </w:rPr>
              <w:fldChar w:fldCharType="begin"/>
            </w:r>
            <w:r>
              <w:rPr>
                <w:noProof/>
                <w:webHidden/>
              </w:rPr>
              <w:instrText xml:space="preserve"> PAGEREF _Toc251011277 \h </w:instrText>
            </w:r>
            <w:r>
              <w:rPr>
                <w:noProof/>
                <w:webHidden/>
              </w:rPr>
            </w:r>
            <w:r>
              <w:rPr>
                <w:noProof/>
                <w:webHidden/>
              </w:rPr>
              <w:fldChar w:fldCharType="separate"/>
            </w:r>
            <w:r w:rsidR="00AE4701">
              <w:rPr>
                <w:noProof/>
                <w:webHidden/>
              </w:rPr>
              <w:t>65</w:t>
            </w:r>
            <w:r>
              <w:rPr>
                <w:noProof/>
                <w:webHidden/>
              </w:rPr>
              <w:fldChar w:fldCharType="end"/>
            </w:r>
          </w:hyperlink>
        </w:p>
        <w:p w:rsidR="00272E7B" w:rsidRDefault="00272E7B">
          <w:pPr>
            <w:pStyle w:val="TOC1"/>
            <w:rPr>
              <w:rFonts w:asciiTheme="minorHAnsi" w:eastAsiaTheme="minorEastAsia" w:hAnsiTheme="minorHAnsi" w:cstheme="minorBidi"/>
              <w:caps w:val="0"/>
              <w:noProof/>
              <w:kern w:val="0"/>
              <w:sz w:val="22"/>
              <w:szCs w:val="22"/>
              <w:lang w:val="en-US"/>
            </w:rPr>
          </w:pPr>
          <w:hyperlink w:anchor="_Toc251011278" w:history="1">
            <w:r w:rsidRPr="005464AA">
              <w:rPr>
                <w:rStyle w:val="Hyperlink"/>
                <w:noProof/>
                <w:lang w:eastAsia="ar-SA"/>
              </w:rPr>
              <w:t>Priedai</w:t>
            </w:r>
            <w:r>
              <w:rPr>
                <w:noProof/>
                <w:webHidden/>
              </w:rPr>
              <w:tab/>
            </w:r>
            <w:r>
              <w:rPr>
                <w:noProof/>
                <w:webHidden/>
              </w:rPr>
              <w:fldChar w:fldCharType="begin"/>
            </w:r>
            <w:r>
              <w:rPr>
                <w:noProof/>
                <w:webHidden/>
              </w:rPr>
              <w:instrText xml:space="preserve"> PAGEREF _Toc251011278 \h </w:instrText>
            </w:r>
            <w:r>
              <w:rPr>
                <w:noProof/>
                <w:webHidden/>
              </w:rPr>
            </w:r>
            <w:r>
              <w:rPr>
                <w:noProof/>
                <w:webHidden/>
              </w:rPr>
              <w:fldChar w:fldCharType="separate"/>
            </w:r>
            <w:r w:rsidR="00AE4701">
              <w:rPr>
                <w:noProof/>
                <w:webHidden/>
              </w:rPr>
              <w:t>66</w:t>
            </w:r>
            <w:r>
              <w:rPr>
                <w:noProof/>
                <w:webHidden/>
              </w:rPr>
              <w:fldChar w:fldCharType="end"/>
            </w:r>
          </w:hyperlink>
        </w:p>
        <w:p w:rsidR="003E072D" w:rsidRDefault="009A186D" w:rsidP="005B524E">
          <w:pPr>
            <w:suppressAutoHyphens w:val="0"/>
            <w:ind w:firstLine="0"/>
          </w:pPr>
          <w:r>
            <w:fldChar w:fldCharType="end"/>
          </w:r>
        </w:p>
      </w:sdtContent>
    </w:sdt>
    <w:p w:rsidR="00B23043" w:rsidRDefault="00B23043" w:rsidP="005B524E">
      <w:pPr>
        <w:widowControl/>
        <w:suppressAutoHyphens w:val="0"/>
        <w:spacing w:line="240" w:lineRule="auto"/>
        <w:ind w:firstLine="0"/>
        <w:jc w:val="left"/>
        <w:rPr>
          <w:rFonts w:eastAsia="MS Mincho"/>
          <w:b/>
          <w:bCs/>
          <w:caps/>
          <w:kern w:val="32"/>
          <w:sz w:val="32"/>
          <w:szCs w:val="32"/>
          <w:lang w:eastAsia="ar-SA"/>
        </w:rPr>
      </w:pPr>
      <w:r>
        <w:rPr>
          <w:caps/>
          <w:kern w:val="32"/>
          <w:lang w:eastAsia="ar-SA"/>
        </w:rPr>
        <w:br w:type="page"/>
      </w:r>
    </w:p>
    <w:p w:rsidR="00A5288B" w:rsidRPr="003C4E50" w:rsidRDefault="00A5288B" w:rsidP="005B524E">
      <w:pPr>
        <w:pStyle w:val="ContentsHeading"/>
        <w:suppressAutoHyphens w:val="0"/>
        <w:jc w:val="center"/>
        <w:rPr>
          <w:rFonts w:ascii="Times New Roman" w:hAnsi="Times New Roman" w:cs="Times New Roman"/>
          <w:caps/>
          <w:kern w:val="32"/>
          <w:lang w:eastAsia="ar-SA"/>
        </w:rPr>
      </w:pPr>
      <w:r w:rsidRPr="003C4E50">
        <w:rPr>
          <w:rFonts w:ascii="Times New Roman" w:hAnsi="Times New Roman" w:cs="Times New Roman"/>
          <w:caps/>
          <w:kern w:val="32"/>
          <w:lang w:eastAsia="ar-SA"/>
        </w:rPr>
        <w:lastRenderedPageBreak/>
        <w:t>Lentelės</w:t>
      </w:r>
    </w:p>
    <w:p w:rsidR="008156A8" w:rsidRDefault="009A186D" w:rsidP="005B524E">
      <w:pPr>
        <w:pStyle w:val="TableofFigures"/>
        <w:tabs>
          <w:tab w:val="right" w:leader="dot" w:pos="9910"/>
        </w:tabs>
        <w:suppressAutoHyphens w:val="0"/>
        <w:rPr>
          <w:rFonts w:asciiTheme="minorHAnsi" w:eastAsiaTheme="minorEastAsia" w:hAnsiTheme="minorHAnsi" w:cstheme="minorBidi"/>
          <w:noProof/>
          <w:kern w:val="0"/>
          <w:sz w:val="22"/>
          <w:szCs w:val="22"/>
          <w:lang w:val="en-US"/>
        </w:rPr>
      </w:pPr>
      <w:r w:rsidRPr="009A186D">
        <w:rPr>
          <w:lang w:eastAsia="ar-SA"/>
        </w:rPr>
        <w:fldChar w:fldCharType="begin"/>
      </w:r>
      <w:r w:rsidR="00A5288B">
        <w:rPr>
          <w:lang w:eastAsia="ar-SA"/>
        </w:rPr>
        <w:instrText xml:space="preserve"> TOC \c "Lentelė" </w:instrText>
      </w:r>
      <w:r w:rsidRPr="009A186D">
        <w:rPr>
          <w:lang w:eastAsia="ar-SA"/>
        </w:rPr>
        <w:fldChar w:fldCharType="separate"/>
      </w:r>
      <w:r w:rsidR="008156A8">
        <w:rPr>
          <w:noProof/>
        </w:rPr>
        <w:t>Lentelė 1 Viešojo ir privataus sektorių partnerystės formos (INTOSAI)</w:t>
      </w:r>
      <w:r w:rsidR="008156A8">
        <w:rPr>
          <w:noProof/>
        </w:rPr>
        <w:tab/>
      </w:r>
      <w:r>
        <w:rPr>
          <w:noProof/>
        </w:rPr>
        <w:fldChar w:fldCharType="begin"/>
      </w:r>
      <w:r w:rsidR="008156A8">
        <w:rPr>
          <w:noProof/>
        </w:rPr>
        <w:instrText xml:space="preserve"> PAGEREF _Toc248866369 \h </w:instrText>
      </w:r>
      <w:r>
        <w:rPr>
          <w:noProof/>
        </w:rPr>
      </w:r>
      <w:r>
        <w:rPr>
          <w:noProof/>
        </w:rPr>
        <w:fldChar w:fldCharType="separate"/>
      </w:r>
      <w:r w:rsidR="00AE4701">
        <w:rPr>
          <w:noProof/>
        </w:rPr>
        <w:t>17</w:t>
      </w:r>
      <w:r>
        <w:rPr>
          <w:noProof/>
        </w:rPr>
        <w:fldChar w:fldCharType="end"/>
      </w:r>
    </w:p>
    <w:p w:rsidR="008156A8" w:rsidRDefault="008156A8" w:rsidP="005B524E">
      <w:pPr>
        <w:pStyle w:val="TableofFigures"/>
        <w:tabs>
          <w:tab w:val="right" w:leader="dot" w:pos="9910"/>
        </w:tabs>
        <w:suppressAutoHyphens w:val="0"/>
        <w:rPr>
          <w:rFonts w:asciiTheme="minorHAnsi" w:eastAsiaTheme="minorEastAsia" w:hAnsiTheme="minorHAnsi" w:cstheme="minorBidi"/>
          <w:noProof/>
          <w:kern w:val="0"/>
          <w:sz w:val="22"/>
          <w:szCs w:val="22"/>
          <w:lang w:val="en-US"/>
        </w:rPr>
      </w:pPr>
      <w:r w:rsidRPr="004B0D49">
        <w:rPr>
          <w:noProof/>
        </w:rPr>
        <w:t>Lentelė 2 Viešojo ir privataus sektorių partnerystės formos (Europos Parlamentas)</w:t>
      </w:r>
      <w:r>
        <w:rPr>
          <w:noProof/>
        </w:rPr>
        <w:tab/>
      </w:r>
      <w:r w:rsidR="009A186D">
        <w:rPr>
          <w:noProof/>
        </w:rPr>
        <w:fldChar w:fldCharType="begin"/>
      </w:r>
      <w:r>
        <w:rPr>
          <w:noProof/>
        </w:rPr>
        <w:instrText xml:space="preserve"> PAGEREF _Toc248866370 \h </w:instrText>
      </w:r>
      <w:r w:rsidR="009A186D">
        <w:rPr>
          <w:noProof/>
        </w:rPr>
      </w:r>
      <w:r w:rsidR="009A186D">
        <w:rPr>
          <w:noProof/>
        </w:rPr>
        <w:fldChar w:fldCharType="separate"/>
      </w:r>
      <w:r w:rsidR="00AE4701">
        <w:rPr>
          <w:noProof/>
        </w:rPr>
        <w:t>20</w:t>
      </w:r>
      <w:r w:rsidR="009A186D">
        <w:rPr>
          <w:noProof/>
        </w:rPr>
        <w:fldChar w:fldCharType="end"/>
      </w:r>
    </w:p>
    <w:p w:rsidR="008156A8" w:rsidRDefault="008156A8" w:rsidP="005B524E">
      <w:pPr>
        <w:pStyle w:val="TableofFigures"/>
        <w:tabs>
          <w:tab w:val="right" w:leader="dot" w:pos="9910"/>
        </w:tabs>
        <w:suppressAutoHyphens w:val="0"/>
        <w:rPr>
          <w:rFonts w:asciiTheme="minorHAnsi" w:eastAsiaTheme="minorEastAsia" w:hAnsiTheme="minorHAnsi" w:cstheme="minorBidi"/>
          <w:noProof/>
          <w:kern w:val="0"/>
          <w:sz w:val="22"/>
          <w:szCs w:val="22"/>
          <w:lang w:val="en-US"/>
        </w:rPr>
      </w:pPr>
      <w:r>
        <w:rPr>
          <w:noProof/>
        </w:rPr>
        <w:t>Lentelė 3 VPSP būsena ir aktyvumas pagal šalį ir sektorių</w:t>
      </w:r>
      <w:r>
        <w:rPr>
          <w:noProof/>
        </w:rPr>
        <w:tab/>
      </w:r>
      <w:r w:rsidR="009A186D">
        <w:rPr>
          <w:noProof/>
        </w:rPr>
        <w:fldChar w:fldCharType="begin"/>
      </w:r>
      <w:r>
        <w:rPr>
          <w:noProof/>
        </w:rPr>
        <w:instrText xml:space="preserve"> PAGEREF _Toc248866371 \h </w:instrText>
      </w:r>
      <w:r w:rsidR="009A186D">
        <w:rPr>
          <w:noProof/>
        </w:rPr>
      </w:r>
      <w:r w:rsidR="009A186D">
        <w:rPr>
          <w:noProof/>
        </w:rPr>
        <w:fldChar w:fldCharType="separate"/>
      </w:r>
      <w:r w:rsidR="00AE4701">
        <w:rPr>
          <w:noProof/>
        </w:rPr>
        <w:t>24</w:t>
      </w:r>
      <w:r w:rsidR="009A186D">
        <w:rPr>
          <w:noProof/>
        </w:rPr>
        <w:fldChar w:fldCharType="end"/>
      </w:r>
    </w:p>
    <w:p w:rsidR="008156A8" w:rsidRDefault="008156A8" w:rsidP="005B524E">
      <w:pPr>
        <w:pStyle w:val="TableofFigures"/>
        <w:tabs>
          <w:tab w:val="right" w:leader="dot" w:pos="9910"/>
        </w:tabs>
        <w:suppressAutoHyphens w:val="0"/>
        <w:rPr>
          <w:rFonts w:asciiTheme="minorHAnsi" w:eastAsiaTheme="minorEastAsia" w:hAnsiTheme="minorHAnsi" w:cstheme="minorBidi"/>
          <w:noProof/>
          <w:kern w:val="0"/>
          <w:sz w:val="22"/>
          <w:szCs w:val="22"/>
          <w:lang w:val="en-US"/>
        </w:rPr>
      </w:pPr>
      <w:r>
        <w:rPr>
          <w:noProof/>
        </w:rPr>
        <w:t>Lentelė 4 Virtualaus universiteto modelių apibendrinimas</w:t>
      </w:r>
      <w:r>
        <w:rPr>
          <w:noProof/>
        </w:rPr>
        <w:tab/>
      </w:r>
      <w:r w:rsidR="009A186D">
        <w:rPr>
          <w:noProof/>
        </w:rPr>
        <w:fldChar w:fldCharType="begin"/>
      </w:r>
      <w:r>
        <w:rPr>
          <w:noProof/>
        </w:rPr>
        <w:instrText xml:space="preserve"> PAGEREF _Toc248866372 \h </w:instrText>
      </w:r>
      <w:r w:rsidR="009A186D">
        <w:rPr>
          <w:noProof/>
        </w:rPr>
      </w:r>
      <w:r w:rsidR="009A186D">
        <w:rPr>
          <w:noProof/>
        </w:rPr>
        <w:fldChar w:fldCharType="separate"/>
      </w:r>
      <w:r w:rsidR="00AE4701">
        <w:rPr>
          <w:noProof/>
        </w:rPr>
        <w:t>30</w:t>
      </w:r>
      <w:r w:rsidR="009A186D">
        <w:rPr>
          <w:noProof/>
        </w:rPr>
        <w:fldChar w:fldCharType="end"/>
      </w:r>
    </w:p>
    <w:p w:rsidR="008156A8" w:rsidRDefault="008156A8" w:rsidP="005B524E">
      <w:pPr>
        <w:pStyle w:val="TableofFigures"/>
        <w:tabs>
          <w:tab w:val="right" w:leader="dot" w:pos="9910"/>
        </w:tabs>
        <w:suppressAutoHyphens w:val="0"/>
        <w:rPr>
          <w:rFonts w:asciiTheme="minorHAnsi" w:eastAsiaTheme="minorEastAsia" w:hAnsiTheme="minorHAnsi" w:cstheme="minorBidi"/>
          <w:noProof/>
          <w:kern w:val="0"/>
          <w:sz w:val="22"/>
          <w:szCs w:val="22"/>
          <w:lang w:val="en-US"/>
        </w:rPr>
      </w:pPr>
      <w:r>
        <w:rPr>
          <w:noProof/>
        </w:rPr>
        <w:t>Lentelė 5 Virtualaus universiteto idėjos privalumų ir trukumų suvestinė</w:t>
      </w:r>
      <w:r>
        <w:rPr>
          <w:noProof/>
        </w:rPr>
        <w:tab/>
      </w:r>
      <w:r w:rsidR="009A186D">
        <w:rPr>
          <w:noProof/>
        </w:rPr>
        <w:fldChar w:fldCharType="begin"/>
      </w:r>
      <w:r>
        <w:rPr>
          <w:noProof/>
        </w:rPr>
        <w:instrText xml:space="preserve"> PAGEREF _Toc248866373 \h </w:instrText>
      </w:r>
      <w:r w:rsidR="009A186D">
        <w:rPr>
          <w:noProof/>
        </w:rPr>
      </w:r>
      <w:r w:rsidR="009A186D">
        <w:rPr>
          <w:noProof/>
        </w:rPr>
        <w:fldChar w:fldCharType="separate"/>
      </w:r>
      <w:r w:rsidR="00AE4701">
        <w:rPr>
          <w:noProof/>
        </w:rPr>
        <w:t>42</w:t>
      </w:r>
      <w:r w:rsidR="009A186D">
        <w:rPr>
          <w:noProof/>
        </w:rPr>
        <w:fldChar w:fldCharType="end"/>
      </w:r>
    </w:p>
    <w:p w:rsidR="008156A8" w:rsidRDefault="008156A8" w:rsidP="005B524E">
      <w:pPr>
        <w:pStyle w:val="TableofFigures"/>
        <w:tabs>
          <w:tab w:val="right" w:leader="dot" w:pos="9910"/>
        </w:tabs>
        <w:suppressAutoHyphens w:val="0"/>
        <w:rPr>
          <w:noProof/>
        </w:rPr>
      </w:pPr>
      <w:r>
        <w:rPr>
          <w:noProof/>
        </w:rPr>
        <w:t>Lentelė 6 VPSP galima nauda LVU programoje</w:t>
      </w:r>
      <w:r>
        <w:rPr>
          <w:noProof/>
        </w:rPr>
        <w:tab/>
      </w:r>
      <w:r w:rsidR="009A186D">
        <w:rPr>
          <w:noProof/>
        </w:rPr>
        <w:fldChar w:fldCharType="begin"/>
      </w:r>
      <w:r>
        <w:rPr>
          <w:noProof/>
        </w:rPr>
        <w:instrText xml:space="preserve"> PAGEREF _Toc248866374 \h </w:instrText>
      </w:r>
      <w:r w:rsidR="009A186D">
        <w:rPr>
          <w:noProof/>
        </w:rPr>
      </w:r>
      <w:r w:rsidR="009A186D">
        <w:rPr>
          <w:noProof/>
        </w:rPr>
        <w:fldChar w:fldCharType="separate"/>
      </w:r>
      <w:r w:rsidR="00AE4701">
        <w:rPr>
          <w:noProof/>
        </w:rPr>
        <w:t>50</w:t>
      </w:r>
      <w:r w:rsidR="009A186D">
        <w:rPr>
          <w:noProof/>
        </w:rPr>
        <w:fldChar w:fldCharType="end"/>
      </w:r>
    </w:p>
    <w:p w:rsidR="008156A8" w:rsidRDefault="008156A8" w:rsidP="005B524E">
      <w:pPr>
        <w:widowControl/>
        <w:suppressAutoHyphens w:val="0"/>
        <w:spacing w:line="240" w:lineRule="auto"/>
        <w:ind w:firstLine="0"/>
        <w:jc w:val="left"/>
        <w:rPr>
          <w:noProof/>
        </w:rPr>
      </w:pPr>
      <w:r>
        <w:rPr>
          <w:noProof/>
        </w:rPr>
        <w:br w:type="page"/>
      </w:r>
    </w:p>
    <w:p w:rsidR="00A5288B" w:rsidRPr="003C4E50" w:rsidRDefault="009A186D" w:rsidP="005B524E">
      <w:pPr>
        <w:pStyle w:val="ContentsHeading"/>
        <w:suppressAutoHyphens w:val="0"/>
        <w:jc w:val="center"/>
        <w:rPr>
          <w:rFonts w:ascii="Times New Roman" w:hAnsi="Times New Roman" w:cs="Times New Roman"/>
          <w:caps/>
          <w:kern w:val="32"/>
          <w:lang w:eastAsia="ar-SA"/>
        </w:rPr>
      </w:pPr>
      <w:r>
        <w:rPr>
          <w:lang w:eastAsia="ar-SA"/>
        </w:rPr>
        <w:lastRenderedPageBreak/>
        <w:fldChar w:fldCharType="end"/>
      </w:r>
      <w:r w:rsidR="00A5288B" w:rsidRPr="003C4E50">
        <w:rPr>
          <w:rFonts w:ascii="Times New Roman" w:hAnsi="Times New Roman" w:cs="Times New Roman"/>
          <w:caps/>
          <w:kern w:val="32"/>
          <w:lang w:eastAsia="ar-SA"/>
        </w:rPr>
        <w:t>Schemos</w:t>
      </w:r>
    </w:p>
    <w:p w:rsidR="008156A8" w:rsidRDefault="009A186D" w:rsidP="005B524E">
      <w:pPr>
        <w:pStyle w:val="TableofFigures"/>
        <w:tabs>
          <w:tab w:val="right" w:leader="dot" w:pos="9910"/>
        </w:tabs>
        <w:suppressAutoHyphens w:val="0"/>
        <w:rPr>
          <w:rFonts w:asciiTheme="minorHAnsi" w:eastAsiaTheme="minorEastAsia" w:hAnsiTheme="minorHAnsi" w:cstheme="minorBidi"/>
          <w:noProof/>
          <w:kern w:val="0"/>
          <w:sz w:val="22"/>
          <w:szCs w:val="22"/>
          <w:lang w:val="en-US"/>
        </w:rPr>
      </w:pPr>
      <w:r>
        <w:rPr>
          <w:lang w:eastAsia="ar-SA"/>
        </w:rPr>
        <w:fldChar w:fldCharType="begin"/>
      </w:r>
      <w:r w:rsidR="00A5288B">
        <w:rPr>
          <w:lang w:eastAsia="ar-SA"/>
        </w:rPr>
        <w:instrText xml:space="preserve"> TOC \c "Schema" </w:instrText>
      </w:r>
      <w:r>
        <w:rPr>
          <w:lang w:eastAsia="ar-SA"/>
        </w:rPr>
        <w:fldChar w:fldCharType="separate"/>
      </w:r>
      <w:r w:rsidR="008156A8">
        <w:rPr>
          <w:noProof/>
        </w:rPr>
        <w:t>Schema 1 Rizikos paskirstymas</w:t>
      </w:r>
      <w:r w:rsidR="008156A8">
        <w:rPr>
          <w:noProof/>
        </w:rPr>
        <w:tab/>
      </w:r>
      <w:r>
        <w:rPr>
          <w:noProof/>
        </w:rPr>
        <w:fldChar w:fldCharType="begin"/>
      </w:r>
      <w:r w:rsidR="008156A8">
        <w:rPr>
          <w:noProof/>
        </w:rPr>
        <w:instrText xml:space="preserve"> PAGEREF _Toc248866381 \h </w:instrText>
      </w:r>
      <w:r>
        <w:rPr>
          <w:noProof/>
        </w:rPr>
      </w:r>
      <w:r>
        <w:rPr>
          <w:noProof/>
        </w:rPr>
        <w:fldChar w:fldCharType="separate"/>
      </w:r>
      <w:r w:rsidR="00E87089">
        <w:rPr>
          <w:noProof/>
        </w:rPr>
        <w:t>14</w:t>
      </w:r>
      <w:r>
        <w:rPr>
          <w:noProof/>
        </w:rPr>
        <w:fldChar w:fldCharType="end"/>
      </w:r>
    </w:p>
    <w:p w:rsidR="008156A8" w:rsidRDefault="008156A8" w:rsidP="005B524E">
      <w:pPr>
        <w:pStyle w:val="TableofFigures"/>
        <w:tabs>
          <w:tab w:val="right" w:leader="dot" w:pos="9910"/>
        </w:tabs>
        <w:suppressAutoHyphens w:val="0"/>
        <w:rPr>
          <w:rFonts w:asciiTheme="minorHAnsi" w:eastAsiaTheme="minorEastAsia" w:hAnsiTheme="minorHAnsi" w:cstheme="minorBidi"/>
          <w:noProof/>
          <w:kern w:val="0"/>
          <w:sz w:val="22"/>
          <w:szCs w:val="22"/>
          <w:lang w:val="en-US"/>
        </w:rPr>
      </w:pPr>
      <w:r>
        <w:rPr>
          <w:noProof/>
        </w:rPr>
        <w:t>Schema 2 Viešojo ir privataus sektorių partnerystės formos (rūšys)</w:t>
      </w:r>
      <w:r>
        <w:rPr>
          <w:noProof/>
        </w:rPr>
        <w:tab/>
      </w:r>
      <w:r w:rsidR="009A186D">
        <w:rPr>
          <w:noProof/>
        </w:rPr>
        <w:fldChar w:fldCharType="begin"/>
      </w:r>
      <w:r>
        <w:rPr>
          <w:noProof/>
        </w:rPr>
        <w:instrText xml:space="preserve"> PAGEREF _Toc248866382 \h </w:instrText>
      </w:r>
      <w:r w:rsidR="009A186D">
        <w:rPr>
          <w:noProof/>
        </w:rPr>
      </w:r>
      <w:r w:rsidR="009A186D">
        <w:rPr>
          <w:noProof/>
        </w:rPr>
        <w:fldChar w:fldCharType="separate"/>
      </w:r>
      <w:r w:rsidR="00E87089">
        <w:rPr>
          <w:noProof/>
        </w:rPr>
        <w:t>19</w:t>
      </w:r>
      <w:r w:rsidR="009A186D">
        <w:rPr>
          <w:noProof/>
        </w:rPr>
        <w:fldChar w:fldCharType="end"/>
      </w:r>
    </w:p>
    <w:p w:rsidR="008156A8" w:rsidRDefault="008156A8" w:rsidP="005B524E">
      <w:pPr>
        <w:pStyle w:val="TableofFigures"/>
        <w:tabs>
          <w:tab w:val="right" w:leader="dot" w:pos="9910"/>
        </w:tabs>
        <w:suppressAutoHyphens w:val="0"/>
        <w:rPr>
          <w:rFonts w:asciiTheme="minorHAnsi" w:eastAsiaTheme="minorEastAsia" w:hAnsiTheme="minorHAnsi" w:cstheme="minorBidi"/>
          <w:noProof/>
          <w:kern w:val="0"/>
          <w:sz w:val="22"/>
          <w:szCs w:val="22"/>
          <w:lang w:val="en-US"/>
        </w:rPr>
      </w:pPr>
      <w:r>
        <w:rPr>
          <w:noProof/>
        </w:rPr>
        <w:t>Schema 3 VPSP projekto įgyvendinimas</w:t>
      </w:r>
      <w:r>
        <w:rPr>
          <w:noProof/>
        </w:rPr>
        <w:tab/>
      </w:r>
      <w:r w:rsidR="009A186D">
        <w:rPr>
          <w:noProof/>
        </w:rPr>
        <w:fldChar w:fldCharType="begin"/>
      </w:r>
      <w:r>
        <w:rPr>
          <w:noProof/>
        </w:rPr>
        <w:instrText xml:space="preserve"> PAGEREF _Toc248866383 \h </w:instrText>
      </w:r>
      <w:r w:rsidR="009A186D">
        <w:rPr>
          <w:noProof/>
        </w:rPr>
      </w:r>
      <w:r w:rsidR="009A186D">
        <w:rPr>
          <w:noProof/>
        </w:rPr>
        <w:fldChar w:fldCharType="separate"/>
      </w:r>
      <w:r w:rsidR="00E87089">
        <w:rPr>
          <w:noProof/>
        </w:rPr>
        <w:t>20</w:t>
      </w:r>
      <w:r w:rsidR="009A186D">
        <w:rPr>
          <w:noProof/>
        </w:rPr>
        <w:fldChar w:fldCharType="end"/>
      </w:r>
    </w:p>
    <w:p w:rsidR="008156A8" w:rsidRDefault="008156A8" w:rsidP="005B524E">
      <w:pPr>
        <w:pStyle w:val="TableofFigures"/>
        <w:tabs>
          <w:tab w:val="right" w:leader="dot" w:pos="9910"/>
        </w:tabs>
        <w:suppressAutoHyphens w:val="0"/>
        <w:rPr>
          <w:rFonts w:asciiTheme="minorHAnsi" w:eastAsiaTheme="minorEastAsia" w:hAnsiTheme="minorHAnsi" w:cstheme="minorBidi"/>
          <w:noProof/>
          <w:kern w:val="0"/>
          <w:sz w:val="22"/>
          <w:szCs w:val="22"/>
          <w:lang w:val="en-US"/>
        </w:rPr>
      </w:pPr>
      <w:r>
        <w:rPr>
          <w:noProof/>
        </w:rPr>
        <w:t>Schema 4 Pagrindiniai LVU uždaviniai</w:t>
      </w:r>
      <w:r>
        <w:rPr>
          <w:noProof/>
        </w:rPr>
        <w:tab/>
      </w:r>
      <w:r w:rsidR="009A186D">
        <w:rPr>
          <w:noProof/>
        </w:rPr>
        <w:fldChar w:fldCharType="begin"/>
      </w:r>
      <w:r>
        <w:rPr>
          <w:noProof/>
        </w:rPr>
        <w:instrText xml:space="preserve"> PAGEREF _Toc248866384 \h </w:instrText>
      </w:r>
      <w:r w:rsidR="009A186D">
        <w:rPr>
          <w:noProof/>
        </w:rPr>
      </w:r>
      <w:r w:rsidR="009A186D">
        <w:rPr>
          <w:noProof/>
        </w:rPr>
        <w:fldChar w:fldCharType="separate"/>
      </w:r>
      <w:r w:rsidR="00E87089">
        <w:rPr>
          <w:noProof/>
        </w:rPr>
        <w:t>36</w:t>
      </w:r>
      <w:r w:rsidR="009A186D">
        <w:rPr>
          <w:noProof/>
        </w:rPr>
        <w:fldChar w:fldCharType="end"/>
      </w:r>
    </w:p>
    <w:p w:rsidR="00F70EDE" w:rsidRDefault="009A186D" w:rsidP="005B524E">
      <w:pPr>
        <w:suppressAutoHyphens w:val="0"/>
        <w:ind w:left="567" w:firstLine="0"/>
        <w:rPr>
          <w:lang w:eastAsia="ar-SA"/>
        </w:rPr>
      </w:pPr>
      <w:r>
        <w:rPr>
          <w:lang w:eastAsia="ar-SA"/>
        </w:rPr>
        <w:fldChar w:fldCharType="end"/>
      </w:r>
    </w:p>
    <w:p w:rsidR="00F70EDE" w:rsidRDefault="00F70EDE" w:rsidP="005B524E">
      <w:pPr>
        <w:widowControl/>
        <w:suppressAutoHyphens w:val="0"/>
        <w:spacing w:line="240" w:lineRule="auto"/>
        <w:ind w:firstLine="0"/>
        <w:jc w:val="left"/>
        <w:rPr>
          <w:lang w:eastAsia="ar-SA"/>
        </w:rPr>
      </w:pPr>
      <w:r>
        <w:rPr>
          <w:lang w:eastAsia="ar-SA"/>
        </w:rPr>
        <w:br w:type="page"/>
      </w:r>
    </w:p>
    <w:p w:rsidR="00F70EDE" w:rsidRPr="003C4E50" w:rsidRDefault="00F70EDE" w:rsidP="005B524E">
      <w:pPr>
        <w:pStyle w:val="ContentsHeading"/>
        <w:suppressAutoHyphens w:val="0"/>
        <w:jc w:val="center"/>
        <w:rPr>
          <w:rFonts w:ascii="Times New Roman" w:hAnsi="Times New Roman" w:cs="Times New Roman"/>
          <w:caps/>
          <w:kern w:val="32"/>
          <w:lang w:eastAsia="ar-SA"/>
        </w:rPr>
      </w:pPr>
      <w:r>
        <w:rPr>
          <w:rFonts w:ascii="Times New Roman" w:hAnsi="Times New Roman" w:cs="Times New Roman"/>
          <w:caps/>
          <w:kern w:val="32"/>
          <w:lang w:eastAsia="ar-SA"/>
        </w:rPr>
        <w:lastRenderedPageBreak/>
        <w:t>Santrumpos</w:t>
      </w:r>
    </w:p>
    <w:p w:rsidR="00B661FF" w:rsidRDefault="00B661FF" w:rsidP="005B524E">
      <w:pPr>
        <w:pStyle w:val="ListParagraph"/>
        <w:numPr>
          <w:ilvl w:val="0"/>
          <w:numId w:val="57"/>
        </w:numPr>
        <w:suppressAutoHyphens w:val="0"/>
      </w:pPr>
      <w:r w:rsidRPr="00E44530">
        <w:rPr>
          <w:b/>
        </w:rPr>
        <w:t>EMSaS</w:t>
      </w:r>
      <w:r>
        <w:t xml:space="preserve"> – </w:t>
      </w:r>
      <w:r w:rsidRPr="001D1438">
        <w:rPr>
          <w:rFonts w:eastAsia="Arial"/>
          <w:lang w:bidi="en-US"/>
        </w:rPr>
        <w:t>L</w:t>
      </w:r>
      <w:r w:rsidRPr="001D1438">
        <w:rPr>
          <w:rFonts w:eastAsia="TimesNewRoman" w:cs="TimesNewRoman"/>
          <w:lang w:bidi="en-US"/>
        </w:rPr>
        <w:t>ietuvos virtualaus universiteto 2007</w:t>
      </w:r>
      <w:r>
        <w:rPr>
          <w:rFonts w:eastAsia="TimesNewRoman" w:cs="TimesNewRoman"/>
          <w:lang w:bidi="en-US"/>
        </w:rPr>
        <w:t>–</w:t>
      </w:r>
      <w:r w:rsidRPr="001D1438">
        <w:rPr>
          <w:rFonts w:eastAsia="TimesNewRoman" w:cs="TimesNewRoman"/>
          <w:lang w:bidi="en-US"/>
        </w:rPr>
        <w:t>2012 metų programo</w:t>
      </w:r>
      <w:r>
        <w:rPr>
          <w:rFonts w:eastAsia="TimesNewRoman" w:cs="TimesNewRoman"/>
          <w:lang w:bidi="en-US"/>
        </w:rPr>
        <w:t>s</w:t>
      </w:r>
      <w:r>
        <w:t xml:space="preserve"> paprogramė „E. mokymosi procesų skatinimas virtualioje erdvėje“;</w:t>
      </w:r>
    </w:p>
    <w:p w:rsidR="00B661FF" w:rsidRPr="00881E38" w:rsidRDefault="00B661FF" w:rsidP="005B524E">
      <w:pPr>
        <w:pStyle w:val="ListParagraph"/>
        <w:numPr>
          <w:ilvl w:val="0"/>
          <w:numId w:val="57"/>
        </w:numPr>
        <w:suppressAutoHyphens w:val="0"/>
      </w:pPr>
      <w:r w:rsidRPr="00E44530">
        <w:rPr>
          <w:rFonts w:ascii="TimesNewRomanPSMT" w:eastAsia="Times New Roman" w:hAnsi="TimesNewRomanPSMT" w:cs="TimesNewRomanPSMT"/>
          <w:b/>
          <w:kern w:val="0"/>
          <w:lang w:eastAsia="lt-LT"/>
        </w:rPr>
        <w:t>ES</w:t>
      </w:r>
      <w:r>
        <w:rPr>
          <w:rFonts w:ascii="TimesNewRomanPSMT" w:eastAsia="Times New Roman" w:hAnsi="TimesNewRomanPSMT" w:cs="TimesNewRomanPSMT"/>
          <w:kern w:val="0"/>
          <w:lang w:eastAsia="lt-LT"/>
        </w:rPr>
        <w:t xml:space="preserve"> – Europos Sąjunga;</w:t>
      </w:r>
    </w:p>
    <w:p w:rsidR="00B661FF" w:rsidRDefault="00B661FF" w:rsidP="005B524E">
      <w:pPr>
        <w:pStyle w:val="ListParagraph"/>
        <w:numPr>
          <w:ilvl w:val="0"/>
          <w:numId w:val="57"/>
        </w:numPr>
        <w:suppressAutoHyphens w:val="0"/>
      </w:pPr>
      <w:r w:rsidRPr="00E44530">
        <w:rPr>
          <w:b/>
        </w:rPr>
        <w:t>IRT</w:t>
      </w:r>
      <w:r>
        <w:t xml:space="preserve"> – Informacinės ryšio technologijos;</w:t>
      </w:r>
    </w:p>
    <w:p w:rsidR="00B661FF" w:rsidRPr="00233A53" w:rsidRDefault="00B661FF" w:rsidP="005B524E">
      <w:pPr>
        <w:pStyle w:val="ListParagraph"/>
        <w:numPr>
          <w:ilvl w:val="0"/>
          <w:numId w:val="57"/>
        </w:numPr>
        <w:suppressAutoHyphens w:val="0"/>
      </w:pPr>
      <w:r w:rsidRPr="00B661FF">
        <w:rPr>
          <w:b/>
        </w:rPr>
        <w:t>ITMiS</w:t>
      </w:r>
      <w:r>
        <w:t xml:space="preserve"> – P</w:t>
      </w:r>
      <w:r w:rsidRPr="00B661FF">
        <w:t>rograma „Informacinės technologijos mokslui ir studijoms"</w:t>
      </w:r>
      <w:r w:rsidR="009A2E54">
        <w:t>;</w:t>
      </w:r>
    </w:p>
    <w:p w:rsidR="00B661FF" w:rsidRDefault="00B661FF" w:rsidP="005B524E">
      <w:pPr>
        <w:pStyle w:val="ListParagraph"/>
        <w:numPr>
          <w:ilvl w:val="0"/>
          <w:numId w:val="57"/>
        </w:numPr>
        <w:suppressAutoHyphens w:val="0"/>
      </w:pPr>
      <w:r w:rsidRPr="00E44530">
        <w:rPr>
          <w:b/>
        </w:rPr>
        <w:t>LABT</w:t>
      </w:r>
      <w:r w:rsidR="00904AA8">
        <w:rPr>
          <w:b/>
        </w:rPr>
        <w:t xml:space="preserve"> </w:t>
      </w:r>
      <w:r>
        <w:t xml:space="preserve">– </w:t>
      </w:r>
      <w:r w:rsidRPr="001D1438">
        <w:rPr>
          <w:rFonts w:eastAsia="Arial"/>
          <w:lang w:bidi="en-US"/>
        </w:rPr>
        <w:t>L</w:t>
      </w:r>
      <w:r w:rsidRPr="001D1438">
        <w:rPr>
          <w:rFonts w:eastAsia="TimesNewRoman" w:cs="TimesNewRoman"/>
          <w:lang w:bidi="en-US"/>
        </w:rPr>
        <w:t>ietuvos virtualaus universiteto 2007</w:t>
      </w:r>
      <w:r>
        <w:rPr>
          <w:rFonts w:eastAsia="TimesNewRoman" w:cs="TimesNewRoman"/>
          <w:lang w:bidi="en-US"/>
        </w:rPr>
        <w:t>–</w:t>
      </w:r>
      <w:r w:rsidRPr="001D1438">
        <w:rPr>
          <w:rFonts w:eastAsia="TimesNewRoman" w:cs="TimesNewRoman"/>
          <w:lang w:bidi="en-US"/>
        </w:rPr>
        <w:t>2012 metų programo</w:t>
      </w:r>
      <w:r>
        <w:rPr>
          <w:rFonts w:eastAsia="TimesNewRoman" w:cs="TimesNewRoman"/>
          <w:lang w:bidi="en-US"/>
        </w:rPr>
        <w:t>s</w:t>
      </w:r>
      <w:r>
        <w:t xml:space="preserve"> paprogramė „Lietuvos mokslo ir studijų integruotos informacinės erdvės plėtra“;</w:t>
      </w:r>
    </w:p>
    <w:p w:rsidR="00B661FF" w:rsidRDefault="00B661FF" w:rsidP="005B524E">
      <w:pPr>
        <w:pStyle w:val="ListParagraph"/>
        <w:numPr>
          <w:ilvl w:val="0"/>
          <w:numId w:val="57"/>
        </w:numPr>
        <w:suppressAutoHyphens w:val="0"/>
      </w:pPr>
      <w:r w:rsidRPr="00E44530">
        <w:rPr>
          <w:b/>
        </w:rPr>
        <w:t>LieDM</w:t>
      </w:r>
      <w:r>
        <w:t xml:space="preserve"> – </w:t>
      </w:r>
      <w:r w:rsidRPr="001D1438">
        <w:rPr>
          <w:rFonts w:eastAsia="Arial"/>
          <w:lang w:bidi="en-US"/>
        </w:rPr>
        <w:t>L</w:t>
      </w:r>
      <w:r w:rsidRPr="001D1438">
        <w:rPr>
          <w:rFonts w:eastAsia="TimesNewRoman" w:cs="TimesNewRoman"/>
          <w:lang w:bidi="en-US"/>
        </w:rPr>
        <w:t>ietuvos virtualaus universiteto 2007</w:t>
      </w:r>
      <w:r>
        <w:rPr>
          <w:rFonts w:eastAsia="TimesNewRoman" w:cs="TimesNewRoman"/>
          <w:lang w:bidi="en-US"/>
        </w:rPr>
        <w:t>–</w:t>
      </w:r>
      <w:r w:rsidRPr="001D1438">
        <w:rPr>
          <w:rFonts w:eastAsia="TimesNewRoman" w:cs="TimesNewRoman"/>
          <w:lang w:bidi="en-US"/>
        </w:rPr>
        <w:t>2012 metų programo</w:t>
      </w:r>
      <w:r>
        <w:rPr>
          <w:rFonts w:eastAsia="TimesNewRoman" w:cs="TimesNewRoman"/>
          <w:lang w:bidi="en-US"/>
        </w:rPr>
        <w:t>s</w:t>
      </w:r>
      <w:r>
        <w:t xml:space="preserve"> paprogramė „Lietuvos e. mokymosi infrastruktūros plėtra“;</w:t>
      </w:r>
    </w:p>
    <w:p w:rsidR="00B661FF" w:rsidRDefault="00B661FF" w:rsidP="005B524E">
      <w:pPr>
        <w:pStyle w:val="ListParagraph"/>
        <w:numPr>
          <w:ilvl w:val="0"/>
          <w:numId w:val="57"/>
        </w:numPr>
        <w:suppressAutoHyphens w:val="0"/>
      </w:pPr>
      <w:r w:rsidRPr="00E44530">
        <w:rPr>
          <w:b/>
        </w:rPr>
        <w:t>LieMSIS</w:t>
      </w:r>
      <w:r>
        <w:t xml:space="preserve"> – </w:t>
      </w:r>
      <w:r w:rsidRPr="001D1438">
        <w:rPr>
          <w:rFonts w:eastAsia="Arial"/>
          <w:lang w:bidi="en-US"/>
        </w:rPr>
        <w:t>L</w:t>
      </w:r>
      <w:r w:rsidRPr="001D1438">
        <w:rPr>
          <w:rFonts w:eastAsia="TimesNewRoman" w:cs="TimesNewRoman"/>
          <w:lang w:bidi="en-US"/>
        </w:rPr>
        <w:t>ietuvos virtualaus universiteto 2007</w:t>
      </w:r>
      <w:r>
        <w:rPr>
          <w:rFonts w:eastAsia="TimesNewRoman" w:cs="TimesNewRoman"/>
          <w:lang w:bidi="en-US"/>
        </w:rPr>
        <w:t>–</w:t>
      </w:r>
      <w:r w:rsidRPr="001D1438">
        <w:rPr>
          <w:rFonts w:eastAsia="TimesNewRoman" w:cs="TimesNewRoman"/>
          <w:lang w:bidi="en-US"/>
        </w:rPr>
        <w:t>2012 metų programo</w:t>
      </w:r>
      <w:r>
        <w:rPr>
          <w:rFonts w:eastAsia="TimesNewRoman" w:cs="TimesNewRoman"/>
          <w:lang w:bidi="en-US"/>
        </w:rPr>
        <w:t>s</w:t>
      </w:r>
      <w:r>
        <w:t xml:space="preserve"> paprogramė „Lietuvos mokslo ir studijų planavimo, valdymo ir savitarnos infrastruktūros plėtra“;</w:t>
      </w:r>
    </w:p>
    <w:p w:rsidR="00B661FF" w:rsidRPr="00881E38" w:rsidRDefault="00B661FF" w:rsidP="005B524E">
      <w:pPr>
        <w:pStyle w:val="ListParagraph"/>
        <w:numPr>
          <w:ilvl w:val="0"/>
          <w:numId w:val="57"/>
        </w:numPr>
        <w:suppressAutoHyphens w:val="0"/>
      </w:pPr>
      <w:r w:rsidRPr="00E44530">
        <w:rPr>
          <w:rFonts w:ascii="TimesNewRomanPSMT" w:eastAsia="Times New Roman" w:hAnsi="TimesNewRomanPSMT" w:cs="TimesNewRomanPSMT"/>
          <w:b/>
          <w:kern w:val="0"/>
          <w:lang w:eastAsia="lt-LT"/>
        </w:rPr>
        <w:t>LR</w:t>
      </w:r>
      <w:r>
        <w:rPr>
          <w:rFonts w:ascii="TimesNewRomanPSMT" w:eastAsia="Times New Roman" w:hAnsi="TimesNewRomanPSMT" w:cs="TimesNewRomanPSMT"/>
          <w:kern w:val="0"/>
          <w:lang w:eastAsia="lt-LT"/>
        </w:rPr>
        <w:t xml:space="preserve"> – Lietuvos Respublika;</w:t>
      </w:r>
    </w:p>
    <w:p w:rsidR="00B661FF" w:rsidRPr="00881E38" w:rsidRDefault="00B661FF" w:rsidP="005B524E">
      <w:pPr>
        <w:pStyle w:val="ListParagraph"/>
        <w:numPr>
          <w:ilvl w:val="0"/>
          <w:numId w:val="57"/>
        </w:numPr>
        <w:suppressAutoHyphens w:val="0"/>
      </w:pPr>
      <w:r w:rsidRPr="00E44530">
        <w:rPr>
          <w:rFonts w:ascii="TimesNewRomanPSMT" w:eastAsia="Times New Roman" w:hAnsi="TimesNewRomanPSMT" w:cs="TimesNewRomanPSMT"/>
          <w:b/>
          <w:kern w:val="0"/>
          <w:lang w:eastAsia="lt-LT"/>
        </w:rPr>
        <w:t>LVU</w:t>
      </w:r>
      <w:r>
        <w:rPr>
          <w:rFonts w:ascii="TimesNewRomanPSMT" w:eastAsia="Times New Roman" w:hAnsi="TimesNewRomanPSMT" w:cs="TimesNewRomanPSMT"/>
          <w:kern w:val="0"/>
          <w:lang w:eastAsia="lt-LT"/>
        </w:rPr>
        <w:t xml:space="preserve"> – </w:t>
      </w:r>
      <w:r w:rsidRPr="001D1438">
        <w:rPr>
          <w:rFonts w:eastAsia="Arial"/>
          <w:lang w:bidi="en-US"/>
        </w:rPr>
        <w:t>L</w:t>
      </w:r>
      <w:r w:rsidRPr="001D1438">
        <w:rPr>
          <w:rFonts w:eastAsia="TimesNewRoman" w:cs="TimesNewRoman"/>
          <w:lang w:bidi="en-US"/>
        </w:rPr>
        <w:t>ietuvos virtualaus universiteto 2007</w:t>
      </w:r>
      <w:r>
        <w:rPr>
          <w:rFonts w:eastAsia="TimesNewRoman" w:cs="TimesNewRoman"/>
          <w:lang w:bidi="en-US"/>
        </w:rPr>
        <w:t>–2012 metų programa;</w:t>
      </w:r>
    </w:p>
    <w:p w:rsidR="00B661FF" w:rsidRDefault="00B661FF" w:rsidP="005B524E">
      <w:pPr>
        <w:pStyle w:val="ListParagraph"/>
        <w:numPr>
          <w:ilvl w:val="0"/>
          <w:numId w:val="57"/>
        </w:numPr>
        <w:suppressAutoHyphens w:val="0"/>
      </w:pPr>
      <w:r w:rsidRPr="00E44530">
        <w:rPr>
          <w:b/>
        </w:rPr>
        <w:t>VPSP</w:t>
      </w:r>
      <w:r>
        <w:t xml:space="preserve"> – viešojo ir privataus sektorių partnerystė;</w:t>
      </w:r>
    </w:p>
    <w:p w:rsidR="00895F5C" w:rsidRPr="003C4E50" w:rsidRDefault="00A5288B" w:rsidP="005B524E">
      <w:pPr>
        <w:pStyle w:val="ContentsHeading"/>
        <w:suppressAutoHyphens w:val="0"/>
        <w:jc w:val="center"/>
        <w:rPr>
          <w:rFonts w:ascii="Times New Roman" w:hAnsi="Times New Roman" w:cs="Times New Roman"/>
          <w:caps/>
          <w:kern w:val="32"/>
        </w:rPr>
      </w:pPr>
      <w:r>
        <w:rPr>
          <w:lang w:eastAsia="ar-SA"/>
        </w:rPr>
        <w:br w:type="page"/>
      </w:r>
      <w:r w:rsidR="00F724CA" w:rsidRPr="003C4E50">
        <w:rPr>
          <w:rFonts w:ascii="Times New Roman" w:hAnsi="Times New Roman" w:cs="Times New Roman"/>
          <w:caps/>
          <w:kern w:val="32"/>
          <w:lang w:eastAsia="ar-SA"/>
        </w:rPr>
        <w:lastRenderedPageBreak/>
        <w:t>Įvadas</w:t>
      </w:r>
    </w:p>
    <w:p w:rsidR="00D55CB5" w:rsidRPr="00D55CB5" w:rsidRDefault="00895F5C" w:rsidP="005B524E">
      <w:pPr>
        <w:suppressAutoHyphens w:val="0"/>
      </w:pPr>
      <w:r w:rsidRPr="001D1438">
        <w:t>Informacinės</w:t>
      </w:r>
      <w:r w:rsidR="00881E38">
        <w:t xml:space="preserve"> ir ryšių technologijos</w:t>
      </w:r>
      <w:r w:rsidR="006F244B">
        <w:t xml:space="preserve"> (toliau – IRT)</w:t>
      </w:r>
      <w:r w:rsidRPr="001D1438">
        <w:t xml:space="preserve"> keičia studijų aplinką</w:t>
      </w:r>
      <w:r w:rsidR="00D55CB5">
        <w:t xml:space="preserve"> ir formas:</w:t>
      </w:r>
      <w:r w:rsidRPr="001D1438">
        <w:t xml:space="preserve"> </w:t>
      </w:r>
      <w:r w:rsidR="00D55CB5">
        <w:t>n</w:t>
      </w:r>
      <w:r w:rsidR="00D55CB5" w:rsidRPr="00D55CB5">
        <w:t>uotolinio švietimo plėtrai didelę įtaką padarė IRT atsiradimas, o technologijų plėtra d</w:t>
      </w:r>
      <w:r w:rsidR="00A9736F">
        <w:t>avė</w:t>
      </w:r>
      <w:r w:rsidR="00D55CB5" w:rsidRPr="00D55CB5">
        <w:t xml:space="preserve"> naują impulsą tobulinti tradicinio švietimo metodus ir taikyti juos mokyklose bei universitetuose</w:t>
      </w:r>
      <w:r w:rsidR="00D55CB5">
        <w:t xml:space="preserve"> </w:t>
      </w:r>
      <w:r w:rsidR="00D55CB5" w:rsidRPr="00D55CB5">
        <w:t>(Butkevičienė ir kt., 2008).</w:t>
      </w:r>
    </w:p>
    <w:p w:rsidR="00547423" w:rsidRDefault="005B381F" w:rsidP="005B524E">
      <w:pPr>
        <w:suppressAutoHyphens w:val="0"/>
      </w:pPr>
      <w:r w:rsidRPr="001D1438">
        <w:t>Narožnij (2005) pa</w:t>
      </w:r>
      <w:r>
        <w:t>žymi</w:t>
      </w:r>
      <w:r w:rsidRPr="001D1438">
        <w:t>, kad</w:t>
      </w:r>
      <w:r w:rsidRPr="001D1438">
        <w:rPr>
          <w:kern w:val="0"/>
          <w:lang w:eastAsia="lt-LT"/>
        </w:rPr>
        <w:t xml:space="preserve"> </w:t>
      </w:r>
      <w:r w:rsidRPr="001D1438">
        <w:t>„</w:t>
      </w:r>
      <w:r w:rsidRPr="001D1438">
        <w:rPr>
          <w:kern w:val="0"/>
          <w:lang w:eastAsia="lt-LT"/>
        </w:rPr>
        <w:t>informacinės technologijos vis dažniau naudojamos mokymo ir mokymosi procesams pagerinti</w:t>
      </w:r>
      <w:r w:rsidRPr="001D1438">
        <w:t>“</w:t>
      </w:r>
      <w:r>
        <w:rPr>
          <w:kern w:val="0"/>
          <w:lang w:eastAsia="lt-LT"/>
        </w:rPr>
        <w:t>, nes t</w:t>
      </w:r>
      <w:r w:rsidR="00895F5C" w:rsidRPr="001D1438">
        <w:rPr>
          <w:kern w:val="0"/>
          <w:lang w:eastAsia="lt-LT"/>
        </w:rPr>
        <w:t xml:space="preserve">radiciniai mokymo metodai nebegali patenkinti šiandieninės besimokančios visuomenės poreikių. </w:t>
      </w:r>
      <w:r w:rsidR="00B1725E">
        <w:rPr>
          <w:kern w:val="0"/>
          <w:lang w:eastAsia="lt-LT"/>
        </w:rPr>
        <w:t xml:space="preserve">Mokiniai ir </w:t>
      </w:r>
      <w:r w:rsidR="00B1725E" w:rsidRPr="00B1725E">
        <w:rPr>
          <w:kern w:val="0"/>
          <w:lang w:eastAsia="lt-LT"/>
        </w:rPr>
        <w:t xml:space="preserve">studentai </w:t>
      </w:r>
      <w:r w:rsidR="00B1725E">
        <w:rPr>
          <w:kern w:val="0"/>
          <w:lang w:eastAsia="lt-LT"/>
        </w:rPr>
        <w:t>yra</w:t>
      </w:r>
      <w:r w:rsidR="00B1725E" w:rsidRPr="00B1725E">
        <w:rPr>
          <w:kern w:val="0"/>
          <w:lang w:eastAsia="lt-LT"/>
        </w:rPr>
        <w:t xml:space="preserve"> skaitmeninės visuomenės </w:t>
      </w:r>
      <w:r w:rsidR="00B1725E" w:rsidRPr="001D1438">
        <w:t>„</w:t>
      </w:r>
      <w:r w:rsidR="00B1725E" w:rsidRPr="00B1725E">
        <w:rPr>
          <w:kern w:val="0"/>
          <w:lang w:eastAsia="lt-LT"/>
        </w:rPr>
        <w:t>čiabuviai</w:t>
      </w:r>
      <w:r w:rsidR="00B1725E" w:rsidRPr="001D1438">
        <w:t>“</w:t>
      </w:r>
      <w:r w:rsidR="00032F9E">
        <w:rPr>
          <w:kern w:val="0"/>
          <w:lang w:eastAsia="lt-LT"/>
        </w:rPr>
        <w:t>, jie turi įgimtą jos suvokimą</w:t>
      </w:r>
      <w:r w:rsidR="00224C43">
        <w:rPr>
          <w:kern w:val="0"/>
          <w:lang w:eastAsia="lt-LT"/>
        </w:rPr>
        <w:t xml:space="preserve">, </w:t>
      </w:r>
      <w:r w:rsidR="00032F9E">
        <w:rPr>
          <w:kern w:val="0"/>
          <w:lang w:eastAsia="lt-LT"/>
        </w:rPr>
        <w:t xml:space="preserve">todėl </w:t>
      </w:r>
      <w:r w:rsidR="00224C43">
        <w:rPr>
          <w:kern w:val="0"/>
          <w:lang w:eastAsia="lt-LT"/>
        </w:rPr>
        <w:t>jiems netinka tradicinis mokymas(</w:t>
      </w:r>
      <w:proofErr w:type="spellStart"/>
      <w:r w:rsidR="00224C43">
        <w:rPr>
          <w:kern w:val="0"/>
          <w:lang w:eastAsia="lt-LT"/>
        </w:rPr>
        <w:t>is</w:t>
      </w:r>
      <w:proofErr w:type="spellEnd"/>
      <w:r w:rsidR="00224C43">
        <w:rPr>
          <w:kern w:val="0"/>
          <w:lang w:eastAsia="lt-LT"/>
        </w:rPr>
        <w:t>) (</w:t>
      </w:r>
      <w:r w:rsidR="00224C43" w:rsidRPr="00032F9E">
        <w:rPr>
          <w:kern w:val="0"/>
          <w:lang w:eastAsia="lt-LT"/>
        </w:rPr>
        <w:t>Prensky</w:t>
      </w:r>
      <w:r w:rsidR="00224C43">
        <w:rPr>
          <w:kern w:val="0"/>
          <w:lang w:eastAsia="lt-LT"/>
        </w:rPr>
        <w:t xml:space="preserve">, 2001). </w:t>
      </w:r>
      <w:r w:rsidR="004C0194">
        <w:rPr>
          <w:kern w:val="0"/>
          <w:lang w:eastAsia="lt-LT"/>
        </w:rPr>
        <w:t>Dėl šios priežasties, i</w:t>
      </w:r>
      <w:r w:rsidR="00895F5C" w:rsidRPr="001D1438">
        <w:t>š šiuolaikinių studijų paslaugų teikėjo laukiama ne tik žinių ir įgūdžių, bet kartu ir mok</w:t>
      </w:r>
      <w:r w:rsidR="00895F5C" w:rsidRPr="001D1438">
        <w:t>y</w:t>
      </w:r>
      <w:r w:rsidR="00895F5C" w:rsidRPr="001D1438">
        <w:t>mosi metodų/priemonių pasirinkimo galimybės (Denisovas, 2007).</w:t>
      </w:r>
      <w:r w:rsidR="00895F5C">
        <w:t xml:space="preserve"> </w:t>
      </w:r>
    </w:p>
    <w:p w:rsidR="005B381F" w:rsidRDefault="00547423" w:rsidP="005B524E">
      <w:pPr>
        <w:suppressAutoHyphens w:val="0"/>
        <w:rPr>
          <w:kern w:val="0"/>
          <w:lang w:eastAsia="lt-LT"/>
        </w:rPr>
      </w:pPr>
      <w:r w:rsidRPr="001D1438">
        <w:rPr>
          <w:kern w:val="0"/>
          <w:lang w:eastAsia="lt-LT"/>
        </w:rPr>
        <w:t>Lietuvos Respublikos</w:t>
      </w:r>
      <w:r w:rsidR="00662CD2">
        <w:rPr>
          <w:kern w:val="0"/>
          <w:lang w:eastAsia="lt-LT"/>
        </w:rPr>
        <w:t xml:space="preserve"> (toliau – LR)</w:t>
      </w:r>
      <w:r w:rsidRPr="001D1438">
        <w:rPr>
          <w:kern w:val="0"/>
          <w:lang w:eastAsia="lt-LT"/>
        </w:rPr>
        <w:t xml:space="preserve"> aukštojo mokslo įstatyme (</w:t>
      </w:r>
      <w:proofErr w:type="spellStart"/>
      <w:r w:rsidRPr="001D1438">
        <w:rPr>
          <w:kern w:val="0"/>
          <w:lang w:eastAsia="lt-LT"/>
        </w:rPr>
        <w:t>Žin</w:t>
      </w:r>
      <w:proofErr w:type="spellEnd"/>
      <w:r w:rsidRPr="001D1438">
        <w:rPr>
          <w:kern w:val="0"/>
          <w:lang w:eastAsia="lt-LT"/>
        </w:rPr>
        <w:t xml:space="preserve">., 2000, Nr. 27-715) įtvirtinta, kad </w:t>
      </w:r>
      <w:r w:rsidRPr="001D1438">
        <w:t>„</w:t>
      </w:r>
      <w:r w:rsidRPr="001D1438">
        <w:rPr>
          <w:kern w:val="0"/>
          <w:lang w:eastAsia="lt-LT"/>
        </w:rPr>
        <w:t>aukštojo mokslo uždavinys – ugdyti išsilavinusią, mokslui ir naujausioms technologijoms bei kultūros vertybėms imlią asmenybę ir visuomenę, kurti, kaupti ir skleisti mokslo žinias bei kultūros vertybes, įtvirtinti nacionalinės kultūros savitumą</w:t>
      </w:r>
      <w:r w:rsidRPr="001D1438">
        <w:t>“</w:t>
      </w:r>
      <w:r w:rsidRPr="001D1438">
        <w:rPr>
          <w:kern w:val="0"/>
          <w:lang w:eastAsia="lt-LT"/>
        </w:rPr>
        <w:t xml:space="preserve">. </w:t>
      </w:r>
    </w:p>
    <w:p w:rsidR="00895F5C" w:rsidRPr="001D1438" w:rsidRDefault="00895F5C" w:rsidP="005B524E">
      <w:pPr>
        <w:suppressAutoHyphens w:val="0"/>
      </w:pPr>
      <w:r w:rsidRPr="001D1438">
        <w:t xml:space="preserve">Be to, keičiasi socioekonominė erdvė </w:t>
      </w:r>
      <w:r w:rsidR="00AA05BC">
        <w:t>–</w:t>
      </w:r>
      <w:r w:rsidRPr="001D1438">
        <w:t xml:space="preserve"> yra pereinama nuo švietimo paslaugų monopolijos prie rinkos (Denisovas, 2007), atsiranda visą gyvenimą trunkančio mokymo</w:t>
      </w:r>
      <w:r w:rsidR="008534DB">
        <w:t>(</w:t>
      </w:r>
      <w:r w:rsidRPr="001D1438">
        <w:t>si</w:t>
      </w:r>
      <w:r w:rsidR="008534DB">
        <w:t>)</w:t>
      </w:r>
      <w:r w:rsidRPr="001D1438">
        <w:t xml:space="preserve"> paklausa (D‘Antoni, 2003). Todėl, norint išlikti tarp rinkos dalyvių, valstybiniai studijų paslaugų teikėjai turi žengti kartu su naujomis mokymo(si) tendencijomis bei technologijomis ir priimti naujojo skaitmeninio amžiaus iššūkius (</w:t>
      </w:r>
      <w:proofErr w:type="spellStart"/>
      <w:r w:rsidRPr="001D1438">
        <w:t>van</w:t>
      </w:r>
      <w:proofErr w:type="spellEnd"/>
      <w:r w:rsidRPr="001D1438">
        <w:t xml:space="preserve"> </w:t>
      </w:r>
      <w:proofErr w:type="spellStart"/>
      <w:r w:rsidRPr="001D1438">
        <w:t>der</w:t>
      </w:r>
      <w:proofErr w:type="spellEnd"/>
      <w:r w:rsidRPr="001D1438">
        <w:t xml:space="preserve"> Molen, 2001). </w:t>
      </w:r>
    </w:p>
    <w:p w:rsidR="00895F5C" w:rsidRPr="001D1438" w:rsidRDefault="00895F5C" w:rsidP="005B524E">
      <w:pPr>
        <w:pStyle w:val="1"/>
        <w:suppressAutoHyphens w:val="0"/>
        <w:jc w:val="both"/>
      </w:pPr>
      <w:r w:rsidRPr="001D1438">
        <w:t xml:space="preserve">Vienas iš tokių iššūkių </w:t>
      </w:r>
      <w:r w:rsidR="00AA05BC">
        <w:t>–</w:t>
      </w:r>
      <w:r w:rsidRPr="001D1438">
        <w:t xml:space="preserve"> elektroninis universitetas (</w:t>
      </w:r>
      <w:proofErr w:type="spellStart"/>
      <w:r w:rsidRPr="001D1438">
        <w:t>van</w:t>
      </w:r>
      <w:proofErr w:type="spellEnd"/>
      <w:r w:rsidRPr="001D1438">
        <w:t xml:space="preserve"> </w:t>
      </w:r>
      <w:proofErr w:type="spellStart"/>
      <w:r w:rsidRPr="001D1438">
        <w:t>der</w:t>
      </w:r>
      <w:proofErr w:type="spellEnd"/>
      <w:r w:rsidRPr="001D1438">
        <w:t xml:space="preserve"> Molen, 2001), kuris yra greitai bes</w:t>
      </w:r>
      <w:r w:rsidRPr="001D1438">
        <w:t>i</w:t>
      </w:r>
      <w:r w:rsidRPr="001D1438">
        <w:t>keičianti ir didelių išlaidų reikalaujanti veiklos sritis, todėl valstybei virtualaus universiteto kūrimo našt</w:t>
      </w:r>
      <w:r w:rsidR="009D1A59">
        <w:t>a</w:t>
      </w:r>
      <w:r w:rsidRPr="001D1438">
        <w:t xml:space="preserve"> gali būti </w:t>
      </w:r>
      <w:r w:rsidR="008534DB">
        <w:t xml:space="preserve">pernelyg </w:t>
      </w:r>
      <w:r w:rsidRPr="001D1438">
        <w:t xml:space="preserve">sunki. </w:t>
      </w:r>
      <w:proofErr w:type="spellStart"/>
      <w:r w:rsidRPr="001D1438">
        <w:t>Henk</w:t>
      </w:r>
      <w:proofErr w:type="spellEnd"/>
      <w:r w:rsidRPr="001D1438">
        <w:t xml:space="preserve"> J. </w:t>
      </w:r>
      <w:proofErr w:type="spellStart"/>
      <w:r w:rsidRPr="001D1438">
        <w:t>van</w:t>
      </w:r>
      <w:proofErr w:type="spellEnd"/>
      <w:r w:rsidRPr="001D1438">
        <w:t xml:space="preserve"> </w:t>
      </w:r>
      <w:proofErr w:type="spellStart"/>
      <w:r w:rsidRPr="001D1438">
        <w:t>der</w:t>
      </w:r>
      <w:proofErr w:type="spellEnd"/>
      <w:r w:rsidRPr="001D1438">
        <w:t xml:space="preserve"> Molen (2001) pabrėžia, kad virtualus universitetas gali būti ne vien valstybinė įstaiga, bet ir institucija, kur</w:t>
      </w:r>
      <w:r w:rsidR="009D1A59">
        <w:t>i</w:t>
      </w:r>
      <w:r w:rsidRPr="001D1438">
        <w:t xml:space="preserve"> yra kuriama valstybės, bendradarbiaujant aukštojo mokslo studijų paslaugų teikėjams ir privačiam sektoriui, siekiant k</w:t>
      </w:r>
      <w:r w:rsidR="009D1A59">
        <w:t>u</w:t>
      </w:r>
      <w:r w:rsidRPr="001D1438">
        <w:t>o efektyviau ir greičiau pateikti žinias. K</w:t>
      </w:r>
      <w:r w:rsidR="00554BF1">
        <w:t>artu pažymima</w:t>
      </w:r>
      <w:r w:rsidRPr="001D1438">
        <w:t>, jog „viešojo ir privataus segmento p</w:t>
      </w:r>
      <w:r w:rsidR="00881E38">
        <w:t>artnerystė bei Europos Sąjungos</w:t>
      </w:r>
      <w:r w:rsidRPr="001D1438">
        <w:t xml:space="preserve"> univers</w:t>
      </w:r>
      <w:r w:rsidRPr="001D1438">
        <w:t>i</w:t>
      </w:r>
      <w:r w:rsidRPr="001D1438">
        <w:t>tetų įsitraukimas į veiklas už universitetų ribų vis dar yra retas reiškinys“ (Rutkauskienė ir kt., 2006)</w:t>
      </w:r>
      <w:r w:rsidR="00554BF1">
        <w:t>, todėl būtina jį skatinti</w:t>
      </w:r>
      <w:r w:rsidRPr="001D1438">
        <w:t>.</w:t>
      </w:r>
    </w:p>
    <w:p w:rsidR="00895F5C" w:rsidRPr="001D1438" w:rsidRDefault="00895F5C" w:rsidP="005B524E">
      <w:pPr>
        <w:suppressAutoHyphens w:val="0"/>
      </w:pPr>
      <w:r w:rsidRPr="001D1438">
        <w:rPr>
          <w:i/>
        </w:rPr>
        <w:t>Aktualumas ir naujumas.</w:t>
      </w:r>
      <w:r w:rsidRPr="001D1438">
        <w:t xml:space="preserve"> </w:t>
      </w:r>
      <w:r w:rsidR="009B430B">
        <w:t>Virtualaus</w:t>
      </w:r>
      <w:r w:rsidRPr="001D1438">
        <w:t xml:space="preserve"> universiteto kūrimas yra vienas iš aktualiausių Lietuvos švietimo politikos klausimų. Jis yra įtvirtintas </w:t>
      </w:r>
      <w:r w:rsidRPr="001D1438">
        <w:rPr>
          <w:rFonts w:eastAsia="Arial"/>
          <w:lang w:bidi="en-US"/>
        </w:rPr>
        <w:t>L</w:t>
      </w:r>
      <w:r w:rsidRPr="001D1438">
        <w:rPr>
          <w:rFonts w:eastAsia="TimesNewRoman" w:cs="TimesNewRoman"/>
          <w:lang w:bidi="en-US"/>
        </w:rPr>
        <w:t>ietuvos virtualaus universiteto 2007</w:t>
      </w:r>
      <w:r w:rsidR="00AA05BC">
        <w:rPr>
          <w:rFonts w:eastAsia="TimesNewRoman" w:cs="TimesNewRoman"/>
          <w:lang w:bidi="en-US"/>
        </w:rPr>
        <w:t>–</w:t>
      </w:r>
      <w:r w:rsidRPr="001D1438">
        <w:rPr>
          <w:rFonts w:eastAsia="TimesNewRoman" w:cs="TimesNewRoman"/>
          <w:lang w:bidi="en-US"/>
        </w:rPr>
        <w:t>2012 metų programoje</w:t>
      </w:r>
      <w:r w:rsidR="00E5654B">
        <w:rPr>
          <w:rFonts w:eastAsia="TimesNewRoman" w:cs="TimesNewRoman"/>
          <w:lang w:bidi="en-US"/>
        </w:rPr>
        <w:t xml:space="preserve"> (toliau – LVU)</w:t>
      </w:r>
      <w:r w:rsidRPr="001D1438">
        <w:rPr>
          <w:rFonts w:eastAsia="TimesNewRoman" w:cs="TimesNewRoman"/>
          <w:lang w:bidi="en-US"/>
        </w:rPr>
        <w:t xml:space="preserve">, kuri yra programos </w:t>
      </w:r>
      <w:r w:rsidRPr="001D1438">
        <w:t>„</w:t>
      </w:r>
      <w:r w:rsidRPr="001D1438">
        <w:rPr>
          <w:rFonts w:eastAsia="TimesNewRoman" w:cs="TimesNewRoman"/>
          <w:lang w:bidi="en-US"/>
        </w:rPr>
        <w:t>Informacijos technologijos mokslui ir studijoms</w:t>
      </w:r>
      <w:r w:rsidRPr="001D1438">
        <w:t>“</w:t>
      </w:r>
      <w:r w:rsidR="00BF6377">
        <w:t xml:space="preserve"> (toliau – </w:t>
      </w:r>
      <w:proofErr w:type="spellStart"/>
      <w:r w:rsidR="00BF6377">
        <w:t>IMSiS</w:t>
      </w:r>
      <w:proofErr w:type="spellEnd"/>
      <w:r w:rsidR="00BF6377">
        <w:t>)</w:t>
      </w:r>
      <w:r w:rsidRPr="001D1438">
        <w:rPr>
          <w:rFonts w:eastAsia="TimesNewRoman" w:cs="TimesNewRoman"/>
          <w:lang w:bidi="en-US"/>
        </w:rPr>
        <w:t xml:space="preserve"> tęsinys. Tačiau, nors šis klausimas ir yra aktualus, Lietuvoje jis nėra pakankamai</w:t>
      </w:r>
      <w:r w:rsidR="0025477C">
        <w:t xml:space="preserve"> </w:t>
      </w:r>
      <w:r w:rsidRPr="001D1438">
        <w:t xml:space="preserve">nagrinėtas, trūksta tiek teorinio pagrindo, tiek ir empirinių tyrimų šioje srityje. Analizuojant literatūrą šiuo klausimu, buvo rasta tik </w:t>
      </w:r>
      <w:r w:rsidR="00F73C50">
        <w:t>v</w:t>
      </w:r>
      <w:r w:rsidR="00F73C50" w:rsidRPr="00F73C50">
        <w:t xml:space="preserve">ykdant PHARE projektą 79-PHARE-LI-PAO parengta </w:t>
      </w:r>
      <w:r w:rsidR="00F73C50" w:rsidRPr="00F73C50">
        <w:lastRenderedPageBreak/>
        <w:t>studija „Nuotol</w:t>
      </w:r>
      <w:r w:rsidR="00F73C50" w:rsidRPr="00F73C50">
        <w:t>i</w:t>
      </w:r>
      <w:r w:rsidR="00F73C50" w:rsidRPr="00F73C50">
        <w:t>nis</w:t>
      </w:r>
      <w:r w:rsidR="00F73C50">
        <w:t xml:space="preserve"> </w:t>
      </w:r>
      <w:r w:rsidR="00945FF2">
        <w:t>švietimas Lietuvoje“ ir</w:t>
      </w:r>
      <w:r w:rsidR="00F73C50" w:rsidRPr="00F73C50">
        <w:t xml:space="preserve"> „Lietuvos nuotolinio mokymosi tinklo pl</w:t>
      </w:r>
      <w:r w:rsidR="00F73C50">
        <w:t>ė</w:t>
      </w:r>
      <w:r w:rsidR="00F73C50" w:rsidRPr="00F73C50">
        <w:t>tros nacionalin</w:t>
      </w:r>
      <w:r w:rsidR="00F73C50">
        <w:t>ė</w:t>
      </w:r>
      <w:r w:rsidR="00F73C50" w:rsidRPr="00F73C50">
        <w:t xml:space="preserve"> strategija“</w:t>
      </w:r>
      <w:r w:rsidR="00F73C50">
        <w:t xml:space="preserve"> bei</w:t>
      </w:r>
      <w:r w:rsidR="00945FF2">
        <w:t xml:space="preserve"> </w:t>
      </w:r>
      <w:r w:rsidR="00F73C50" w:rsidRPr="00F73C50">
        <w:t xml:space="preserve">vykdant ITMiS programą išleista monografija „Lietuvos virtualus universitetas“. </w:t>
      </w:r>
    </w:p>
    <w:p w:rsidR="00895F5C" w:rsidRPr="001D1438" w:rsidRDefault="00EE5BC0" w:rsidP="005B524E">
      <w:pPr>
        <w:suppressAutoHyphens w:val="0"/>
      </w:pPr>
      <w:r>
        <w:t>Kitą vertus</w:t>
      </w:r>
      <w:r w:rsidR="002B53CF">
        <w:t xml:space="preserve">, </w:t>
      </w:r>
      <w:r w:rsidR="00895F5C" w:rsidRPr="001D1438">
        <w:t xml:space="preserve">ES aktuose </w:t>
      </w:r>
      <w:r w:rsidR="009D1A59">
        <w:t>daug dėmesio skiriama</w:t>
      </w:r>
      <w:r w:rsidR="00895F5C" w:rsidRPr="001D1438">
        <w:t xml:space="preserve"> privači</w:t>
      </w:r>
      <w:r w:rsidR="009D1A59">
        <w:t>ų</w:t>
      </w:r>
      <w:r w:rsidR="00895F5C" w:rsidRPr="001D1438">
        <w:t xml:space="preserve"> lėš</w:t>
      </w:r>
      <w:r w:rsidR="009D1A59">
        <w:t xml:space="preserve">ų </w:t>
      </w:r>
      <w:r w:rsidR="00895F5C" w:rsidRPr="001D1438">
        <w:t xml:space="preserve">(įskaitant per viešojo ir privataus sektorių partnerystės modelį) į struktūrinių fondų finansuojamus projektus </w:t>
      </w:r>
      <w:r w:rsidR="009D1A59">
        <w:t xml:space="preserve">pritraukimui </w:t>
      </w:r>
      <w:r w:rsidR="00895F5C" w:rsidRPr="001D1438">
        <w:t>(</w:t>
      </w:r>
      <w:proofErr w:type="spellStart"/>
      <w:r w:rsidR="00895F5C" w:rsidRPr="001D1438">
        <w:t>Brožaitis</w:t>
      </w:r>
      <w:proofErr w:type="spellEnd"/>
      <w:r w:rsidR="00895F5C" w:rsidRPr="001D1438">
        <w:t>, 2004)</w:t>
      </w:r>
      <w:r w:rsidR="00895F5C" w:rsidRPr="001D1438">
        <w:rPr>
          <w:rFonts w:eastAsia="TimesNewRoman" w:cs="TimesNewRoman"/>
          <w:lang w:bidi="en-US"/>
        </w:rPr>
        <w:t xml:space="preserve">, todėl atliekant tiriamąjį darbą </w:t>
      </w:r>
      <w:r w:rsidR="0024247C">
        <w:t>virtualaus universite</w:t>
      </w:r>
      <w:r w:rsidR="00895F5C" w:rsidRPr="001D1438">
        <w:t xml:space="preserve">tas bus nagrinėjamas kaip priemonė pasiekti viešojo ir privataus sektorių partnerystę. D. Rutkauskienė (2006) pastebi, kad pastarąjį dešimtmetį pradėjo intensyviai kurtis naujos organizacinės švietimo formos. Šių naujų organizacinių formų atsiradimą lemia švietimo ir verslo institucijų partnerystė, bendrų švietimo ir verslo įmonių steigimas, naujų konsorciumų kūrimas ir daug besikuriančių pelno siekiančių švietimo ir ugdymo organizacijų. </w:t>
      </w:r>
    </w:p>
    <w:p w:rsidR="00895F5C" w:rsidRPr="001D1438" w:rsidRDefault="00895F5C" w:rsidP="005B524E">
      <w:pPr>
        <w:suppressAutoHyphens w:val="0"/>
      </w:pPr>
      <w:r w:rsidRPr="002670C8">
        <w:rPr>
          <w:rFonts w:eastAsia="Times New Roman" w:cs="TimesLT"/>
          <w:bCs/>
          <w:kern w:val="0"/>
          <w:lang w:bidi="en-US"/>
        </w:rPr>
        <w:t>Anot Gudelio ir</w:t>
      </w:r>
      <w:r w:rsidRPr="001D1438">
        <w:rPr>
          <w:rFonts w:eastAsia="Times New Roman" w:cs="TimesLT"/>
          <w:bCs/>
          <w:kern w:val="0"/>
          <w:lang w:bidi="en-US"/>
        </w:rPr>
        <w:t xml:space="preserve"> </w:t>
      </w:r>
      <w:r w:rsidRPr="002670C8">
        <w:rPr>
          <w:rFonts w:eastAsia="Times New Roman" w:cs="TimesLT"/>
          <w:bCs/>
          <w:kern w:val="0"/>
          <w:lang w:bidi="en-US"/>
        </w:rPr>
        <w:t>Rozenbergait</w:t>
      </w:r>
      <w:r w:rsidRPr="001D1438">
        <w:rPr>
          <w:rFonts w:eastAsia="Times New Roman" w:cs="TimesLT"/>
          <w:bCs/>
          <w:kern w:val="0"/>
          <w:lang w:bidi="en-US"/>
        </w:rPr>
        <w:t>ės (2004),</w:t>
      </w:r>
      <w:r w:rsidRPr="001D1438">
        <w:t xml:space="preserve"> viešojo ir privataus sektorių partnerystė </w:t>
      </w:r>
      <w:r w:rsidR="008F144E">
        <w:t>(toliau –</w:t>
      </w:r>
      <w:r w:rsidR="003C4D42">
        <w:t xml:space="preserve"> VPSP) </w:t>
      </w:r>
      <w:r w:rsidRPr="001D1438">
        <w:t>padeda pagerinti teikiamų viešųjų paslaugų kokybę, sumažinti viešųjų paslaugų teikimo sąnaudas. Populiarėjantis privataus kapitalo naudojimas viešajame sektoriuje leidžia daryti prielaid</w:t>
      </w:r>
      <w:r w:rsidR="009D1A59">
        <w:t>ą</w:t>
      </w:r>
      <w:r w:rsidRPr="001D1438">
        <w:t xml:space="preserve"> apie šios alternatyvos naudą vieš</w:t>
      </w:r>
      <w:r w:rsidR="009D1A59">
        <w:t xml:space="preserve">ųjų </w:t>
      </w:r>
      <w:r w:rsidRPr="001D1438">
        <w:t>paslaugų teikimo būdams.</w:t>
      </w:r>
    </w:p>
    <w:p w:rsidR="00895F5C" w:rsidRPr="001A1C6E" w:rsidRDefault="00895F5C" w:rsidP="005B524E">
      <w:pPr>
        <w:suppressAutoHyphens w:val="0"/>
        <w:rPr>
          <w:kern w:val="0"/>
        </w:rPr>
      </w:pPr>
      <w:r w:rsidRPr="001D1438">
        <w:t xml:space="preserve">Nors viešojo ir privataus sektorių partnerystė </w:t>
      </w:r>
      <w:r w:rsidRPr="001D1438">
        <w:rPr>
          <w:kern w:val="0"/>
        </w:rPr>
        <w:t>švietimo</w:t>
      </w:r>
      <w:r w:rsidRPr="002670C8">
        <w:rPr>
          <w:kern w:val="0"/>
        </w:rPr>
        <w:t xml:space="preserve"> sferoje nėra </w:t>
      </w:r>
      <w:r w:rsidRPr="001D1438">
        <w:rPr>
          <w:kern w:val="0"/>
        </w:rPr>
        <w:t>naujovė užsienio šalyse</w:t>
      </w:r>
      <w:r w:rsidRPr="002670C8">
        <w:rPr>
          <w:kern w:val="0"/>
        </w:rPr>
        <w:t xml:space="preserve"> (M</w:t>
      </w:r>
      <w:r w:rsidRPr="002670C8">
        <w:rPr>
          <w:kern w:val="0"/>
        </w:rPr>
        <w:t>a</w:t>
      </w:r>
      <w:r w:rsidRPr="002670C8">
        <w:rPr>
          <w:kern w:val="0"/>
        </w:rPr>
        <w:t xml:space="preserve">bizela, 2005), </w:t>
      </w:r>
      <w:r w:rsidRPr="001D1438">
        <w:rPr>
          <w:kern w:val="0"/>
        </w:rPr>
        <w:t xml:space="preserve">tačiau </w:t>
      </w:r>
      <w:r w:rsidR="00036BC7">
        <w:t>VPSP</w:t>
      </w:r>
      <w:r w:rsidRPr="001D1438">
        <w:t xml:space="preserve"> </w:t>
      </w:r>
      <w:r w:rsidR="00903B4A">
        <w:t>virtualaus</w:t>
      </w:r>
      <w:r w:rsidRPr="001D1438">
        <w:t xml:space="preserve"> universiteto srityje </w:t>
      </w:r>
      <w:r w:rsidRPr="001D1438">
        <w:rPr>
          <w:kern w:val="0"/>
        </w:rPr>
        <w:t>tiek pasaulyje, tiek Lietuvoje nebuvo plačiai nagrinėta</w:t>
      </w:r>
      <w:r w:rsidR="00FC3922">
        <w:rPr>
          <w:kern w:val="0"/>
        </w:rPr>
        <w:t xml:space="preserve">, todėl </w:t>
      </w:r>
      <w:r w:rsidR="001A1C6E">
        <w:rPr>
          <w:kern w:val="0"/>
        </w:rPr>
        <w:t xml:space="preserve">šiame darbe </w:t>
      </w:r>
      <w:r w:rsidR="009D1A59">
        <w:rPr>
          <w:kern w:val="0"/>
        </w:rPr>
        <w:t>siekta</w:t>
      </w:r>
      <w:r w:rsidR="001A1C6E">
        <w:rPr>
          <w:kern w:val="0"/>
        </w:rPr>
        <w:t xml:space="preserve"> ištirti </w:t>
      </w:r>
      <w:r w:rsidR="001A1C6E">
        <w:t>v</w:t>
      </w:r>
      <w:r w:rsidR="001A1C6E" w:rsidRPr="001A1C6E">
        <w:t>iešojo ir privataus sektorių partnerystės galimyb</w:t>
      </w:r>
      <w:r w:rsidR="009D1A59">
        <w:t>e</w:t>
      </w:r>
      <w:r w:rsidR="001A1C6E" w:rsidRPr="001A1C6E">
        <w:t xml:space="preserve">s </w:t>
      </w:r>
      <w:r w:rsidR="001A1C6E">
        <w:t xml:space="preserve">bei </w:t>
      </w:r>
      <w:r w:rsidR="009D1A59">
        <w:t xml:space="preserve">jų </w:t>
      </w:r>
      <w:r w:rsidR="001A1C6E">
        <w:t xml:space="preserve">taikymą </w:t>
      </w:r>
      <w:r w:rsidR="001A1C6E" w:rsidRPr="001A1C6E">
        <w:t>Lietuvos virtualaus universiteto kūrimo pr</w:t>
      </w:r>
      <w:r w:rsidR="00DF7A39">
        <w:t>ogramoje</w:t>
      </w:r>
      <w:r w:rsidR="001A1C6E">
        <w:t>.</w:t>
      </w:r>
    </w:p>
    <w:p w:rsidR="00895F5C" w:rsidRPr="001D1438" w:rsidRDefault="00895F5C" w:rsidP="005B524E">
      <w:pPr>
        <w:suppressAutoHyphens w:val="0"/>
      </w:pPr>
      <w:r w:rsidRPr="001D1438">
        <w:rPr>
          <w:b/>
          <w:i/>
        </w:rPr>
        <w:t>Tyrimo tikslas</w:t>
      </w:r>
      <w:r w:rsidRPr="001D1438">
        <w:t xml:space="preserve"> – </w:t>
      </w:r>
      <w:r>
        <w:t>atlikti viešojo ir privataus sektorių partnerystės</w:t>
      </w:r>
      <w:r w:rsidR="007B2517">
        <w:t xml:space="preserve"> galimybių analizę</w:t>
      </w:r>
      <w:r>
        <w:t xml:space="preserve"> kuriant vi</w:t>
      </w:r>
      <w:r>
        <w:t>r</w:t>
      </w:r>
      <w:r>
        <w:t xml:space="preserve">tualų universitetą bei pateikti rekomendacijas dėl </w:t>
      </w:r>
      <w:r w:rsidR="007B2517">
        <w:t>jos</w:t>
      </w:r>
      <w:r>
        <w:t xml:space="preserve"> taikymo Lietuvos virtualaus universiteto atveju</w:t>
      </w:r>
      <w:r w:rsidRPr="001D1438">
        <w:t>.</w:t>
      </w:r>
    </w:p>
    <w:p w:rsidR="00895F5C" w:rsidRPr="001D1438" w:rsidRDefault="00895F5C" w:rsidP="005B524E">
      <w:pPr>
        <w:suppressAutoHyphens w:val="0"/>
      </w:pPr>
      <w:r w:rsidRPr="001D1438">
        <w:rPr>
          <w:b/>
          <w:i/>
        </w:rPr>
        <w:t>Tyrimo objektas</w:t>
      </w:r>
      <w:r w:rsidRPr="001D1438">
        <w:t xml:space="preserve"> </w:t>
      </w:r>
      <w:r w:rsidR="00AA05BC">
        <w:t>–</w:t>
      </w:r>
      <w:r w:rsidRPr="001D1438">
        <w:t xml:space="preserve"> v</w:t>
      </w:r>
      <w:r w:rsidRPr="002670C8">
        <w:rPr>
          <w:kern w:val="24"/>
        </w:rPr>
        <w:t>iešojo ir privataus sektorių partnerystė</w:t>
      </w:r>
      <w:r w:rsidRPr="001D1438">
        <w:t xml:space="preserve"> Lietuvos virtualaus universiteto </w:t>
      </w:r>
      <w:r w:rsidR="00ED0E78">
        <w:t>pr</w:t>
      </w:r>
      <w:r w:rsidR="00ED0E78">
        <w:t>o</w:t>
      </w:r>
      <w:r w:rsidR="00ED0E78">
        <w:t>gramoje</w:t>
      </w:r>
      <w:r w:rsidRPr="001D1438">
        <w:t>.</w:t>
      </w:r>
    </w:p>
    <w:p w:rsidR="00895F5C" w:rsidRPr="001D1438" w:rsidRDefault="00895F5C" w:rsidP="005B524E">
      <w:pPr>
        <w:suppressAutoHyphens w:val="0"/>
        <w:rPr>
          <w:b/>
          <w:i/>
        </w:rPr>
      </w:pPr>
      <w:r w:rsidRPr="001D1438">
        <w:rPr>
          <w:b/>
          <w:i/>
        </w:rPr>
        <w:t>Tyrimo uždaviniai:</w:t>
      </w:r>
    </w:p>
    <w:p w:rsidR="00B15E7D" w:rsidRDefault="00B15E7D" w:rsidP="005B524E">
      <w:pPr>
        <w:numPr>
          <w:ilvl w:val="0"/>
          <w:numId w:val="4"/>
        </w:numPr>
        <w:suppressAutoHyphens w:val="0"/>
      </w:pPr>
      <w:r>
        <w:t xml:space="preserve">Apžvelgti </w:t>
      </w:r>
      <w:r w:rsidR="0060015E">
        <w:rPr>
          <w:noProof/>
        </w:rPr>
        <w:t>viešojo ir privataus sektorių partnerystės vaidm</w:t>
      </w:r>
      <w:r w:rsidR="00D47C36">
        <w:rPr>
          <w:noProof/>
        </w:rPr>
        <w:t>enį</w:t>
      </w:r>
      <w:r w:rsidR="0060015E">
        <w:rPr>
          <w:noProof/>
        </w:rPr>
        <w:t xml:space="preserve"> šiuolaikiniame švietime ir moksle</w:t>
      </w:r>
      <w:r w:rsidR="00234B9A">
        <w:t>.</w:t>
      </w:r>
    </w:p>
    <w:p w:rsidR="00B15E7D" w:rsidRDefault="00895F5C" w:rsidP="005B524E">
      <w:pPr>
        <w:numPr>
          <w:ilvl w:val="0"/>
          <w:numId w:val="4"/>
        </w:numPr>
        <w:suppressAutoHyphens w:val="0"/>
      </w:pPr>
      <w:r w:rsidRPr="001D1438">
        <w:t>Apibrėžti virtualaus universiteto sąvok</w:t>
      </w:r>
      <w:r w:rsidR="00FC3922">
        <w:t>ą</w:t>
      </w:r>
      <w:r w:rsidRPr="001D1438">
        <w:t>, detalizuoti virtualaus universiteto modelius bei apžve</w:t>
      </w:r>
      <w:r w:rsidR="00234B9A">
        <w:t>lgti gerąją pasaulinę praktiką.</w:t>
      </w:r>
    </w:p>
    <w:p w:rsidR="00895F5C" w:rsidRPr="001D1438" w:rsidRDefault="00160F4E" w:rsidP="005B524E">
      <w:pPr>
        <w:numPr>
          <w:ilvl w:val="0"/>
          <w:numId w:val="4"/>
        </w:numPr>
        <w:suppressAutoHyphens w:val="0"/>
      </w:pPr>
      <w:r>
        <w:t xml:space="preserve">Atlikti </w:t>
      </w:r>
      <w:r w:rsidR="009A5F2E" w:rsidRPr="001D1438">
        <w:t xml:space="preserve">literatūros </w:t>
      </w:r>
      <w:r w:rsidR="009A5F2E">
        <w:t xml:space="preserve">ir atvejų </w:t>
      </w:r>
      <w:r w:rsidR="009A5F2E" w:rsidRPr="001D1438">
        <w:t>analizės būdu išrinktus v</w:t>
      </w:r>
      <w:r w:rsidR="009A5F2E" w:rsidRPr="002670C8">
        <w:rPr>
          <w:kern w:val="24"/>
        </w:rPr>
        <w:t>iešojo ir privataus sektorių partnerystė</w:t>
      </w:r>
      <w:r w:rsidR="009A5F2E" w:rsidRPr="001D1438">
        <w:t>s galimybių taikym</w:t>
      </w:r>
      <w:r w:rsidR="009A5F2E">
        <w:t>o</w:t>
      </w:r>
      <w:r w:rsidR="009A5F2E" w:rsidRPr="001D1438">
        <w:t xml:space="preserve"> </w:t>
      </w:r>
      <w:r w:rsidR="009A5F2E">
        <w:t xml:space="preserve">bei </w:t>
      </w:r>
      <w:proofErr w:type="gramStart"/>
      <w:r w:rsidR="009A5F2E">
        <w:t>poreikio</w:t>
      </w:r>
      <w:proofErr w:type="gramEnd"/>
      <w:r w:rsidR="009A5F2E">
        <w:t xml:space="preserve"> Lietuvos vir</w:t>
      </w:r>
      <w:r w:rsidR="00016BB8">
        <w:t>tualaus universiteto programoje</w:t>
      </w:r>
      <w:r w:rsidR="007B2517">
        <w:t xml:space="preserve"> </w:t>
      </w:r>
      <w:r w:rsidR="00B15E7D">
        <w:t>t</w:t>
      </w:r>
      <w:r w:rsidR="00B15E7D">
        <w:t>y</w:t>
      </w:r>
      <w:r w:rsidR="00B15E7D">
        <w:t>rimą</w:t>
      </w:r>
      <w:r w:rsidR="00234B9A">
        <w:t>.</w:t>
      </w:r>
    </w:p>
    <w:p w:rsidR="00895F5C" w:rsidRPr="00EE7067" w:rsidRDefault="00895F5C" w:rsidP="005B524E">
      <w:pPr>
        <w:numPr>
          <w:ilvl w:val="0"/>
          <w:numId w:val="4"/>
        </w:numPr>
        <w:suppressAutoHyphens w:val="0"/>
      </w:pPr>
      <w:r w:rsidRPr="00EE7067">
        <w:t xml:space="preserve">Pateikti rekomendacijas </w:t>
      </w:r>
      <w:r>
        <w:t xml:space="preserve">dėl </w:t>
      </w:r>
      <w:r w:rsidRPr="00EE7067">
        <w:t>v</w:t>
      </w:r>
      <w:r w:rsidRPr="002670C8">
        <w:rPr>
          <w:kern w:val="24"/>
        </w:rPr>
        <w:t>iešojo ir privataus sektorių partnerystė</w:t>
      </w:r>
      <w:r w:rsidRPr="00EE7067">
        <w:t>s kuriamam Liet</w:t>
      </w:r>
      <w:r w:rsidRPr="00EE7067">
        <w:t>u</w:t>
      </w:r>
      <w:r w:rsidRPr="00EE7067">
        <w:t>vos virtualiam universitetui</w:t>
      </w:r>
      <w:r w:rsidR="006125C9">
        <w:t xml:space="preserve"> bei kitoms susijusioms institucijoms</w:t>
      </w:r>
      <w:r w:rsidRPr="00EE7067">
        <w:t>.</w:t>
      </w:r>
    </w:p>
    <w:p w:rsidR="00941B73" w:rsidRDefault="00941B73" w:rsidP="005B524E">
      <w:pPr>
        <w:suppressAutoHyphens w:val="0"/>
      </w:pPr>
      <w:r w:rsidRPr="00941B73">
        <w:rPr>
          <w:b/>
        </w:rPr>
        <w:t>Darbo metodai.</w:t>
      </w:r>
      <w:r w:rsidRPr="00941B73">
        <w:t xml:space="preserve"> Mokslinės literatūros a</w:t>
      </w:r>
      <w:r>
        <w:t xml:space="preserve">nalizė, naudojama analizuojant </w:t>
      </w:r>
      <w:r w:rsidRPr="00941B73">
        <w:t xml:space="preserve">įvairių autorių iškeltas hipotezes, jų pagrįstumą, atliktus </w:t>
      </w:r>
      <w:r>
        <w:t xml:space="preserve">virtualaus universitetų </w:t>
      </w:r>
      <w:r w:rsidR="00D0324F">
        <w:t>modelių bei viešosios ir privataus sektorių partnerystės tyrimus</w:t>
      </w:r>
      <w:r>
        <w:t xml:space="preserve"> </w:t>
      </w:r>
      <w:r w:rsidR="00D0324F">
        <w:t>ir</w:t>
      </w:r>
      <w:r w:rsidRPr="00941B73">
        <w:t xml:space="preserve"> gautus rezultatus. </w:t>
      </w:r>
      <w:r w:rsidR="00452E7A">
        <w:t>Ekspertų interviu</w:t>
      </w:r>
      <w:r w:rsidRPr="00941B73">
        <w:t xml:space="preserve"> </w:t>
      </w:r>
      <w:r w:rsidR="00ED0E78">
        <w:t xml:space="preserve">buvo </w:t>
      </w:r>
      <w:r w:rsidR="00DE58AD">
        <w:t>imamas iš</w:t>
      </w:r>
      <w:r w:rsidRPr="00941B73">
        <w:t xml:space="preserve"> </w:t>
      </w:r>
      <w:r w:rsidR="00DE58AD" w:rsidRPr="002670C8">
        <w:rPr>
          <w:kern w:val="0"/>
          <w:szCs w:val="23"/>
        </w:rPr>
        <w:t>Lietuvoje dirbančių ekspe</w:t>
      </w:r>
      <w:r w:rsidR="00DE58AD" w:rsidRPr="002670C8">
        <w:rPr>
          <w:kern w:val="0"/>
          <w:szCs w:val="23"/>
        </w:rPr>
        <w:t>r</w:t>
      </w:r>
      <w:r w:rsidR="00DE58AD" w:rsidRPr="002670C8">
        <w:rPr>
          <w:kern w:val="0"/>
          <w:szCs w:val="23"/>
        </w:rPr>
        <w:t xml:space="preserve">tų, </w:t>
      </w:r>
      <w:r w:rsidR="00DE58AD" w:rsidRPr="002670C8">
        <w:rPr>
          <w:kern w:val="0"/>
          <w:szCs w:val="23"/>
        </w:rPr>
        <w:lastRenderedPageBreak/>
        <w:t xml:space="preserve">kurie buvo atsakingi arba dalyvavo organizuojant ar realizuojant </w:t>
      </w:r>
      <w:r w:rsidR="00DE58AD" w:rsidRPr="00780409">
        <w:t>V</w:t>
      </w:r>
      <w:r w:rsidR="00DE58AD">
        <w:t>PSP projektus arba</w:t>
      </w:r>
      <w:r w:rsidR="00DE58AD" w:rsidRPr="00780409">
        <w:t xml:space="preserve"> kurių veikla siejasi su </w:t>
      </w:r>
      <w:r w:rsidR="00DE58AD">
        <w:t>LVU kūrimu bei e. mokymu(si)</w:t>
      </w:r>
      <w:r w:rsidRPr="00941B73">
        <w:t xml:space="preserve">. </w:t>
      </w:r>
    </w:p>
    <w:p w:rsidR="00DE58AD" w:rsidRDefault="006F6065" w:rsidP="005B524E">
      <w:pPr>
        <w:suppressAutoHyphens w:val="0"/>
      </w:pPr>
      <w:r>
        <w:t>Darbą sudaro įvadas, 4</w:t>
      </w:r>
      <w:r w:rsidR="00DE58AD" w:rsidRPr="001D1438">
        <w:t xml:space="preserve"> skyriai, išvados ir rekomendacijos, naudotos literatūros sąrašas, priedai (lentelės, anketos ir pan.). Darbo apimtis </w:t>
      </w:r>
      <w:r w:rsidR="00DE58AD">
        <w:t>–</w:t>
      </w:r>
      <w:r w:rsidR="00DE58AD" w:rsidRPr="001D1438">
        <w:t xml:space="preserve"> </w:t>
      </w:r>
      <w:r w:rsidR="004841C3">
        <w:t>67</w:t>
      </w:r>
      <w:r w:rsidR="00DE58AD" w:rsidRPr="001D1438">
        <w:t xml:space="preserve"> puslapiai, jame yra </w:t>
      </w:r>
      <w:r w:rsidR="00F91BF7">
        <w:rPr>
          <w:lang w:val="ru-RU"/>
        </w:rPr>
        <w:t>6</w:t>
      </w:r>
      <w:r w:rsidR="00F91BF7">
        <w:t xml:space="preserve"> lentelė ir </w:t>
      </w:r>
      <w:r w:rsidR="00F91BF7">
        <w:rPr>
          <w:lang w:val="ru-RU"/>
        </w:rPr>
        <w:t>4</w:t>
      </w:r>
      <w:r w:rsidR="00F91BF7">
        <w:t xml:space="preserve"> schemos</w:t>
      </w:r>
      <w:r w:rsidR="00DE58AD" w:rsidRPr="001D1438">
        <w:t xml:space="preserve">. Bibliografijų aprašą sudaro </w:t>
      </w:r>
      <w:r w:rsidR="004D2CCF">
        <w:rPr>
          <w:lang w:val="ru-RU"/>
        </w:rPr>
        <w:t>7</w:t>
      </w:r>
      <w:r w:rsidR="004D2CCF">
        <w:rPr>
          <w:lang w:val="en-US"/>
        </w:rPr>
        <w:t>4</w:t>
      </w:r>
      <w:r w:rsidR="00DE58AD" w:rsidRPr="001D1438">
        <w:t xml:space="preserve"> šaltiniai. </w:t>
      </w:r>
      <w:r w:rsidR="00DE58AD" w:rsidRPr="00280365">
        <w:t>Darbo pabaigoje pateikta</w:t>
      </w:r>
      <w:r w:rsidR="00280365" w:rsidRPr="00280365">
        <w:t>s</w:t>
      </w:r>
      <w:r w:rsidR="00DE58AD" w:rsidRPr="00280365">
        <w:t xml:space="preserve"> </w:t>
      </w:r>
      <w:r w:rsidR="00280365" w:rsidRPr="00280365">
        <w:t>1</w:t>
      </w:r>
      <w:r w:rsidR="00DE58AD" w:rsidRPr="00280365">
        <w:t xml:space="preserve"> pried</w:t>
      </w:r>
      <w:r w:rsidR="00280365" w:rsidRPr="00280365">
        <w:t>as</w:t>
      </w:r>
      <w:r w:rsidR="00DE58AD" w:rsidRPr="00280365">
        <w:t>.</w:t>
      </w:r>
    </w:p>
    <w:p w:rsidR="00941B73" w:rsidRDefault="00941B73" w:rsidP="005B524E">
      <w:pPr>
        <w:widowControl/>
        <w:suppressAutoHyphens w:val="0"/>
        <w:spacing w:line="240" w:lineRule="auto"/>
        <w:ind w:firstLine="0"/>
        <w:jc w:val="left"/>
      </w:pPr>
      <w:r>
        <w:br w:type="page"/>
      </w:r>
    </w:p>
    <w:p w:rsidR="00895F5C" w:rsidRPr="00941B73" w:rsidRDefault="00895F5C" w:rsidP="005B524E">
      <w:pPr>
        <w:pStyle w:val="Heading1"/>
        <w:suppressAutoHyphens w:val="0"/>
      </w:pPr>
      <w:bookmarkStart w:id="0" w:name="_Toc248687456"/>
      <w:bookmarkStart w:id="1" w:name="_Toc251011245"/>
      <w:r w:rsidRPr="00941B73">
        <w:lastRenderedPageBreak/>
        <w:t>Viešojo ir privataus sektorių partnerystės vai</w:t>
      </w:r>
      <w:r w:rsidRPr="00941B73">
        <w:t>d</w:t>
      </w:r>
      <w:r w:rsidRPr="00941B73">
        <w:t>muo šiuolaikiniame švietime ir moksle</w:t>
      </w:r>
      <w:bookmarkEnd w:id="0"/>
      <w:bookmarkEnd w:id="1"/>
    </w:p>
    <w:p w:rsidR="007E250A" w:rsidRDefault="00895F5C" w:rsidP="005B524E">
      <w:pPr>
        <w:pStyle w:val="Heading2"/>
        <w:suppressAutoHyphens w:val="0"/>
        <w:rPr>
          <w:rFonts w:ascii="Times New Roman" w:hAnsi="Times New Roman"/>
          <w:lang w:eastAsia="ar-SA"/>
        </w:rPr>
      </w:pPr>
      <w:bookmarkStart w:id="2" w:name="_Toc248687457"/>
      <w:bookmarkStart w:id="3" w:name="_Toc251011246"/>
      <w:r w:rsidRPr="007E250A">
        <w:rPr>
          <w:lang w:eastAsia="ar-SA"/>
        </w:rPr>
        <w:t>Viešojo ir privataus sektorių partnerystės samprata</w:t>
      </w:r>
      <w:r w:rsidR="007E250A" w:rsidRPr="007E250A">
        <w:rPr>
          <w:lang w:eastAsia="ar-SA"/>
        </w:rPr>
        <w:t xml:space="preserve"> ir apžvalga</w:t>
      </w:r>
      <w:bookmarkEnd w:id="2"/>
      <w:bookmarkEnd w:id="3"/>
    </w:p>
    <w:p w:rsidR="00895F5C" w:rsidRPr="007E250A" w:rsidRDefault="007E250A" w:rsidP="005B524E">
      <w:pPr>
        <w:pStyle w:val="Heading3"/>
        <w:suppressAutoHyphens w:val="0"/>
      </w:pPr>
      <w:bookmarkStart w:id="4" w:name="_Toc248687458"/>
      <w:bookmarkStart w:id="5" w:name="_Toc251011247"/>
      <w:r>
        <w:t xml:space="preserve">Viešojo ir privataus sektorių </w:t>
      </w:r>
      <w:r w:rsidR="00F15E75">
        <w:t>partnerystės</w:t>
      </w:r>
      <w:r>
        <w:t xml:space="preserve"> samprata</w:t>
      </w:r>
      <w:bookmarkEnd w:id="4"/>
      <w:bookmarkEnd w:id="5"/>
    </w:p>
    <w:p w:rsidR="00EA4EEA" w:rsidRDefault="00EA4EEA" w:rsidP="005B524E">
      <w:pPr>
        <w:pStyle w:val="BodyText"/>
        <w:suppressAutoHyphens w:val="0"/>
        <w:ind w:firstLine="540"/>
      </w:pPr>
      <w:r>
        <w:rPr>
          <w:i/>
        </w:rPr>
        <w:t>Viešojo ir privataus sektorių partnerystė</w:t>
      </w:r>
      <w:r>
        <w:t xml:space="preserve"> išsivystė viešojo sektoriaus modernizavimo kontekste. Tai alternatyvi viešųjų paslaugų teikimo ir i</w:t>
      </w:r>
      <w:r w:rsidR="00794704">
        <w:t>nfrastruktūros plėtojimo forma.</w:t>
      </w:r>
    </w:p>
    <w:p w:rsidR="00895F5C" w:rsidRDefault="00794704" w:rsidP="005B524E">
      <w:pPr>
        <w:pStyle w:val="BodyText"/>
        <w:suppressAutoHyphens w:val="0"/>
        <w:ind w:firstLine="540"/>
      </w:pPr>
      <w:r>
        <w:t>Vakarų šalyse stengiamasi geriau išnaudoti viešojo ir privataus sektorių bendradarbiavimo gal</w:t>
      </w:r>
      <w:r>
        <w:t>i</w:t>
      </w:r>
      <w:r>
        <w:t xml:space="preserve">mybes. </w:t>
      </w:r>
      <w:r w:rsidR="00895F5C" w:rsidRPr="001D1438">
        <w:t xml:space="preserve">Lietuvoje, kaip ir užsienio valstybėse, </w:t>
      </w:r>
      <w:r w:rsidR="00EA4EEA">
        <w:t xml:space="preserve">taip pat </w:t>
      </w:r>
      <w:r w:rsidR="00895F5C" w:rsidRPr="001D1438">
        <w:t>auga investicijų poreikis viešajai infrastruktūrai ir viešosioms paslaugoms plėtoti bei jų kokybei tobulinti. Tačiau „</w:t>
      </w:r>
      <w:r w:rsidR="00895F5C" w:rsidRPr="002670C8">
        <w:rPr>
          <w:rFonts w:eastAsia="Times New Roman" w:cs="TimesNewRomanPSMT"/>
          <w:kern w:val="0"/>
          <w:lang w:eastAsia="lt-LT"/>
        </w:rPr>
        <w:t>viešasis sektorius dėl nepakankamų finansinių išteklių (finansavimo trūkumo, skolinimosi galimybių limito), administracinių gebėjimų trūkumo ar mažiau efektyvių veiklos metodų, lyginant su privačiu sektoriumi, negali teikti kokybiškų paslaugų ir išplėtoti joms reikalingos infrastruktūros</w:t>
      </w:r>
      <w:r w:rsidR="00895F5C" w:rsidRPr="001D1438">
        <w:t>“ (LR Valstybinis auditas, 2008), skatina ieškoti naujų priemonių ir galimybių. Tarptautinėje praktikoje viena iš jų yra viešojo ir priva</w:t>
      </w:r>
      <w:r w:rsidR="00FC3922">
        <w:t>taus</w:t>
      </w:r>
      <w:r w:rsidR="00895F5C" w:rsidRPr="001D1438">
        <w:t xml:space="preserve"> sektorių partnerystė, sudaranti sąlygas pritraukti privataus kapitalo investicijas viešojo sektoriaus poreikiams tenkinti (Sedjari, 2004).</w:t>
      </w:r>
    </w:p>
    <w:p w:rsidR="00C83C64" w:rsidRPr="00C83C64" w:rsidRDefault="00895F5C" w:rsidP="005B524E">
      <w:pPr>
        <w:suppressAutoHyphens w:val="0"/>
      </w:pPr>
      <w:r w:rsidRPr="001D1438">
        <w:t xml:space="preserve">Viešojo ir privataus sektorių partnerystė gali apimti įvairiais partnerystės formas (Sedjari, 2004). </w:t>
      </w:r>
      <w:r w:rsidR="00C83C64">
        <w:t>Bet išskiriamas vienas bendras aspektas – ši partnerystė sujungia viešojo ir privataus sektoriaus išteklius, kad būtų realizuoti viešosios politikos tikslai ir užtikrinta viešųjų paslaugų kokybė (Gudelis, Rozenbergaitė, 2004).</w:t>
      </w:r>
    </w:p>
    <w:p w:rsidR="00895F5C" w:rsidRPr="001D1438" w:rsidRDefault="00895F5C" w:rsidP="005B524E">
      <w:pPr>
        <w:suppressAutoHyphens w:val="0"/>
      </w:pPr>
      <w:r w:rsidRPr="001D1438">
        <w:t>Partnerystės sąvoka dažnai vartojama skirtinguose kontekstuose.</w:t>
      </w:r>
    </w:p>
    <w:p w:rsidR="00895F5C" w:rsidRPr="002670C8" w:rsidRDefault="00895F5C" w:rsidP="005B524E">
      <w:pPr>
        <w:suppressAutoHyphens w:val="0"/>
        <w:rPr>
          <w:rFonts w:eastAsia="Times New Roman" w:cs="TimesNewRomanPSMT"/>
          <w:kern w:val="0"/>
          <w:lang w:eastAsia="lt-LT"/>
        </w:rPr>
      </w:pPr>
      <w:r w:rsidRPr="001D1438">
        <w:t>LR valstybės audito ataskaitoje dėl v</w:t>
      </w:r>
      <w:r w:rsidRPr="002670C8">
        <w:rPr>
          <w:kern w:val="0"/>
          <w:lang w:eastAsia="lt-LT"/>
        </w:rPr>
        <w:t>ie</w:t>
      </w:r>
      <w:r w:rsidRPr="001D1438">
        <w:rPr>
          <w:kern w:val="0"/>
          <w:lang w:eastAsia="lt-LT"/>
        </w:rPr>
        <w:t>šojo ir privataus sektoriaus bendradarbiavimo</w:t>
      </w:r>
      <w:r w:rsidRPr="001D1438">
        <w:t xml:space="preserve"> (2008) pažymima, jog „v</w:t>
      </w:r>
      <w:r w:rsidRPr="002670C8">
        <w:rPr>
          <w:rFonts w:eastAsia="Times New Roman" w:cs="TimesNewRomanPSMT"/>
          <w:kern w:val="0"/>
          <w:lang w:eastAsia="lt-LT"/>
        </w:rPr>
        <w:t>iešojo ir privataus sektorių partnerystė vis plačiau taikoma daugelyje pasaulio valst</w:t>
      </w:r>
      <w:r w:rsidRPr="002670C8">
        <w:rPr>
          <w:rFonts w:eastAsia="Times New Roman" w:cs="TimesNewRomanPSMT"/>
          <w:kern w:val="0"/>
          <w:lang w:eastAsia="lt-LT"/>
        </w:rPr>
        <w:t>y</w:t>
      </w:r>
      <w:r w:rsidRPr="002670C8">
        <w:rPr>
          <w:rFonts w:eastAsia="Times New Roman" w:cs="TimesNewRomanPSMT"/>
          <w:kern w:val="0"/>
          <w:lang w:eastAsia="lt-LT"/>
        </w:rPr>
        <w:t>bių, tačiau nei tarptautinėje, nei ES teisėje iki šiol nėra patvirtintas bendras VPSP apibrėžimas ir specialios teisinės taisyklės, nustatančios VPSP formas ir reikalavimus jų įgyvendinimui</w:t>
      </w:r>
      <w:r w:rsidRPr="001D1438">
        <w:t>“</w:t>
      </w:r>
      <w:r w:rsidRPr="002670C8">
        <w:rPr>
          <w:rFonts w:eastAsia="Times New Roman" w:cs="TimesNewRomanPSMT"/>
          <w:kern w:val="0"/>
          <w:lang w:eastAsia="lt-LT"/>
        </w:rPr>
        <w:t>. Toje pačioje ataskaitoje</w:t>
      </w:r>
      <w:r w:rsidR="008E10F5" w:rsidRPr="002670C8">
        <w:rPr>
          <w:rFonts w:eastAsia="Times New Roman" w:cs="TimesNewRomanPSMT"/>
          <w:kern w:val="0"/>
          <w:lang w:eastAsia="lt-LT"/>
        </w:rPr>
        <w:t xml:space="preserve"> </w:t>
      </w:r>
      <w:r w:rsidRPr="002670C8">
        <w:rPr>
          <w:rFonts w:eastAsia="Times New Roman" w:cs="TimesNewRomanPSMT"/>
          <w:kern w:val="0"/>
          <w:lang w:eastAsia="lt-LT"/>
        </w:rPr>
        <w:t xml:space="preserve">taip </w:t>
      </w:r>
      <w:r w:rsidR="008E10F5" w:rsidRPr="002670C8">
        <w:rPr>
          <w:rFonts w:eastAsia="Times New Roman" w:cs="TimesNewRomanPSMT"/>
          <w:kern w:val="0"/>
          <w:lang w:eastAsia="lt-LT"/>
        </w:rPr>
        <w:t xml:space="preserve">pat </w:t>
      </w:r>
      <w:r w:rsidRPr="002670C8">
        <w:rPr>
          <w:rFonts w:eastAsia="Times New Roman" w:cs="TimesNewRomanPSMT"/>
          <w:kern w:val="0"/>
          <w:lang w:eastAsia="lt-LT"/>
        </w:rPr>
        <w:t xml:space="preserve">pabrėžiama, jog </w:t>
      </w:r>
      <w:r w:rsidRPr="001D1438">
        <w:t>„</w:t>
      </w:r>
      <w:r w:rsidRPr="002670C8">
        <w:rPr>
          <w:rFonts w:eastAsia="Times New Roman" w:cs="TimesNewRomanPSMT"/>
          <w:kern w:val="0"/>
          <w:lang w:eastAsia="lt-LT"/>
        </w:rPr>
        <w:t>Lietuvoje nėra reglamentuotas VPSP apibrėžimas, dalis VPSP formų yra nereglamentuotos, arba reglamentuotos nepakankamai</w:t>
      </w:r>
      <w:r w:rsidRPr="001D1438">
        <w:t>“</w:t>
      </w:r>
      <w:r w:rsidRPr="002670C8">
        <w:rPr>
          <w:rFonts w:eastAsia="Times New Roman" w:cs="TimesNewRomanPSMT"/>
          <w:kern w:val="0"/>
          <w:lang w:eastAsia="lt-LT"/>
        </w:rPr>
        <w:t>.</w:t>
      </w:r>
    </w:p>
    <w:p w:rsidR="00895F5C" w:rsidRPr="001D1438" w:rsidRDefault="00895F5C" w:rsidP="005B524E">
      <w:pPr>
        <w:suppressAutoHyphens w:val="0"/>
        <w:rPr>
          <w:lang w:bidi="en-US"/>
        </w:rPr>
      </w:pPr>
      <w:r w:rsidRPr="001D1438">
        <w:rPr>
          <w:lang w:bidi="en-US"/>
        </w:rPr>
        <w:t>LR investicijų įstatymo naujoje redakcijoje</w:t>
      </w:r>
      <w:r w:rsidRPr="001D1438">
        <w:rPr>
          <w:rStyle w:val="FootnoteReference"/>
          <w:rFonts w:cs="TimesNewRoman"/>
          <w:lang w:bidi="en-US"/>
        </w:rPr>
        <w:footnoteReference w:id="1"/>
      </w:r>
      <w:r w:rsidRPr="001D1438">
        <w:rPr>
          <w:lang w:bidi="en-US"/>
        </w:rPr>
        <w:t xml:space="preserve">, VPSP apibrėžiamas kaip </w:t>
      </w:r>
      <w:r w:rsidRPr="001D1438">
        <w:t>„</w:t>
      </w:r>
      <w:r w:rsidRPr="001D1438">
        <w:rPr>
          <w:lang w:bidi="en-US"/>
        </w:rPr>
        <w:t>valstybės arba savivald</w:t>
      </w:r>
      <w:r w:rsidRPr="001D1438">
        <w:rPr>
          <w:lang w:bidi="en-US"/>
        </w:rPr>
        <w:t>y</w:t>
      </w:r>
      <w:r w:rsidRPr="001D1438">
        <w:rPr>
          <w:lang w:bidi="en-US"/>
        </w:rPr>
        <w:t xml:space="preserve">bės institucijos ir privataus subjekto įstatymų nustatyti bendradarbiavimo būdai, kuriais valstybės arba savivaldybės institucija perduoda jos funkcijoms priskirtą veiklą privačiam subjektui, o privatus </w:t>
      </w:r>
      <w:r w:rsidRPr="001D1438">
        <w:rPr>
          <w:lang w:bidi="en-US"/>
        </w:rPr>
        <w:lastRenderedPageBreak/>
        <w:t>subjektas investuoja į šią veiklą ir jai vykdyti reikalingą turtą, už tai gaudamas įstatymų nustatytą atlyginimą</w:t>
      </w:r>
      <w:r w:rsidRPr="001D1438">
        <w:t>“</w:t>
      </w:r>
      <w:r w:rsidRPr="001D1438">
        <w:rPr>
          <w:lang w:bidi="en-US"/>
        </w:rPr>
        <w:t>.</w:t>
      </w:r>
    </w:p>
    <w:p w:rsidR="00895F5C" w:rsidRPr="001D1438" w:rsidRDefault="00895F5C" w:rsidP="005B524E">
      <w:pPr>
        <w:suppressAutoHyphens w:val="0"/>
      </w:pPr>
      <w:r w:rsidRPr="001D1438">
        <w:t xml:space="preserve">Atsižvelgiant į aukščiau išvardintas priežastis, sąvoka </w:t>
      </w:r>
      <w:r w:rsidRPr="001D1438">
        <w:rPr>
          <w:i/>
        </w:rPr>
        <w:t>viešojo ir privataus sektorių partnerystė</w:t>
      </w:r>
      <w:r w:rsidRPr="001D1438">
        <w:t xml:space="preserve"> šiame darbe bus vartojama kaip lietuviškas plačiai paplitusio angliško termino</w:t>
      </w:r>
      <w:r w:rsidRPr="00A71759">
        <w:rPr>
          <w:lang w:val="en-GB"/>
        </w:rPr>
        <w:t xml:space="preserve"> </w:t>
      </w:r>
      <w:r w:rsidRPr="00A71759">
        <w:rPr>
          <w:i/>
          <w:lang w:val="en-GB"/>
        </w:rPr>
        <w:t>Public-Private</w:t>
      </w:r>
      <w:r w:rsidRPr="001D1438">
        <w:rPr>
          <w:i/>
        </w:rPr>
        <w:t xml:space="preserve"> Partn</w:t>
      </w:r>
      <w:r w:rsidRPr="001D1438">
        <w:rPr>
          <w:i/>
        </w:rPr>
        <w:t>e</w:t>
      </w:r>
      <w:r w:rsidRPr="001D1438">
        <w:rPr>
          <w:i/>
        </w:rPr>
        <w:t>rship</w:t>
      </w:r>
      <w:r w:rsidRPr="001D1438">
        <w:t xml:space="preserve"> (PPP, P3 arba P</w:t>
      </w:r>
      <w:r w:rsidRPr="001D1438">
        <w:rPr>
          <w:vertAlign w:val="superscript"/>
        </w:rPr>
        <w:t>3</w:t>
      </w:r>
      <w:r w:rsidRPr="001D1438">
        <w:t xml:space="preserve">) atitikmuo: </w:t>
      </w:r>
    </w:p>
    <w:p w:rsidR="00160AFF" w:rsidRDefault="00895F5C" w:rsidP="005B524E">
      <w:pPr>
        <w:suppressAutoHyphens w:val="0"/>
        <w:rPr>
          <w:rFonts w:cs="TimesNewRoman"/>
          <w:lang w:bidi="en-US"/>
        </w:rPr>
      </w:pPr>
      <w:r w:rsidRPr="001D1438">
        <w:rPr>
          <w:i/>
        </w:rPr>
        <w:t>Viešojo ir privataus sektorių partnerystė</w:t>
      </w:r>
      <w:r w:rsidRPr="001D1438">
        <w:t xml:space="preserve"> – tai viešojo ir privataus sektorių bendradarbiavimas, kurio esmė – teikti tradiciškai viešojo sektoriaus kompetencijai priskiriamas paslaugas ir plėtoti šių paslaugų teikimui reikalingą infrastruktūrą. (Taylor, 2003, </w:t>
      </w:r>
      <w:r w:rsidRPr="002670C8">
        <w:rPr>
          <w:rFonts w:eastAsia="Times New Roman" w:cs="TimesLT"/>
          <w:bCs/>
          <w:kern w:val="0"/>
          <w:lang w:bidi="en-US"/>
        </w:rPr>
        <w:t>Gudelis,</w:t>
      </w:r>
      <w:r w:rsidRPr="001D1438">
        <w:rPr>
          <w:rFonts w:eastAsia="Times New Roman" w:cs="TimesLT"/>
          <w:bCs/>
          <w:kern w:val="0"/>
          <w:lang w:bidi="en-US"/>
        </w:rPr>
        <w:t xml:space="preserve"> </w:t>
      </w:r>
      <w:r w:rsidRPr="002670C8">
        <w:rPr>
          <w:rFonts w:eastAsia="Times New Roman" w:cs="TimesLT"/>
          <w:bCs/>
          <w:kern w:val="0"/>
          <w:lang w:bidi="en-US"/>
        </w:rPr>
        <w:t>Rozenbergait</w:t>
      </w:r>
      <w:r w:rsidRPr="001D1438">
        <w:rPr>
          <w:rFonts w:eastAsia="Times New Roman" w:cs="TimesLT"/>
          <w:bCs/>
          <w:kern w:val="0"/>
          <w:lang w:bidi="en-US"/>
        </w:rPr>
        <w:t xml:space="preserve">ė, 2004, </w:t>
      </w:r>
      <w:r w:rsidRPr="001D1438">
        <w:rPr>
          <w:rFonts w:cs="TimesNewRomanPSMT"/>
          <w:lang w:bidi="en-US"/>
        </w:rPr>
        <w:t xml:space="preserve">Renda, </w:t>
      </w:r>
      <w:r w:rsidRPr="001D1438">
        <w:rPr>
          <w:rFonts w:ascii="TimesNewRoman" w:hAnsi="TimesNewRoman" w:cs="TimesNewRoman"/>
          <w:lang w:bidi="en-US"/>
        </w:rPr>
        <w:t>Schrefler, 2006).</w:t>
      </w:r>
    </w:p>
    <w:p w:rsidR="00895F5C" w:rsidRPr="001D1438" w:rsidRDefault="00895F5C" w:rsidP="005B524E">
      <w:pPr>
        <w:suppressAutoHyphens w:val="0"/>
        <w:rPr>
          <w:lang w:bidi="en-US"/>
        </w:rPr>
      </w:pPr>
      <w:r w:rsidRPr="001D1438">
        <w:rPr>
          <w:lang w:bidi="en-US"/>
        </w:rPr>
        <w:t xml:space="preserve">Partnerystė sąvoką apima trilypį poreikio aspektą (Sedjari, 2004, </w:t>
      </w:r>
      <w:r w:rsidRPr="001D1438">
        <w:t>Skietrys ir kt., 2009):</w:t>
      </w:r>
    </w:p>
    <w:p w:rsidR="00895F5C" w:rsidRPr="001D1438" w:rsidRDefault="00895F5C" w:rsidP="005B524E">
      <w:pPr>
        <w:numPr>
          <w:ilvl w:val="1"/>
          <w:numId w:val="24"/>
        </w:numPr>
        <w:suppressAutoHyphens w:val="0"/>
        <w:rPr>
          <w:lang w:bidi="en-US"/>
        </w:rPr>
      </w:pPr>
      <w:r w:rsidRPr="001D1438">
        <w:rPr>
          <w:lang w:bidi="en-US"/>
        </w:rPr>
        <w:t xml:space="preserve">poreikį panaudoti </w:t>
      </w:r>
      <w:proofErr w:type="spellStart"/>
      <w:r w:rsidRPr="001D1438">
        <w:rPr>
          <w:lang w:bidi="en-US"/>
        </w:rPr>
        <w:t>inovatyvią</w:t>
      </w:r>
      <w:proofErr w:type="spellEnd"/>
      <w:r w:rsidRPr="001D1438">
        <w:rPr>
          <w:lang w:bidi="en-US"/>
        </w:rPr>
        <w:t xml:space="preserve"> formą siekiant sujungti skirtingus sektorius, kad kiekvieno iš jų stiprybės ir silpnybės, kylančios iš skirtingų sektorių prigimčių, būtų suderintos;</w:t>
      </w:r>
    </w:p>
    <w:p w:rsidR="00895F5C" w:rsidRPr="001D1438" w:rsidRDefault="00895F5C" w:rsidP="005B524E">
      <w:pPr>
        <w:numPr>
          <w:ilvl w:val="1"/>
          <w:numId w:val="24"/>
        </w:numPr>
        <w:suppressAutoHyphens w:val="0"/>
        <w:rPr>
          <w:lang w:bidi="en-US"/>
        </w:rPr>
      </w:pPr>
      <w:r w:rsidRPr="001D1438">
        <w:rPr>
          <w:lang w:bidi="en-US"/>
        </w:rPr>
        <w:t>poreikį iš naujo apsvarstyti bendradarbiavimo būdus atsižvelgiant į esamus ir potencialius proceso dalyvius, siekiant pagerinti gyvenimo standartus;</w:t>
      </w:r>
    </w:p>
    <w:p w:rsidR="00895F5C" w:rsidRPr="001D1438" w:rsidRDefault="00895F5C" w:rsidP="005B524E">
      <w:pPr>
        <w:numPr>
          <w:ilvl w:val="1"/>
          <w:numId w:val="24"/>
        </w:numPr>
        <w:suppressAutoHyphens w:val="0"/>
        <w:rPr>
          <w:lang w:bidi="en-US"/>
        </w:rPr>
      </w:pPr>
      <w:r w:rsidRPr="001D1438">
        <w:rPr>
          <w:lang w:bidi="en-US"/>
        </w:rPr>
        <w:t>poreikį pagaliau pasiekti balansą kuriant demokratinius dalyvių santykius, plėtojant visų institucijų bendradarbiavimą, stiprinant partneryste paremtus vertikalius ir horizontalius r</w:t>
      </w:r>
      <w:r w:rsidRPr="001D1438">
        <w:rPr>
          <w:lang w:bidi="en-US"/>
        </w:rPr>
        <w:t>y</w:t>
      </w:r>
      <w:r w:rsidRPr="001D1438">
        <w:rPr>
          <w:lang w:bidi="en-US"/>
        </w:rPr>
        <w:t>šius.</w:t>
      </w:r>
    </w:p>
    <w:p w:rsidR="00895F5C" w:rsidRPr="001D1438" w:rsidRDefault="00895F5C" w:rsidP="005B524E">
      <w:pPr>
        <w:suppressAutoHyphens w:val="0"/>
        <w:rPr>
          <w:kern w:val="0"/>
          <w:lang w:eastAsia="lt-LT"/>
        </w:rPr>
      </w:pPr>
      <w:r w:rsidRPr="001D1438">
        <w:rPr>
          <w:kern w:val="0"/>
          <w:lang w:eastAsia="lt-LT"/>
        </w:rPr>
        <w:t>Žalioje knygoje dėl viešųjų ir privačiųjų partnerysčių ir dėl Bendrijos viešųjų sutarčių ir konces</w:t>
      </w:r>
      <w:r w:rsidRPr="001D1438">
        <w:rPr>
          <w:kern w:val="0"/>
          <w:lang w:eastAsia="lt-LT"/>
        </w:rPr>
        <w:t>i</w:t>
      </w:r>
      <w:r w:rsidRPr="001D1438">
        <w:rPr>
          <w:kern w:val="0"/>
          <w:lang w:eastAsia="lt-LT"/>
        </w:rPr>
        <w:t>jų teisės išskirt</w:t>
      </w:r>
      <w:r w:rsidR="008E10F5">
        <w:rPr>
          <w:kern w:val="0"/>
          <w:lang w:eastAsia="lt-LT"/>
        </w:rPr>
        <w:t>a</w:t>
      </w:r>
      <w:r w:rsidRPr="001D1438">
        <w:rPr>
          <w:kern w:val="0"/>
          <w:lang w:eastAsia="lt-LT"/>
        </w:rPr>
        <w:t xml:space="preserve"> kelet</w:t>
      </w:r>
      <w:r w:rsidR="008E10F5">
        <w:rPr>
          <w:kern w:val="0"/>
          <w:lang w:eastAsia="lt-LT"/>
        </w:rPr>
        <w:t>as</w:t>
      </w:r>
      <w:r w:rsidRPr="001D1438">
        <w:rPr>
          <w:kern w:val="0"/>
          <w:lang w:eastAsia="lt-LT"/>
        </w:rPr>
        <w:t xml:space="preserve"> bruožų, apibūdinančių VPSP projektus (ES, 2004):</w:t>
      </w:r>
    </w:p>
    <w:p w:rsidR="00895F5C" w:rsidRPr="001D1438" w:rsidRDefault="00895F5C" w:rsidP="005B524E">
      <w:pPr>
        <w:numPr>
          <w:ilvl w:val="0"/>
          <w:numId w:val="23"/>
        </w:numPr>
        <w:suppressAutoHyphens w:val="0"/>
        <w:rPr>
          <w:kern w:val="0"/>
          <w:lang w:eastAsia="lt-LT"/>
        </w:rPr>
      </w:pPr>
      <w:r w:rsidRPr="001D1438">
        <w:rPr>
          <w:kern w:val="0"/>
          <w:lang w:eastAsia="lt-LT"/>
        </w:rPr>
        <w:t>viešojo ir privataus sektorių santykiai yra orientuoti į ilgalaikį bendradarbiavimą;</w:t>
      </w:r>
    </w:p>
    <w:p w:rsidR="00895F5C" w:rsidRPr="001D1438" w:rsidRDefault="00895F5C" w:rsidP="005B524E">
      <w:pPr>
        <w:numPr>
          <w:ilvl w:val="0"/>
          <w:numId w:val="23"/>
        </w:numPr>
        <w:suppressAutoHyphens w:val="0"/>
        <w:rPr>
          <w:kern w:val="0"/>
          <w:lang w:eastAsia="lt-LT"/>
        </w:rPr>
      </w:pPr>
      <w:r w:rsidRPr="001D1438">
        <w:rPr>
          <w:kern w:val="0"/>
          <w:lang w:eastAsia="lt-LT"/>
        </w:rPr>
        <w:t>pagrindinis projekto finansavimo šaltinis yra privatus sektorius, tačiau viešasis sektorius gali prisiimti šią rolę;</w:t>
      </w:r>
    </w:p>
    <w:p w:rsidR="00895F5C" w:rsidRPr="001D1438" w:rsidRDefault="00895F5C" w:rsidP="005B524E">
      <w:pPr>
        <w:numPr>
          <w:ilvl w:val="0"/>
          <w:numId w:val="23"/>
        </w:numPr>
        <w:suppressAutoHyphens w:val="0"/>
        <w:rPr>
          <w:kern w:val="0"/>
          <w:lang w:eastAsia="lt-LT"/>
        </w:rPr>
      </w:pPr>
      <w:r w:rsidRPr="001D1438">
        <w:rPr>
          <w:kern w:val="0"/>
          <w:lang w:eastAsia="lt-LT"/>
        </w:rPr>
        <w:t>nors privatus partneris dalyvauja įvairiose projekto stadijose (projektavimo, vykdymo, įgyvendinimo, finansavimo) ir atlieka svarbų vaidmenį, tačiau viešasis sektorius dažnai nustato visuomenės interesus atitinkančius projekto tikslus, siūlomų paslaugų kokybę ir kainodaros politiką bei prižiūri, kad šių tikslų būtų laikomasi;</w:t>
      </w:r>
    </w:p>
    <w:p w:rsidR="000E7A89" w:rsidRPr="00A71759" w:rsidRDefault="00895F5C" w:rsidP="005B524E">
      <w:pPr>
        <w:numPr>
          <w:ilvl w:val="0"/>
          <w:numId w:val="23"/>
        </w:numPr>
        <w:suppressAutoHyphens w:val="0"/>
        <w:rPr>
          <w:kern w:val="0"/>
          <w:lang w:val="en-GB" w:eastAsia="lt-LT"/>
        </w:rPr>
      </w:pPr>
      <w:r w:rsidRPr="001D1438">
        <w:rPr>
          <w:kern w:val="0"/>
          <w:lang w:eastAsia="lt-LT"/>
        </w:rPr>
        <w:t>abu sektori</w:t>
      </w:r>
      <w:r w:rsidR="008E10F5">
        <w:rPr>
          <w:kern w:val="0"/>
          <w:lang w:eastAsia="lt-LT"/>
        </w:rPr>
        <w:t>ai</w:t>
      </w:r>
      <w:r w:rsidRPr="001D1438">
        <w:rPr>
          <w:kern w:val="0"/>
          <w:lang w:eastAsia="lt-LT"/>
        </w:rPr>
        <w:t xml:space="preserve"> pasidalija riziką. Nors privatus partneris prisiima visą ar didžiąją dalį rizikų, rizikos pasidalijimas kiekvienu atveju</w:t>
      </w:r>
      <w:r w:rsidR="000E7A89">
        <w:rPr>
          <w:kern w:val="0"/>
          <w:lang w:eastAsia="lt-LT"/>
        </w:rPr>
        <w:t xml:space="preserve"> tiksliai nustatomas sutartyje.</w:t>
      </w:r>
    </w:p>
    <w:p w:rsidR="00F12B3D" w:rsidRPr="00543D58" w:rsidRDefault="00F12B3D" w:rsidP="005B524E">
      <w:pPr>
        <w:suppressAutoHyphens w:val="0"/>
      </w:pPr>
      <w:proofErr w:type="spellStart"/>
      <w:r w:rsidRPr="00543D58">
        <w:t>Ch</w:t>
      </w:r>
      <w:proofErr w:type="spellEnd"/>
      <w:r w:rsidRPr="00543D58">
        <w:t xml:space="preserve">. </w:t>
      </w:r>
      <w:proofErr w:type="spellStart"/>
      <w:r w:rsidRPr="00543D58">
        <w:t>Hood</w:t>
      </w:r>
      <w:proofErr w:type="spellEnd"/>
      <w:r w:rsidRPr="00543D58">
        <w:t xml:space="preserve"> (1991) pabrėž</w:t>
      </w:r>
      <w:r w:rsidR="00A71759" w:rsidRPr="00543D58">
        <w:t>ė</w:t>
      </w:r>
      <w:r w:rsidRPr="00543D58">
        <w:t xml:space="preserve">, kad viešojo ir privataus sektorių </w:t>
      </w:r>
      <w:r w:rsidR="00AC0932" w:rsidRPr="00543D58">
        <w:t>bendradarbiavimas</w:t>
      </w:r>
      <w:r w:rsidRPr="00543D58">
        <w:t xml:space="preserve"> </w:t>
      </w:r>
      <w:r w:rsidR="00DF44AF" w:rsidRPr="001D1438">
        <w:t>„</w:t>
      </w:r>
      <w:r w:rsidRPr="00543D58">
        <w:t>naujosios vieš</w:t>
      </w:r>
      <w:r w:rsidRPr="00543D58">
        <w:t>o</w:t>
      </w:r>
      <w:r w:rsidRPr="00543D58">
        <w:t>sios vadybos reformų sąlygomis, ilgam užtikrins geresnę viešųjų paslaugų kokybę ir padidins viešojo administravimo veiksmingumą</w:t>
      </w:r>
      <w:r w:rsidR="00A71759" w:rsidRPr="00543D58">
        <w:t>“</w:t>
      </w:r>
      <w:r w:rsidRPr="00543D58">
        <w:t>.</w:t>
      </w:r>
    </w:p>
    <w:p w:rsidR="000E7A89" w:rsidRDefault="000E7A89" w:rsidP="005B524E">
      <w:pPr>
        <w:suppressAutoHyphens w:val="0"/>
      </w:pPr>
      <w:r>
        <w:t xml:space="preserve">LR </w:t>
      </w:r>
      <w:r w:rsidRPr="000E7A89">
        <w:t>Finansų ministerijos Turto valdymo departamento direktorė</w:t>
      </w:r>
      <w:r>
        <w:t xml:space="preserve"> Aušra Vičkačkienė (2009) išsk</w:t>
      </w:r>
      <w:r>
        <w:t>y</w:t>
      </w:r>
      <w:r>
        <w:t>rė partnerystės nauda bei trūkumus.</w:t>
      </w:r>
      <w:r w:rsidR="004841C3">
        <w:br/>
      </w:r>
    </w:p>
    <w:p w:rsidR="000E7A89" w:rsidRPr="003B6359" w:rsidRDefault="000E7A89" w:rsidP="005B524E">
      <w:pPr>
        <w:suppressAutoHyphens w:val="0"/>
        <w:rPr>
          <w:b/>
        </w:rPr>
      </w:pPr>
      <w:r w:rsidRPr="003B6359">
        <w:rPr>
          <w:b/>
        </w:rPr>
        <w:lastRenderedPageBreak/>
        <w:t>Nauda:</w:t>
      </w:r>
    </w:p>
    <w:p w:rsidR="000E7A89" w:rsidRDefault="000E7A89" w:rsidP="005B524E">
      <w:pPr>
        <w:pStyle w:val="ListParagraph"/>
        <w:numPr>
          <w:ilvl w:val="0"/>
          <w:numId w:val="38"/>
        </w:numPr>
        <w:suppressAutoHyphens w:val="0"/>
      </w:pPr>
      <w:r>
        <w:t>užtikrinamos reikiamos investicijos į viešąjį sektorių bei efektyvesnis valstybės lėšų va</w:t>
      </w:r>
      <w:r>
        <w:t>l</w:t>
      </w:r>
      <w:r>
        <w:t>dymas;</w:t>
      </w:r>
    </w:p>
    <w:p w:rsidR="000E7A89" w:rsidRDefault="000E7A89" w:rsidP="005B524E">
      <w:pPr>
        <w:pStyle w:val="ListParagraph"/>
        <w:numPr>
          <w:ilvl w:val="0"/>
          <w:numId w:val="38"/>
        </w:numPr>
        <w:suppressAutoHyphens w:val="0"/>
      </w:pPr>
      <w:r>
        <w:t>užtikrinimas savalaikis ir kokybiškesnis viešųjų paslaugų teikimas;</w:t>
      </w:r>
    </w:p>
    <w:p w:rsidR="000E7A89" w:rsidRDefault="000E7A89" w:rsidP="005B524E">
      <w:pPr>
        <w:pStyle w:val="ListParagraph"/>
        <w:numPr>
          <w:ilvl w:val="0"/>
          <w:numId w:val="38"/>
        </w:numPr>
        <w:suppressAutoHyphens w:val="0"/>
      </w:pPr>
      <w:r>
        <w:t>investiciniai projektai įgyvendinami nustatytu laiku ir nereikalauja papildomų nenumat</w:t>
      </w:r>
      <w:r>
        <w:t>y</w:t>
      </w:r>
      <w:r>
        <w:t>tų viešojo sektoriaus išlaidų;</w:t>
      </w:r>
    </w:p>
    <w:p w:rsidR="000E7A89" w:rsidRDefault="000E7A89" w:rsidP="005B524E">
      <w:pPr>
        <w:pStyle w:val="ListParagraph"/>
        <w:numPr>
          <w:ilvl w:val="0"/>
          <w:numId w:val="38"/>
        </w:numPr>
        <w:suppressAutoHyphens w:val="0"/>
      </w:pPr>
      <w:r>
        <w:t>privataus sektoriaus subjektams suteikiama galimybė užtikrinti ilgalaikį pelną;</w:t>
      </w:r>
    </w:p>
    <w:p w:rsidR="000E7A89" w:rsidRDefault="000E7A89" w:rsidP="005B524E">
      <w:pPr>
        <w:pStyle w:val="ListParagraph"/>
        <w:numPr>
          <w:ilvl w:val="0"/>
          <w:numId w:val="38"/>
        </w:numPr>
        <w:suppressAutoHyphens w:val="0"/>
      </w:pPr>
      <w:r>
        <w:t>panaudojama privataus sektoriaus patirtis ir gebėjimai;</w:t>
      </w:r>
    </w:p>
    <w:p w:rsidR="000E7A89" w:rsidRDefault="000E7A89" w:rsidP="005B524E">
      <w:pPr>
        <w:pStyle w:val="ListParagraph"/>
        <w:numPr>
          <w:ilvl w:val="0"/>
          <w:numId w:val="38"/>
        </w:numPr>
        <w:suppressAutoHyphens w:val="0"/>
      </w:pPr>
      <w:r>
        <w:t>tinkamas rizikų paskirstymas tarp partnerių mažina rizikų valdymo kaštus;</w:t>
      </w:r>
    </w:p>
    <w:p w:rsidR="000E7A89" w:rsidRDefault="000E7A89" w:rsidP="005B524E">
      <w:pPr>
        <w:pStyle w:val="ListParagraph"/>
        <w:numPr>
          <w:ilvl w:val="0"/>
          <w:numId w:val="38"/>
        </w:numPr>
        <w:suppressAutoHyphens w:val="0"/>
      </w:pPr>
      <w:r>
        <w:t>turtas, sukurtas pagal partnerystės sutartis, gali būti apskaitomas ne viešojo sektoriaus b</w:t>
      </w:r>
      <w:r>
        <w:t>a</w:t>
      </w:r>
      <w:r>
        <w:t>lanse;</w:t>
      </w:r>
    </w:p>
    <w:p w:rsidR="000E7A89" w:rsidRPr="003B6359" w:rsidRDefault="000E7A89" w:rsidP="005B524E">
      <w:pPr>
        <w:suppressAutoHyphens w:val="0"/>
        <w:ind w:left="927" w:firstLine="0"/>
        <w:rPr>
          <w:b/>
        </w:rPr>
      </w:pPr>
      <w:r w:rsidRPr="003B6359">
        <w:rPr>
          <w:b/>
        </w:rPr>
        <w:t>Trūkumai:</w:t>
      </w:r>
    </w:p>
    <w:p w:rsidR="000E7A89" w:rsidRDefault="000E7A89" w:rsidP="005B524E">
      <w:pPr>
        <w:pStyle w:val="ListParagraph"/>
        <w:numPr>
          <w:ilvl w:val="0"/>
          <w:numId w:val="39"/>
        </w:numPr>
        <w:suppressAutoHyphens w:val="0"/>
      </w:pPr>
      <w:r>
        <w:t>VPSP taikymo mastus reikia derinti su valstybės/savivaldybės finansinėmis galimybėmis;</w:t>
      </w:r>
    </w:p>
    <w:p w:rsidR="00415ED5" w:rsidRDefault="00415ED5" w:rsidP="005B524E">
      <w:pPr>
        <w:pStyle w:val="ListParagraph"/>
        <w:numPr>
          <w:ilvl w:val="0"/>
          <w:numId w:val="39"/>
        </w:numPr>
        <w:suppressAutoHyphens w:val="0"/>
      </w:pPr>
      <w:r>
        <w:t>nukeliant su partnerystės projektu susijusius viešojo sektoriaus mokėjimus į ateitį, gali būti neigiamai įtakojami vėlesnių laikotarpių viešojo sektoriaus fiskaliniai rodikliai;</w:t>
      </w:r>
    </w:p>
    <w:p w:rsidR="00415ED5" w:rsidRDefault="00415ED5" w:rsidP="005B524E">
      <w:pPr>
        <w:pStyle w:val="ListParagraph"/>
        <w:numPr>
          <w:ilvl w:val="0"/>
          <w:numId w:val="39"/>
        </w:numPr>
        <w:suppressAutoHyphens w:val="0"/>
      </w:pPr>
      <w:r>
        <w:t>paslaugų pirkimas taikant VPSP, trunka ilgiau ir dažniausiai kainuoja daugiau lyginant su tradiciniais viešaisiais pirkimais;</w:t>
      </w:r>
    </w:p>
    <w:p w:rsidR="000E7A89" w:rsidRDefault="00415ED5" w:rsidP="005B524E">
      <w:pPr>
        <w:pStyle w:val="ListParagraph"/>
        <w:numPr>
          <w:ilvl w:val="0"/>
          <w:numId w:val="39"/>
        </w:numPr>
        <w:suppressAutoHyphens w:val="0"/>
      </w:pPr>
      <w:r>
        <w:t xml:space="preserve">VPSP projektų sutartys yra ilgalaikės, sudėtingos bei santykinai nelanksčios, kadangi sunki iš anksto numatyti ir įvertinti visus veiksnius, galinčius ateityje įtakoti numatomos </w:t>
      </w:r>
      <w:r w:rsidR="003A41B4">
        <w:t>veiklos</w:t>
      </w:r>
      <w:r>
        <w:t xml:space="preserve"> vykdymą.</w:t>
      </w:r>
    </w:p>
    <w:p w:rsidR="00AC0932" w:rsidRDefault="00A63D42" w:rsidP="005B524E">
      <w:pPr>
        <w:pStyle w:val="BodyText"/>
        <w:suppressAutoHyphens w:val="0"/>
        <w:ind w:firstLine="709"/>
      </w:pPr>
      <w:r>
        <w:t>V</w:t>
      </w:r>
      <w:r w:rsidR="00AC0932">
        <w:t>alstybinių įmonių privatizavimo tyrinėtojas ir konsultantas E. S. Savas (2000) pateikė tokius viešojo ir privataus sektorių partnerystės privalumus:</w:t>
      </w:r>
    </w:p>
    <w:p w:rsidR="00AC0932" w:rsidRPr="00375E5E" w:rsidRDefault="00AC0932" w:rsidP="005B524E">
      <w:pPr>
        <w:pStyle w:val="ListParagraph"/>
        <w:numPr>
          <w:ilvl w:val="0"/>
          <w:numId w:val="56"/>
        </w:numPr>
        <w:suppressAutoHyphens w:val="0"/>
      </w:pPr>
      <w:r w:rsidRPr="00375E5E">
        <w:t>su privataus kapitalo pagalba galima pritraukti lėšas viešajai infrastruktūrai atnaujinti bei yra garantuojam</w:t>
      </w:r>
      <w:r w:rsidR="00375E5E">
        <w:t>a sėkmingesnė ekonomikos plėtra;</w:t>
      </w:r>
    </w:p>
    <w:p w:rsidR="00AC0932" w:rsidRPr="00375E5E" w:rsidRDefault="006F5B6C" w:rsidP="005B524E">
      <w:pPr>
        <w:pStyle w:val="ListParagraph"/>
        <w:numPr>
          <w:ilvl w:val="0"/>
          <w:numId w:val="56"/>
        </w:numPr>
        <w:suppressAutoHyphens w:val="0"/>
      </w:pPr>
      <w:r w:rsidRPr="00375E5E">
        <w:t>paslaugų tiekimo sąnaudų mažinimas</w:t>
      </w:r>
      <w:r w:rsidR="00AC0932" w:rsidRPr="00375E5E">
        <w:t xml:space="preserve"> teigiamai v</w:t>
      </w:r>
      <w:r w:rsidR="00375E5E">
        <w:t>eikia socialinį žmonių gyvenimą;</w:t>
      </w:r>
    </w:p>
    <w:p w:rsidR="00AC0932" w:rsidRPr="00375E5E" w:rsidRDefault="00375E5E" w:rsidP="005B524E">
      <w:pPr>
        <w:pStyle w:val="ListParagraph"/>
        <w:numPr>
          <w:ilvl w:val="0"/>
          <w:numId w:val="56"/>
        </w:numPr>
        <w:suppressAutoHyphens w:val="0"/>
      </w:pPr>
      <w:r>
        <w:t>p</w:t>
      </w:r>
      <w:r w:rsidR="00AC0932" w:rsidRPr="00375E5E">
        <w:t xml:space="preserve">ajamos gautos </w:t>
      </w:r>
      <w:r w:rsidR="00553907">
        <w:t>iš</w:t>
      </w:r>
      <w:r w:rsidR="00AC0932" w:rsidRPr="00375E5E">
        <w:t xml:space="preserve"> mokesčius gali būti nukreiptos kitiems socialiniams projektams, pr</w:t>
      </w:r>
      <w:r w:rsidR="00AC0932" w:rsidRPr="00375E5E">
        <w:t>i</w:t>
      </w:r>
      <w:r w:rsidR="00AC0932" w:rsidRPr="00375E5E">
        <w:t>traukiant papildomą kapitalą.</w:t>
      </w:r>
    </w:p>
    <w:p w:rsidR="000E7A89" w:rsidRPr="00B50C2F" w:rsidRDefault="000E7A89" w:rsidP="005B524E">
      <w:pPr>
        <w:suppressAutoHyphens w:val="0"/>
      </w:pPr>
      <w:r w:rsidRPr="00CD4B18">
        <w:t>PriceWaterhouseCoopers</w:t>
      </w:r>
      <w:r>
        <w:t xml:space="preserve"> (2004, 2005)</w:t>
      </w:r>
      <w:r w:rsidRPr="00CD4B18">
        <w:t xml:space="preserve"> </w:t>
      </w:r>
      <w:r>
        <w:t xml:space="preserve">auditoriai </w:t>
      </w:r>
      <w:r w:rsidRPr="00B50C2F">
        <w:t>į</w:t>
      </w:r>
      <w:r>
        <w:t xml:space="preserve">žvelgia tokias galimas VPSP pritaikymo </w:t>
      </w:r>
      <w:r w:rsidRPr="00B50C2F">
        <w:t>pr</w:t>
      </w:r>
      <w:r w:rsidRPr="00B50C2F">
        <w:t>o</w:t>
      </w:r>
      <w:r w:rsidRPr="00B50C2F">
        <w:t>blemas:</w:t>
      </w:r>
    </w:p>
    <w:p w:rsidR="000E7A89" w:rsidRPr="00B50C2F" w:rsidRDefault="000E7A89" w:rsidP="005B524E">
      <w:pPr>
        <w:pStyle w:val="ListParagraph"/>
        <w:numPr>
          <w:ilvl w:val="0"/>
          <w:numId w:val="32"/>
        </w:numPr>
        <w:suppressAutoHyphens w:val="0"/>
      </w:pPr>
      <w:r>
        <w:t>s</w:t>
      </w:r>
      <w:r w:rsidRPr="00B50C2F">
        <w:t xml:space="preserve">upratimo trūkumas </w:t>
      </w:r>
      <w:r>
        <w:t>–</w:t>
      </w:r>
      <w:r w:rsidR="00DF44AF">
        <w:t xml:space="preserve"> </w:t>
      </w:r>
      <w:r>
        <w:t xml:space="preserve">žinių stygius </w:t>
      </w:r>
      <w:r w:rsidRPr="00B50C2F">
        <w:t xml:space="preserve">apie </w:t>
      </w:r>
      <w:r>
        <w:t>viešojo ir privataus sektoriaus partnerystę</w:t>
      </w:r>
      <w:r w:rsidRPr="00B50C2F">
        <w:t>, apie modelio suderinamą su ES finansavimu</w:t>
      </w:r>
      <w:r>
        <w:t xml:space="preserve">. Be to, sutarčių rengėjai dažnai nežino </w:t>
      </w:r>
      <w:r w:rsidRPr="00B50C2F">
        <w:t>kur gauti praktinių patarimų</w:t>
      </w:r>
      <w:r>
        <w:t xml:space="preserve"> šiuo klausimu.</w:t>
      </w:r>
    </w:p>
    <w:p w:rsidR="007E250A" w:rsidRDefault="000E7A89" w:rsidP="005B524E">
      <w:pPr>
        <w:pStyle w:val="ListParagraph"/>
        <w:numPr>
          <w:ilvl w:val="0"/>
          <w:numId w:val="32"/>
        </w:numPr>
        <w:suppressAutoHyphens w:val="0"/>
      </w:pPr>
      <w:r>
        <w:t>p</w:t>
      </w:r>
      <w:r w:rsidRPr="00B50C2F">
        <w:t>recedentų trūkumas</w:t>
      </w:r>
      <w:r w:rsidR="00DF44AF">
        <w:t xml:space="preserve"> </w:t>
      </w:r>
      <w:r>
        <w:t xml:space="preserve">– VPSP projektai paprastai vertinami kaip </w:t>
      </w:r>
      <w:r w:rsidRPr="00B50C2F">
        <w:t>sudėting</w:t>
      </w:r>
      <w:r>
        <w:t>i</w:t>
      </w:r>
      <w:r w:rsidRPr="00B50C2F">
        <w:t xml:space="preserve">, </w:t>
      </w:r>
      <w:r w:rsidR="00DF44AF">
        <w:t xml:space="preserve">kadangi trūksta precedentų </w:t>
      </w:r>
      <w:r>
        <w:t xml:space="preserve">kaip </w:t>
      </w:r>
      <w:r w:rsidRPr="00B50C2F">
        <w:t>suderinti reikalavimus ES finansuojamiems projektams ir VPSP proje</w:t>
      </w:r>
      <w:r w:rsidRPr="00B50C2F">
        <w:t>k</w:t>
      </w:r>
      <w:r w:rsidRPr="00B50C2F">
        <w:lastRenderedPageBreak/>
        <w:t>tams.</w:t>
      </w:r>
    </w:p>
    <w:p w:rsidR="0008582B" w:rsidRDefault="001803BF" w:rsidP="005B524E">
      <w:pPr>
        <w:suppressAutoHyphens w:val="0"/>
      </w:pPr>
      <w:r>
        <w:t xml:space="preserve">Privataus ir viešojo sektorių partnerystę duoda didesnę naudą, jei rizika paskirstoma toms šalims, kurios geriausiai sugeba ją valdyti. Optimalus rizikos paskirstymas skatina riziką protingai vertinti ir tinkamai derinti įvairias jos kategorijas. </w:t>
      </w:r>
      <w:r w:rsidR="00DF44AF">
        <w:t xml:space="preserve">Schemoje </w:t>
      </w:r>
      <w:r w:rsidRPr="001803BF">
        <w:rPr>
          <w:b/>
        </w:rPr>
        <w:t xml:space="preserve">Schema </w:t>
      </w:r>
      <w:r w:rsidRPr="001803BF">
        <w:rPr>
          <w:b/>
          <w:lang w:val="en-US"/>
        </w:rPr>
        <w:t>1</w:t>
      </w:r>
      <w:r>
        <w:t xml:space="preserve"> pavaizduotas viešojo ir privataus sektorių partn</w:t>
      </w:r>
      <w:r>
        <w:t>e</w:t>
      </w:r>
      <w:r>
        <w:t>rystės projektams būdingas rizikos paskirstymas.</w:t>
      </w:r>
    </w:p>
    <w:p w:rsidR="0008582B" w:rsidRDefault="0008582B" w:rsidP="005B524E">
      <w:pPr>
        <w:pStyle w:val="Caption"/>
        <w:suppressAutoHyphens w:val="0"/>
      </w:pPr>
      <w:bookmarkStart w:id="6" w:name="_Toc248866381"/>
      <w:r w:rsidRPr="001D1438">
        <w:t xml:space="preserve">Schema </w:t>
      </w:r>
      <w:fldSimple w:instr=" SEQ Schema \* ARABIC ">
        <w:r w:rsidR="00E32C21">
          <w:rPr>
            <w:noProof/>
          </w:rPr>
          <w:t>1</w:t>
        </w:r>
      </w:fldSimple>
      <w:r w:rsidRPr="001D1438">
        <w:t xml:space="preserve"> </w:t>
      </w:r>
      <w:r w:rsidRPr="0008582B">
        <w:t>Rizikos paskirstymas</w:t>
      </w:r>
      <w:bookmarkEnd w:id="6"/>
    </w:p>
    <w:p w:rsidR="0008582B" w:rsidRDefault="00355845" w:rsidP="005B524E">
      <w:pPr>
        <w:suppressAutoHyphens w:val="0"/>
        <w:spacing w:before="120" w:after="100" w:afterAutospacing="1"/>
        <w:ind w:firstLine="0"/>
        <w:jc w:val="center"/>
        <w:rPr>
          <w:b/>
          <w:sz w:val="20"/>
          <w:szCs w:val="20"/>
        </w:rPr>
      </w:pPr>
      <w:r>
        <w:rPr>
          <w:b/>
          <w:noProof/>
          <w:sz w:val="20"/>
          <w:szCs w:val="20"/>
          <w:lang w:val="en-US"/>
        </w:rPr>
        <w:drawing>
          <wp:inline distT="0" distB="0" distL="0" distR="0">
            <wp:extent cx="3295650" cy="3200400"/>
            <wp:effectExtent l="3810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CE2CB9" w:rsidRPr="0008582B" w:rsidRDefault="0008582B" w:rsidP="005B524E">
      <w:pPr>
        <w:suppressAutoHyphens w:val="0"/>
        <w:spacing w:before="120" w:after="100" w:afterAutospacing="1"/>
        <w:ind w:firstLine="0"/>
        <w:rPr>
          <w:b/>
          <w:kern w:val="0"/>
          <w:sz w:val="20"/>
          <w:szCs w:val="20"/>
          <w:lang w:eastAsia="lt-LT"/>
        </w:rPr>
      </w:pPr>
      <w:r w:rsidRPr="001D1438">
        <w:rPr>
          <w:b/>
          <w:sz w:val="20"/>
          <w:szCs w:val="20"/>
        </w:rPr>
        <w:t xml:space="preserve">Šaltinis: </w:t>
      </w:r>
      <w:r w:rsidR="005915D2" w:rsidRPr="005915D2">
        <w:rPr>
          <w:b/>
          <w:sz w:val="20"/>
          <w:szCs w:val="20"/>
        </w:rPr>
        <w:t>Gudelis, Rozenbergaitė, 2004</w:t>
      </w:r>
    </w:p>
    <w:p w:rsidR="007E250A" w:rsidRPr="007E250A" w:rsidRDefault="007E250A" w:rsidP="005B524E">
      <w:pPr>
        <w:pStyle w:val="Heading3"/>
        <w:suppressAutoHyphens w:val="0"/>
      </w:pPr>
      <w:bookmarkStart w:id="7" w:name="_Toc248687459"/>
      <w:bookmarkStart w:id="8" w:name="_Toc251011248"/>
      <w:r w:rsidRPr="007E250A">
        <w:t>Viešojo ir privataus sektorių partnerystės apžvalga švietimo ir mokslo sferoje</w:t>
      </w:r>
      <w:bookmarkEnd w:id="7"/>
      <w:bookmarkEnd w:id="8"/>
    </w:p>
    <w:p w:rsidR="007E250A" w:rsidRDefault="0024247C" w:rsidP="005B524E">
      <w:pPr>
        <w:suppressAutoHyphens w:val="0"/>
        <w:rPr>
          <w:lang w:bidi="en-US"/>
        </w:rPr>
      </w:pPr>
      <w:r>
        <w:rPr>
          <w:lang w:bidi="en-US"/>
        </w:rPr>
        <w:t>Virtualus universite</w:t>
      </w:r>
      <w:r w:rsidR="007E250A" w:rsidRPr="001D1438">
        <w:rPr>
          <w:lang w:bidi="en-US"/>
        </w:rPr>
        <w:t xml:space="preserve">tas yra švietimo sistemos dalis, todėl </w:t>
      </w:r>
      <w:r>
        <w:rPr>
          <w:lang w:bidi="en-US"/>
        </w:rPr>
        <w:t>virtualaus universite</w:t>
      </w:r>
      <w:r w:rsidR="007E250A" w:rsidRPr="001D1438">
        <w:rPr>
          <w:lang w:bidi="en-US"/>
        </w:rPr>
        <w:t>to nagrinėjimas n</w:t>
      </w:r>
      <w:r w:rsidR="007E250A" w:rsidRPr="001D1438">
        <w:rPr>
          <w:lang w:bidi="en-US"/>
        </w:rPr>
        <w:t>e</w:t>
      </w:r>
      <w:r w:rsidR="007E250A" w:rsidRPr="001D1438">
        <w:rPr>
          <w:lang w:bidi="en-US"/>
        </w:rPr>
        <w:t>atsižvelgiant į švietimo sistemos niuansus yra negalimas. Šiame skyriuje bus apžvelgta viešojo ir privataus sektorių partnerystė švietimo srityje.</w:t>
      </w:r>
      <w:r w:rsidR="007E250A">
        <w:rPr>
          <w:lang w:bidi="en-US"/>
        </w:rPr>
        <w:t xml:space="preserve"> </w:t>
      </w:r>
    </w:p>
    <w:p w:rsidR="007E250A" w:rsidRPr="001D1438" w:rsidRDefault="007E250A" w:rsidP="005B524E">
      <w:pPr>
        <w:suppressAutoHyphens w:val="0"/>
      </w:pPr>
      <w:r w:rsidRPr="001D1438">
        <w:t>Viešojo ir privataus sektorių partnerystės projektų sėkmė iš esmės priklauso nuo šalių sugebėj</w:t>
      </w:r>
      <w:r w:rsidRPr="001D1438">
        <w:t>i</w:t>
      </w:r>
      <w:r w:rsidRPr="001D1438">
        <w:t>mo kiekvienu konkrečiu atveju tinkamai įvertinti šios partnerystės taikymo efektyvumą, suderinti lūkesčius bei pasirinkti teisingą formą. Viešojo sektori</w:t>
      </w:r>
      <w:r w:rsidR="008E10F5">
        <w:t>a</w:t>
      </w:r>
      <w:r w:rsidRPr="001D1438">
        <w:t>us subjektas, prieš priimdamas sprendimą dėl partnerystės taikymo tikslingumo, turi atidžiai įvertinti bei ekonominiais skaičiavimais pagrįsti num</w:t>
      </w:r>
      <w:r w:rsidRPr="001D1438">
        <w:t>a</w:t>
      </w:r>
      <w:r w:rsidRPr="001D1438">
        <w:t>tomą naudą, efektyvumą ir galimas grėsmes (Rutkauskienė ir kt., 2006, Skietrys ir kt., 2008).</w:t>
      </w:r>
    </w:p>
    <w:p w:rsidR="007E250A" w:rsidRDefault="007E250A" w:rsidP="005B524E">
      <w:pPr>
        <w:suppressAutoHyphens w:val="0"/>
        <w:rPr>
          <w:lang w:bidi="en-US"/>
        </w:rPr>
      </w:pPr>
      <w:r w:rsidRPr="001D1438">
        <w:rPr>
          <w:lang w:bidi="en-US"/>
        </w:rPr>
        <w:t>Daugelyje pasaulio šalių viešajam sektoriui tradiciškai priklausė monopolis aukštojo išsilavinimo teikimo srityje. Išimt</w:t>
      </w:r>
      <w:r w:rsidR="008E10F5">
        <w:rPr>
          <w:lang w:bidi="en-US"/>
        </w:rPr>
        <w:t>i</w:t>
      </w:r>
      <w:r w:rsidRPr="001D1438">
        <w:rPr>
          <w:lang w:bidi="en-US"/>
        </w:rPr>
        <w:t>s buvo galima rasti tik Rytų Azijoje ir Lotynų Amerikoje, kur privatūs universit</w:t>
      </w:r>
      <w:r w:rsidRPr="001D1438">
        <w:rPr>
          <w:lang w:bidi="en-US"/>
        </w:rPr>
        <w:t>e</w:t>
      </w:r>
      <w:r w:rsidRPr="001D1438">
        <w:rPr>
          <w:lang w:bidi="en-US"/>
        </w:rPr>
        <w:t xml:space="preserve">tai jau seniai rado savo nišą. Ši padėtis pasikeitė 1990 m., kai daugelyje šalių pradėjo atsirasti privatūs universitetai arba universitetai viešojo ir privataus sektorių partnerystės pagrindu </w:t>
      </w:r>
      <w:r w:rsidRPr="001D1438">
        <w:t xml:space="preserve">(Patrinos et al., </w:t>
      </w:r>
      <w:r w:rsidRPr="001D1438">
        <w:lastRenderedPageBreak/>
        <w:t>2008)</w:t>
      </w:r>
      <w:r w:rsidRPr="001D1438">
        <w:rPr>
          <w:lang w:bidi="en-US"/>
        </w:rPr>
        <w:t xml:space="preserve">. </w:t>
      </w:r>
    </w:p>
    <w:p w:rsidR="007E250A" w:rsidRDefault="007E250A" w:rsidP="005B524E">
      <w:pPr>
        <w:suppressAutoHyphens w:val="0"/>
      </w:pPr>
      <w:r w:rsidRPr="001D1438">
        <w:t>„Nors viešoji ir privati partnerystė yra gana ribota, susiduria su įvairiomis problemomis, jau g</w:t>
      </w:r>
      <w:r w:rsidRPr="001D1438">
        <w:t>a</w:t>
      </w:r>
      <w:r w:rsidRPr="001D1438">
        <w:t>lima įžvelgti keletą vertingų tokio bendradarbiavimo pranašumų“ (Rutkauskienė ir kt., 2006).</w:t>
      </w:r>
    </w:p>
    <w:p w:rsidR="007E250A" w:rsidRPr="001D1438" w:rsidRDefault="007E250A" w:rsidP="005B524E">
      <w:pPr>
        <w:suppressAutoHyphens w:val="0"/>
      </w:pPr>
      <w:r w:rsidRPr="001D1438">
        <w:t>Pasaulinio banko ekspertai (Patrinos et al., 2008) nurodo keturis pagrindinius argumentus, kodėl VPSP yra naudinga viešajam sektoriui:</w:t>
      </w:r>
    </w:p>
    <w:p w:rsidR="007E250A" w:rsidRPr="001D1438" w:rsidRDefault="007E250A" w:rsidP="005B524E">
      <w:pPr>
        <w:numPr>
          <w:ilvl w:val="0"/>
          <w:numId w:val="19"/>
        </w:numPr>
        <w:suppressAutoHyphens w:val="0"/>
      </w:pPr>
      <w:r w:rsidRPr="001D1438">
        <w:t>VPSP gali padėti sudaryti konkurenciją aukštojo mokslo rinkoje;</w:t>
      </w:r>
    </w:p>
    <w:p w:rsidR="007E250A" w:rsidRPr="001D1438" w:rsidRDefault="007E250A" w:rsidP="005B524E">
      <w:pPr>
        <w:numPr>
          <w:ilvl w:val="0"/>
          <w:numId w:val="19"/>
        </w:numPr>
        <w:suppressAutoHyphens w:val="0"/>
      </w:pPr>
      <w:r w:rsidRPr="001D1438">
        <w:t xml:space="preserve">VPSP </w:t>
      </w:r>
      <w:r w:rsidR="008E10F5">
        <w:t xml:space="preserve">sutartys </w:t>
      </w:r>
      <w:r w:rsidRPr="001D1438">
        <w:t>yra lankstesn</w:t>
      </w:r>
      <w:r w:rsidR="008E10F5">
        <w:t xml:space="preserve">ės </w:t>
      </w:r>
      <w:r w:rsidRPr="001D1438">
        <w:t>nei viešojo sektoriaus reguliavimas;</w:t>
      </w:r>
    </w:p>
    <w:p w:rsidR="007E250A" w:rsidRPr="001D1438" w:rsidRDefault="007E250A" w:rsidP="005B524E">
      <w:pPr>
        <w:numPr>
          <w:ilvl w:val="0"/>
          <w:numId w:val="19"/>
        </w:numPr>
        <w:suppressAutoHyphens w:val="0"/>
      </w:pPr>
      <w:r w:rsidRPr="001D1438">
        <w:t xml:space="preserve">Viešasis sektorius turi privataus sektoriaus partnerio pasirinkimo teisę, todėl </w:t>
      </w:r>
      <w:r w:rsidR="008E10F5">
        <w:t>į</w:t>
      </w:r>
      <w:r w:rsidRPr="001D1438">
        <w:t>gali</w:t>
      </w:r>
      <w:r w:rsidR="008E10F5">
        <w:t>n</w:t>
      </w:r>
      <w:r w:rsidRPr="001D1438">
        <w:t xml:space="preserve">a </w:t>
      </w:r>
      <w:r w:rsidR="008E10F5">
        <w:t>p</w:t>
      </w:r>
      <w:r w:rsidR="008E10F5">
        <w:t>a</w:t>
      </w:r>
      <w:r w:rsidR="008E10F5">
        <w:t xml:space="preserve">siekti </w:t>
      </w:r>
      <w:r w:rsidRPr="001D1438">
        <w:t>aukštesnius bendradarbiavimo efektyvumo, naudos bei pasitenkinimo rodiklius;</w:t>
      </w:r>
    </w:p>
    <w:p w:rsidR="007E250A" w:rsidRPr="001D1438" w:rsidRDefault="007E250A" w:rsidP="005B524E">
      <w:pPr>
        <w:numPr>
          <w:ilvl w:val="0"/>
          <w:numId w:val="19"/>
        </w:numPr>
        <w:suppressAutoHyphens w:val="0"/>
      </w:pPr>
      <w:r w:rsidRPr="001D1438">
        <w:t xml:space="preserve">VPSP </w:t>
      </w:r>
      <w:r w:rsidR="008E10F5">
        <w:t xml:space="preserve">sutartys </w:t>
      </w:r>
      <w:r w:rsidRPr="001D1438">
        <w:t>su</w:t>
      </w:r>
      <w:r w:rsidR="008E10F5">
        <w:t>kuria</w:t>
      </w:r>
      <w:r w:rsidRPr="001D1438">
        <w:t xml:space="preserve"> rizikos pasidalinimo sąlygas</w:t>
      </w:r>
      <w:r w:rsidR="008E10F5">
        <w:t>.</w:t>
      </w:r>
    </w:p>
    <w:p w:rsidR="007E250A" w:rsidRPr="00B43E7C" w:rsidRDefault="007E250A" w:rsidP="005B524E">
      <w:pPr>
        <w:suppressAutoHyphens w:val="0"/>
      </w:pPr>
      <w:r w:rsidRPr="00B43E7C">
        <w:t>VPSP projektai turi ne tik privalumų, bet ir trūkumų. Juos visada būtina įvertinti sudarant ir vy</w:t>
      </w:r>
      <w:r w:rsidRPr="00B43E7C">
        <w:t>k</w:t>
      </w:r>
      <w:r w:rsidRPr="00B43E7C">
        <w:t>dant konkrečias VPSP sutartis bei kuriant VPSP reg</w:t>
      </w:r>
      <w:r w:rsidR="008E10F5">
        <w:t>uliuojančius</w:t>
      </w:r>
      <w:r w:rsidRPr="00B43E7C">
        <w:t xml:space="preserve"> teisės aktus.</w:t>
      </w:r>
    </w:p>
    <w:p w:rsidR="007E250A" w:rsidRPr="00B43E7C" w:rsidRDefault="007E250A" w:rsidP="005B524E">
      <w:pPr>
        <w:suppressAutoHyphens w:val="0"/>
      </w:pPr>
      <w:r w:rsidRPr="00B43E7C">
        <w:t xml:space="preserve">Pasaulinio banko ekspertai (Patrinos et al., 2008) taip pat nurodo </w:t>
      </w:r>
      <w:r w:rsidR="008E10F5">
        <w:t xml:space="preserve">šiuos </w:t>
      </w:r>
      <w:r w:rsidRPr="00B43E7C">
        <w:t>VPSP trūkumus:</w:t>
      </w:r>
    </w:p>
    <w:p w:rsidR="007E250A" w:rsidRPr="00B43E7C" w:rsidRDefault="007E250A" w:rsidP="005B524E">
      <w:pPr>
        <w:pStyle w:val="ListParagraph"/>
        <w:numPr>
          <w:ilvl w:val="0"/>
          <w:numId w:val="28"/>
        </w:numPr>
        <w:suppressAutoHyphens w:val="0"/>
      </w:pPr>
      <w:r w:rsidRPr="00B43E7C">
        <w:t xml:space="preserve">VPSP gali </w:t>
      </w:r>
      <w:r w:rsidR="008E10F5">
        <w:t>skatinti</w:t>
      </w:r>
      <w:r w:rsidRPr="00B43E7C">
        <w:t xml:space="preserve"> tol</w:t>
      </w:r>
      <w:r w:rsidR="008E10F5">
        <w:t>esnį</w:t>
      </w:r>
      <w:r w:rsidRPr="00B43E7C">
        <w:t xml:space="preserve"> aukštojo mokslo sistemos privatizavimą;</w:t>
      </w:r>
    </w:p>
    <w:p w:rsidR="007E250A" w:rsidRDefault="007E250A" w:rsidP="005B524E">
      <w:pPr>
        <w:pStyle w:val="ListParagraph"/>
        <w:numPr>
          <w:ilvl w:val="0"/>
          <w:numId w:val="28"/>
        </w:numPr>
        <w:suppressAutoHyphens w:val="0"/>
      </w:pPr>
      <w:r w:rsidRPr="00B43E7C">
        <w:t>Didesnis aukštojo mokslo paslaugų t</w:t>
      </w:r>
      <w:r w:rsidR="008E10F5">
        <w:t>ei</w:t>
      </w:r>
      <w:r w:rsidRPr="00B43E7C">
        <w:t>kėjų pasirinkimas gali sudaryti socialinės segreg</w:t>
      </w:r>
      <w:r w:rsidRPr="00B43E7C">
        <w:t>a</w:t>
      </w:r>
      <w:r w:rsidRPr="00B43E7C">
        <w:t>cijos sąlygas</w:t>
      </w:r>
      <w:r w:rsidR="008E10F5">
        <w:t>.</w:t>
      </w:r>
    </w:p>
    <w:p w:rsidR="007E250A" w:rsidRPr="001D1438" w:rsidRDefault="007E250A" w:rsidP="005B524E">
      <w:pPr>
        <w:pStyle w:val="Heading3"/>
        <w:suppressAutoHyphens w:val="0"/>
      </w:pPr>
      <w:bookmarkStart w:id="9" w:name="_Toc248687460"/>
      <w:bookmarkStart w:id="10" w:name="_Toc251011249"/>
      <w:r w:rsidRPr="001D1438">
        <w:t xml:space="preserve">Viešojo ir privataus sektorių partnerystės </w:t>
      </w:r>
      <w:r>
        <w:t xml:space="preserve">klasifikacija </w:t>
      </w:r>
      <w:r w:rsidRPr="001D1438">
        <w:t>švietimo ir mokslo sferoje</w:t>
      </w:r>
      <w:bookmarkEnd w:id="9"/>
      <w:bookmarkEnd w:id="10"/>
    </w:p>
    <w:p w:rsidR="007E250A" w:rsidRPr="001D1438" w:rsidRDefault="007E250A" w:rsidP="005B524E">
      <w:pPr>
        <w:suppressAutoHyphens w:val="0"/>
        <w:rPr>
          <w:b/>
        </w:rPr>
      </w:pPr>
      <w:r w:rsidRPr="00B9300C">
        <w:t xml:space="preserve">Viešojo ir privataus sektorių partnerystė </w:t>
      </w:r>
      <w:r w:rsidRPr="00B9300C">
        <w:rPr>
          <w:lang w:eastAsia="ar-SA"/>
        </w:rPr>
        <w:t>švietimo srityje</w:t>
      </w:r>
      <w:r w:rsidRPr="001D1438">
        <w:rPr>
          <w:b/>
        </w:rPr>
        <w:t xml:space="preserve"> </w:t>
      </w:r>
      <w:r w:rsidRPr="001D1438">
        <w:t xml:space="preserve">gali būti klasifikuojama pagal </w:t>
      </w:r>
      <w:r w:rsidR="00032A10">
        <w:t>šiuos</w:t>
      </w:r>
      <w:r w:rsidRPr="001D1438">
        <w:t xml:space="preserve"> kr</w:t>
      </w:r>
      <w:r w:rsidRPr="001D1438">
        <w:t>i</w:t>
      </w:r>
      <w:r w:rsidRPr="001D1438">
        <w:t>terijus:</w:t>
      </w:r>
    </w:p>
    <w:p w:rsidR="007E250A" w:rsidRPr="001D1438" w:rsidRDefault="007E250A" w:rsidP="005B524E">
      <w:pPr>
        <w:numPr>
          <w:ilvl w:val="0"/>
          <w:numId w:val="20"/>
        </w:numPr>
        <w:suppressAutoHyphens w:val="0"/>
      </w:pPr>
      <w:r w:rsidRPr="001D1438">
        <w:t>privataus kapitalo dalyvavimo lygį;</w:t>
      </w:r>
    </w:p>
    <w:p w:rsidR="007E250A" w:rsidRPr="001D1438" w:rsidRDefault="007E250A" w:rsidP="005B524E">
      <w:pPr>
        <w:numPr>
          <w:ilvl w:val="0"/>
          <w:numId w:val="20"/>
        </w:numPr>
        <w:suppressAutoHyphens w:val="0"/>
      </w:pPr>
      <w:r w:rsidRPr="001D1438">
        <w:t>valdymo struktūr</w:t>
      </w:r>
      <w:r w:rsidR="00032A10">
        <w:t>ą</w:t>
      </w:r>
      <w:r w:rsidRPr="001D1438">
        <w:t>;</w:t>
      </w:r>
    </w:p>
    <w:p w:rsidR="007E250A" w:rsidRPr="001D1438" w:rsidRDefault="007E250A" w:rsidP="005B524E">
      <w:pPr>
        <w:numPr>
          <w:ilvl w:val="0"/>
          <w:numId w:val="20"/>
        </w:numPr>
        <w:suppressAutoHyphens w:val="0"/>
      </w:pPr>
      <w:r w:rsidRPr="001D1438">
        <w:t>partnerystės lygį;</w:t>
      </w:r>
    </w:p>
    <w:p w:rsidR="007E250A" w:rsidRPr="001D1438" w:rsidRDefault="007E250A" w:rsidP="005B524E">
      <w:pPr>
        <w:numPr>
          <w:ilvl w:val="0"/>
          <w:numId w:val="20"/>
        </w:numPr>
        <w:suppressAutoHyphens w:val="0"/>
      </w:pPr>
      <w:r w:rsidRPr="001D1438">
        <w:t>privataus sektoriaus motyvus</w:t>
      </w:r>
      <w:r w:rsidR="00032A10">
        <w:t>.</w:t>
      </w:r>
    </w:p>
    <w:p w:rsidR="007E250A" w:rsidRPr="001D1438" w:rsidRDefault="00D92E39" w:rsidP="005B524E">
      <w:pPr>
        <w:suppressAutoHyphens w:val="0"/>
      </w:pPr>
      <w:r>
        <w:t xml:space="preserve">Žymus </w:t>
      </w:r>
      <w:r w:rsidR="00311367">
        <w:t xml:space="preserve">aukštojo mokslo </w:t>
      </w:r>
      <w:r>
        <w:t>tyrinėtojas</w:t>
      </w:r>
      <w:r w:rsidR="00204A07">
        <w:t xml:space="preserve"> </w:t>
      </w:r>
      <w:r w:rsidR="007E250A" w:rsidRPr="001D1438">
        <w:t xml:space="preserve">Mahlubi Mabizela (2005) suskirstė VPSP švietimo srityje į </w:t>
      </w:r>
      <w:r w:rsidR="001B5A6B">
        <w:t>žemiau nurodytus</w:t>
      </w:r>
      <w:r w:rsidR="007E250A" w:rsidRPr="001D1438">
        <w:t xml:space="preserve"> tipus:</w:t>
      </w:r>
    </w:p>
    <w:p w:rsidR="007E250A" w:rsidRPr="001D1438" w:rsidRDefault="007E250A" w:rsidP="005B524E">
      <w:pPr>
        <w:numPr>
          <w:ilvl w:val="0"/>
          <w:numId w:val="21"/>
        </w:numPr>
        <w:suppressAutoHyphens w:val="0"/>
      </w:pPr>
      <w:r w:rsidRPr="001D1438">
        <w:rPr>
          <w:b/>
        </w:rPr>
        <w:t>paslaugų partnerystė</w:t>
      </w:r>
      <w:r w:rsidRPr="001D1438">
        <w:t xml:space="preserve"> (</w:t>
      </w:r>
      <w:r w:rsidRPr="001D1438">
        <w:rPr>
          <w:i/>
        </w:rPr>
        <w:t>angl. service partnership</w:t>
      </w:r>
      <w:r w:rsidRPr="001D1438">
        <w:t xml:space="preserve">) – privataus sektoriaus infostruktūros ir administracinio palaikymo paslaugų teikimas universitetų </w:t>
      </w:r>
      <w:r w:rsidR="001F0255">
        <w:t>nuotolinio</w:t>
      </w:r>
      <w:r w:rsidRPr="001D1438">
        <w:t xml:space="preserve"> mokymosi stude</w:t>
      </w:r>
      <w:r w:rsidRPr="001D1438">
        <w:t>n</w:t>
      </w:r>
      <w:r w:rsidRPr="001D1438">
        <w:t>tams;</w:t>
      </w:r>
    </w:p>
    <w:p w:rsidR="007E250A" w:rsidRPr="001D1438" w:rsidRDefault="007E250A" w:rsidP="005B524E">
      <w:pPr>
        <w:numPr>
          <w:ilvl w:val="0"/>
          <w:numId w:val="21"/>
        </w:numPr>
        <w:suppressAutoHyphens w:val="0"/>
      </w:pPr>
      <w:r w:rsidRPr="001D1438">
        <w:rPr>
          <w:b/>
        </w:rPr>
        <w:t>mokslo partnerystė</w:t>
      </w:r>
      <w:r w:rsidRPr="001D1438">
        <w:t xml:space="preserve"> (</w:t>
      </w:r>
      <w:r w:rsidRPr="001D1438">
        <w:rPr>
          <w:i/>
        </w:rPr>
        <w:t>angl. tuition partnership</w:t>
      </w:r>
      <w:r w:rsidRPr="001D1438">
        <w:t>)</w:t>
      </w:r>
      <w:r w:rsidR="001B5A6B">
        <w:t>, kuri dar</w:t>
      </w:r>
      <w:r w:rsidRPr="001D1438">
        <w:t xml:space="preserve"> suskirstyta į 4 potipius:</w:t>
      </w:r>
    </w:p>
    <w:p w:rsidR="007E250A" w:rsidRPr="001D1438" w:rsidRDefault="007E250A" w:rsidP="005B524E">
      <w:pPr>
        <w:numPr>
          <w:ilvl w:val="1"/>
          <w:numId w:val="21"/>
        </w:numPr>
        <w:suppressAutoHyphens w:val="0"/>
      </w:pPr>
      <w:r w:rsidRPr="001D1438">
        <w:t>specialistų partnerystė (</w:t>
      </w:r>
      <w:r w:rsidRPr="001D1438">
        <w:rPr>
          <w:i/>
        </w:rPr>
        <w:t>angl. specialist partnership</w:t>
      </w:r>
      <w:r w:rsidRPr="001D1438">
        <w:t>) – universitetų specialistų d</w:t>
      </w:r>
      <w:r w:rsidRPr="001D1438">
        <w:t>a</w:t>
      </w:r>
      <w:r w:rsidRPr="001D1438">
        <w:t xml:space="preserve">lyvavimas privačių studijų programų kūrime. Pažymėtina, kad dažniausiai šis bendradarbiavimas vyksta suteikiant studijų programų frančizės teisę privačiam subjektui. Šis </w:t>
      </w:r>
      <w:r w:rsidR="00E000B2">
        <w:t>po</w:t>
      </w:r>
      <w:r w:rsidRPr="001D1438">
        <w:t>tip</w:t>
      </w:r>
      <w:r w:rsidR="00751CF9">
        <w:t>i</w:t>
      </w:r>
      <w:r w:rsidRPr="001D1438">
        <w:t>s yra vienas populiariausių pasaulyje.</w:t>
      </w:r>
    </w:p>
    <w:p w:rsidR="007E250A" w:rsidRPr="001D1438" w:rsidRDefault="007E250A" w:rsidP="005B524E">
      <w:pPr>
        <w:numPr>
          <w:ilvl w:val="1"/>
          <w:numId w:val="21"/>
        </w:numPr>
        <w:suppressAutoHyphens w:val="0"/>
      </w:pPr>
      <w:r w:rsidRPr="001D1438">
        <w:lastRenderedPageBreak/>
        <w:t>visapusiška mokslo partnerystė (</w:t>
      </w:r>
      <w:r w:rsidRPr="001D1438">
        <w:rPr>
          <w:i/>
        </w:rPr>
        <w:t>angl. comprehensive partnership</w:t>
      </w:r>
      <w:r w:rsidRPr="001D1438">
        <w:t>) – universitetų specialistų dalyvavimas privačių mokymosi įstaigų studijų programų kūrime, in</w:t>
      </w:r>
      <w:r w:rsidRPr="001D1438">
        <w:t>f</w:t>
      </w:r>
      <w:r w:rsidRPr="001D1438">
        <w:t>rastruktūros ir administracinio valdymo vystyme.</w:t>
      </w:r>
    </w:p>
    <w:p w:rsidR="00664391" w:rsidRDefault="007E250A" w:rsidP="005B524E">
      <w:pPr>
        <w:numPr>
          <w:ilvl w:val="1"/>
          <w:numId w:val="21"/>
        </w:numPr>
        <w:suppressAutoHyphens w:val="0"/>
      </w:pPr>
      <w:r w:rsidRPr="001D1438">
        <w:t>kompetencijos tobulinimo partnerystė (</w:t>
      </w:r>
      <w:r w:rsidRPr="001D1438">
        <w:rPr>
          <w:i/>
        </w:rPr>
        <w:t>angl. capacity development</w:t>
      </w:r>
      <w:r w:rsidR="001B5A6B">
        <w:t xml:space="preserve"> </w:t>
      </w:r>
      <w:r w:rsidR="00BF0785">
        <w:rPr>
          <w:i/>
        </w:rPr>
        <w:t>partnership</w:t>
      </w:r>
      <w:r w:rsidRPr="001D1438">
        <w:t>) – universitetų specialistų dalyvavimas rengiant kompetencijos kėlimo programas.</w:t>
      </w:r>
    </w:p>
    <w:p w:rsidR="007E250A" w:rsidRPr="001D1438" w:rsidRDefault="007E250A" w:rsidP="005B524E">
      <w:pPr>
        <w:numPr>
          <w:ilvl w:val="1"/>
          <w:numId w:val="21"/>
        </w:numPr>
        <w:suppressAutoHyphens w:val="0"/>
      </w:pPr>
      <w:proofErr w:type="spellStart"/>
      <w:r w:rsidRPr="001D1438">
        <w:t>įtraukties</w:t>
      </w:r>
      <w:proofErr w:type="spellEnd"/>
      <w:r w:rsidRPr="001D1438">
        <w:t xml:space="preserve"> partnerystė (</w:t>
      </w:r>
      <w:r w:rsidRPr="001D1438">
        <w:rPr>
          <w:i/>
        </w:rPr>
        <w:t xml:space="preserve">angl. </w:t>
      </w:r>
      <w:r w:rsidRPr="00A71759">
        <w:rPr>
          <w:i/>
          <w:lang w:val="en-US"/>
        </w:rPr>
        <w:t>access partnership</w:t>
      </w:r>
      <w:r w:rsidRPr="001D1438">
        <w:t>) – bendradarbiavimas, kai privataus sektoriaus partneris registruoja, paruošia ir sertifikuoja studentus tolime</w:t>
      </w:r>
      <w:r w:rsidRPr="001D1438">
        <w:t>s</w:t>
      </w:r>
      <w:r w:rsidRPr="001D1438">
        <w:t>n</w:t>
      </w:r>
      <w:r w:rsidR="00284EF9">
        <w:t>ė</w:t>
      </w:r>
      <w:r w:rsidRPr="001D1438">
        <w:t>ms studijoms viešosiose mokslo įstaigose.</w:t>
      </w:r>
    </w:p>
    <w:p w:rsidR="007E250A" w:rsidRPr="001D1438" w:rsidRDefault="007E250A" w:rsidP="005B524E">
      <w:pPr>
        <w:numPr>
          <w:ilvl w:val="0"/>
          <w:numId w:val="21"/>
        </w:numPr>
        <w:suppressAutoHyphens w:val="0"/>
        <w:rPr>
          <w:b/>
        </w:rPr>
      </w:pPr>
      <w:r w:rsidRPr="001D1438">
        <w:rPr>
          <w:b/>
        </w:rPr>
        <w:t xml:space="preserve">institucijų partnerystė </w:t>
      </w:r>
      <w:r w:rsidRPr="001D1438">
        <w:t>(</w:t>
      </w:r>
      <w:r w:rsidRPr="001D1438">
        <w:rPr>
          <w:i/>
        </w:rPr>
        <w:t xml:space="preserve">angl. </w:t>
      </w:r>
      <w:r w:rsidRPr="00A71759">
        <w:rPr>
          <w:i/>
          <w:lang w:val="en-US"/>
        </w:rPr>
        <w:t xml:space="preserve">professional institutes </w:t>
      </w:r>
      <w:r w:rsidR="00A71759" w:rsidRPr="00A71759">
        <w:rPr>
          <w:i/>
          <w:lang w:val="en-US"/>
        </w:rPr>
        <w:t>partnership</w:t>
      </w:r>
      <w:r w:rsidRPr="001D1438">
        <w:t>) – privataus ir viešojo sektoriaus švietimo institucijų bendradarbiavimas rengiant studijų programas, vykdant t</w:t>
      </w:r>
      <w:r w:rsidRPr="001D1438">
        <w:t>y</w:t>
      </w:r>
      <w:r w:rsidRPr="001D1438">
        <w:t>rimus ir t. t.</w:t>
      </w:r>
    </w:p>
    <w:p w:rsidR="007E250A" w:rsidRPr="001D1438" w:rsidRDefault="007E250A" w:rsidP="005B524E">
      <w:pPr>
        <w:suppressAutoHyphens w:val="0"/>
      </w:pPr>
      <w:r w:rsidRPr="001D1438">
        <w:t xml:space="preserve">Dažnai sąvoka </w:t>
      </w:r>
      <w:r w:rsidRPr="001D1438">
        <w:rPr>
          <w:i/>
        </w:rPr>
        <w:t>viešojo ir privataus sektorių bendradarbiavimas</w:t>
      </w:r>
      <w:r w:rsidRPr="001D1438">
        <w:t xml:space="preserve"> žymi privataus sektoriaus dal</w:t>
      </w:r>
      <w:r w:rsidRPr="001D1438">
        <w:t>y</w:t>
      </w:r>
      <w:r w:rsidRPr="001D1438">
        <w:t>vavimą aukštojo mokslo nacionalinės strategijos planavime. Šiame bendradarbiavime pagrindin</w:t>
      </w:r>
      <w:r w:rsidR="00284EF9">
        <w:t>į</w:t>
      </w:r>
      <w:r w:rsidRPr="001D1438">
        <w:t xml:space="preserve"> vaidmenį vaidina viešasis sektorius. Tačiau, Kai-</w:t>
      </w:r>
      <w:proofErr w:type="spellStart"/>
      <w:r w:rsidRPr="001D1438">
        <w:t>ming</w:t>
      </w:r>
      <w:proofErr w:type="spellEnd"/>
      <w:r w:rsidRPr="001D1438">
        <w:t xml:space="preserve"> </w:t>
      </w:r>
      <w:proofErr w:type="spellStart"/>
      <w:r w:rsidRPr="001D1438">
        <w:t>Cheng</w:t>
      </w:r>
      <w:proofErr w:type="spellEnd"/>
      <w:r w:rsidRPr="001D1438">
        <w:t xml:space="preserve"> (2009)</w:t>
      </w:r>
      <w:r w:rsidR="00284EF9">
        <w:t xml:space="preserve"> nuomone</w:t>
      </w:r>
      <w:r w:rsidRPr="001D1438">
        <w:t>, VPSP viešasis sekt</w:t>
      </w:r>
      <w:r w:rsidRPr="001D1438">
        <w:t>o</w:t>
      </w:r>
      <w:r w:rsidRPr="001D1438">
        <w:t>rius gali būti traktuojamas</w:t>
      </w:r>
      <w:r w:rsidR="00284EF9">
        <w:t xml:space="preserve"> </w:t>
      </w:r>
      <w:r w:rsidRPr="001D1438">
        <w:t>kaip vieš</w:t>
      </w:r>
      <w:r w:rsidR="00284EF9">
        <w:t xml:space="preserve">asis </w:t>
      </w:r>
      <w:r w:rsidRPr="001D1438">
        <w:t>g</w:t>
      </w:r>
      <w:r w:rsidR="00284EF9">
        <w:t>ė</w:t>
      </w:r>
      <w:r w:rsidRPr="001D1438">
        <w:t>r</w:t>
      </w:r>
      <w:r w:rsidR="00284EF9">
        <w:t>is</w:t>
      </w:r>
      <w:r w:rsidRPr="001D1438">
        <w:t xml:space="preserve">, o pagrindinis vaidmuo atiduodamas privačiam sektoriui. Autorius išskyrė 8 </w:t>
      </w:r>
      <w:r w:rsidR="00284EF9">
        <w:t xml:space="preserve">žemiau nurodytus </w:t>
      </w:r>
      <w:r w:rsidRPr="001D1438">
        <w:t>šio bendradarbiavimo tipus priklausomai nuo privataus sektoriaus naudojimosi vieš</w:t>
      </w:r>
      <w:r w:rsidR="00284EF9">
        <w:t>uoju</w:t>
      </w:r>
      <w:r w:rsidRPr="001D1438">
        <w:t xml:space="preserve"> g</w:t>
      </w:r>
      <w:r w:rsidR="00284EF9">
        <w:t>ėriu</w:t>
      </w:r>
      <w:r w:rsidRPr="001D1438">
        <w:t xml:space="preserve"> laipsnio</w:t>
      </w:r>
      <w:r w:rsidR="00284EF9">
        <w:t>:</w:t>
      </w:r>
    </w:p>
    <w:p w:rsidR="00664391" w:rsidRDefault="00BF0785" w:rsidP="005B524E">
      <w:pPr>
        <w:pStyle w:val="ListParagraph"/>
        <w:numPr>
          <w:ilvl w:val="0"/>
          <w:numId w:val="37"/>
        </w:numPr>
        <w:suppressAutoHyphens w:val="0"/>
      </w:pPr>
      <w:r>
        <w:rPr>
          <w:b/>
        </w:rPr>
        <w:t>Pirmasis lygis</w:t>
      </w:r>
      <w:r w:rsidR="009F6313">
        <w:t xml:space="preserve">. Apima </w:t>
      </w:r>
      <w:r w:rsidR="007E250A" w:rsidRPr="001D1438">
        <w:t>valstybinio aukštojo mokslo sistem</w:t>
      </w:r>
      <w:r w:rsidR="009F6313">
        <w:t>ą</w:t>
      </w:r>
      <w:r w:rsidR="007E250A" w:rsidRPr="001D1438">
        <w:t>, kurioje privataus sektoriaus dalyvavimas yra epizodinis ir beveik nepastebimas. Verslo skiriamos dotacijos aukštojo mokslo sistemai yra griežtai kontroliuojamos valstybės lygiu</w:t>
      </w:r>
      <w:r w:rsidR="00284EF9">
        <w:t>;</w:t>
      </w:r>
    </w:p>
    <w:p w:rsidR="00664391" w:rsidRDefault="00BF0785" w:rsidP="005B524E">
      <w:pPr>
        <w:pStyle w:val="ListParagraph"/>
        <w:numPr>
          <w:ilvl w:val="0"/>
          <w:numId w:val="37"/>
        </w:numPr>
        <w:suppressAutoHyphens w:val="0"/>
      </w:pPr>
      <w:r>
        <w:rPr>
          <w:b/>
        </w:rPr>
        <w:t>Antrasis lygis</w:t>
      </w:r>
      <w:r w:rsidR="007E250A" w:rsidRPr="001D1438">
        <w:t>. Aukštojo mokslo sistema yra kontroliuojama viešojo sektoriaus, tačiau yra leidžiamas privatau</w:t>
      </w:r>
      <w:r w:rsidR="007E250A">
        <w:t>s sektoriaus dalyvavimas: dotacijų</w:t>
      </w:r>
      <w:r w:rsidR="007E250A" w:rsidRPr="001D1438">
        <w:t xml:space="preserve"> sk</w:t>
      </w:r>
      <w:r w:rsidR="009F6313">
        <w:t>y</w:t>
      </w:r>
      <w:r w:rsidR="007E250A" w:rsidRPr="001D1438">
        <w:t>rimas, programų rėmimas, biudžeto formavimas ir t. t.</w:t>
      </w:r>
    </w:p>
    <w:p w:rsidR="00664391" w:rsidRDefault="00BF0785" w:rsidP="005B524E">
      <w:pPr>
        <w:pStyle w:val="ListParagraph"/>
        <w:numPr>
          <w:ilvl w:val="0"/>
          <w:numId w:val="37"/>
        </w:numPr>
        <w:suppressAutoHyphens w:val="0"/>
      </w:pPr>
      <w:r>
        <w:rPr>
          <w:b/>
        </w:rPr>
        <w:t>Trečiasis lygis</w:t>
      </w:r>
      <w:r w:rsidR="007E250A" w:rsidRPr="001D1438">
        <w:t>. Aukštojo mokslo sistema yra kontroliuojama viešojo sektoriaus, tačiau yra prižįstamas bendradarbiavimas su privačiu sektoriumi. Viešasis sektorius kviečiamas dalyvauti privataus sektoriaus projektų rengime, o privačiam sektoriui yra leidžiamos v</w:t>
      </w:r>
      <w:r w:rsidR="007E250A" w:rsidRPr="001D1438">
        <w:t>i</w:t>
      </w:r>
      <w:r w:rsidR="007E250A" w:rsidRPr="001D1438">
        <w:t>sos dotavimo veiklos. Pažymėtina, kad viešasis sektorius turi ribotas dalyvavimo teises, o bendradarbiavimas pr</w:t>
      </w:r>
      <w:r w:rsidR="007E250A">
        <w:t>ivačiuose projektuose yra kontr</w:t>
      </w:r>
      <w:r w:rsidR="007E250A" w:rsidRPr="001D1438">
        <w:t>oli</w:t>
      </w:r>
      <w:r w:rsidR="007E250A">
        <w:t>u</w:t>
      </w:r>
      <w:r w:rsidR="007E250A" w:rsidRPr="001D1438">
        <w:t>ojamas privataus sektoriaus.</w:t>
      </w:r>
    </w:p>
    <w:p w:rsidR="00664391" w:rsidRDefault="00BF0785" w:rsidP="005B524E">
      <w:pPr>
        <w:pStyle w:val="ListParagraph"/>
        <w:numPr>
          <w:ilvl w:val="0"/>
          <w:numId w:val="37"/>
        </w:numPr>
        <w:suppressAutoHyphens w:val="0"/>
      </w:pPr>
      <w:r>
        <w:rPr>
          <w:b/>
        </w:rPr>
        <w:t>Ketvirtasis lygis</w:t>
      </w:r>
      <w:r w:rsidR="007E250A" w:rsidRPr="001D1438">
        <w:t>. Vidutinio lygio valstybinės aukštojo mokslo sistemos ir privataus se</w:t>
      </w:r>
      <w:r w:rsidR="007E250A" w:rsidRPr="001D1438">
        <w:t>k</w:t>
      </w:r>
      <w:r w:rsidR="007E250A" w:rsidRPr="001D1438">
        <w:t>toriaus bendradarbiavimas, kai viešasis sektorius kontroliuoja aukštąsias universitetines mokyklas, tačiau verslui leidžiama kurti profesinio lavinimo ar aukštąsias neuniversitet</w:t>
      </w:r>
      <w:r w:rsidR="007E250A" w:rsidRPr="001D1438">
        <w:t>i</w:t>
      </w:r>
      <w:r w:rsidR="007E250A" w:rsidRPr="001D1438">
        <w:t xml:space="preserve">nes mokyklas. Aukštojo mokslo paslaugų rinka priklausomai nuo steigėjo </w:t>
      </w:r>
      <w:r w:rsidR="004776E1">
        <w:t xml:space="preserve">tipo </w:t>
      </w:r>
      <w:r w:rsidR="007E250A" w:rsidRPr="001D1438">
        <w:t>yra pad</w:t>
      </w:r>
      <w:r w:rsidR="007E250A" w:rsidRPr="001D1438">
        <w:t>a</w:t>
      </w:r>
      <w:r w:rsidR="007E250A" w:rsidRPr="001D1438">
        <w:t>linama į du sektorius.</w:t>
      </w:r>
    </w:p>
    <w:p w:rsidR="00664391" w:rsidRDefault="00BF0785" w:rsidP="005B524E">
      <w:pPr>
        <w:pStyle w:val="ListParagraph"/>
        <w:numPr>
          <w:ilvl w:val="0"/>
          <w:numId w:val="37"/>
        </w:numPr>
        <w:suppressAutoHyphens w:val="0"/>
      </w:pPr>
      <w:r>
        <w:rPr>
          <w:b/>
        </w:rPr>
        <w:t>Penktasis lygis</w:t>
      </w:r>
      <w:r w:rsidR="007E250A" w:rsidRPr="001D1438">
        <w:t xml:space="preserve">. Viešosioms aukštosioms mokykloms suteikiama autonomiškumo teisė. </w:t>
      </w:r>
      <w:r w:rsidR="007E250A" w:rsidRPr="001D1438">
        <w:lastRenderedPageBreak/>
        <w:t xml:space="preserve">Šalia viešųjų aukštojo </w:t>
      </w:r>
      <w:r w:rsidR="004776E1">
        <w:t xml:space="preserve">mokslo </w:t>
      </w:r>
      <w:r w:rsidR="007E250A" w:rsidRPr="001D1438">
        <w:t xml:space="preserve">mokyklų atsiranda privataus kapitalo </w:t>
      </w:r>
      <w:r w:rsidR="00F15E75">
        <w:t>aukštosios</w:t>
      </w:r>
      <w:r w:rsidR="007E250A">
        <w:t xml:space="preserve"> </w:t>
      </w:r>
      <w:r w:rsidR="007E250A" w:rsidRPr="001D1438">
        <w:t>mokyklos.</w:t>
      </w:r>
    </w:p>
    <w:p w:rsidR="00664391" w:rsidRDefault="00BF0785" w:rsidP="005B524E">
      <w:pPr>
        <w:pStyle w:val="ListParagraph"/>
        <w:numPr>
          <w:ilvl w:val="0"/>
          <w:numId w:val="37"/>
        </w:numPr>
        <w:suppressAutoHyphens w:val="0"/>
      </w:pPr>
      <w:r>
        <w:rPr>
          <w:b/>
        </w:rPr>
        <w:t>Šeštasis lygis</w:t>
      </w:r>
      <w:r w:rsidR="007E250A" w:rsidRPr="001D1438">
        <w:t xml:space="preserve">. Aukštojo mokslo sistema </w:t>
      </w:r>
      <w:r w:rsidR="004776E1">
        <w:t>dažniausiai</w:t>
      </w:r>
      <w:r w:rsidR="007E250A" w:rsidRPr="001D1438">
        <w:t xml:space="preserve"> remiama privataus sektoriaus. Vieš</w:t>
      </w:r>
      <w:r w:rsidR="007E250A" w:rsidRPr="001D1438">
        <w:t>a</w:t>
      </w:r>
      <w:r w:rsidR="007E250A" w:rsidRPr="001D1438">
        <w:t>sis sektorius dalyvauja tik iš dalies kontroliuojant ir skiriant dotacijas kai kurioms aukšt</w:t>
      </w:r>
      <w:r w:rsidR="007E250A" w:rsidRPr="001D1438">
        <w:t>o</w:t>
      </w:r>
      <w:r w:rsidR="007E250A" w:rsidRPr="001D1438">
        <w:t>jo mokslo mokykloms.</w:t>
      </w:r>
    </w:p>
    <w:p w:rsidR="00664391" w:rsidRDefault="00BF0785" w:rsidP="005B524E">
      <w:pPr>
        <w:pStyle w:val="ListParagraph"/>
        <w:numPr>
          <w:ilvl w:val="0"/>
          <w:numId w:val="37"/>
        </w:numPr>
        <w:suppressAutoHyphens w:val="0"/>
      </w:pPr>
      <w:r>
        <w:rPr>
          <w:b/>
        </w:rPr>
        <w:t>Septintasis lygis</w:t>
      </w:r>
      <w:r w:rsidR="007E250A" w:rsidRPr="001D1438">
        <w:t>. Vietoj privataus aukštojo mokslo sistemos kūrimo</w:t>
      </w:r>
      <w:r w:rsidR="004776E1">
        <w:t xml:space="preserve"> </w:t>
      </w:r>
      <w:r w:rsidR="007E250A" w:rsidRPr="001D1438">
        <w:t>yra kuriamos elitinės aukštojo mokslo įstaigos, kurios sudaro konkurencij</w:t>
      </w:r>
      <w:r w:rsidR="004776E1">
        <w:t>ą</w:t>
      </w:r>
      <w:r w:rsidR="007E250A" w:rsidRPr="001D1438">
        <w:t xml:space="preserve"> valstybinio mokslo sistemai. Tai d</w:t>
      </w:r>
      <w:r w:rsidR="007E250A" w:rsidRPr="001D1438">
        <w:t>a</w:t>
      </w:r>
      <w:r w:rsidR="007E250A" w:rsidRPr="001D1438">
        <w:t>roma norint išvengti valstybės įtakos aukštojo mokslo įstaigai.</w:t>
      </w:r>
    </w:p>
    <w:p w:rsidR="00664391" w:rsidRDefault="00BF0785" w:rsidP="005B524E">
      <w:pPr>
        <w:pStyle w:val="ListParagraph"/>
        <w:numPr>
          <w:ilvl w:val="0"/>
          <w:numId w:val="37"/>
        </w:numPr>
        <w:suppressAutoHyphens w:val="0"/>
      </w:pPr>
      <w:r>
        <w:rPr>
          <w:b/>
        </w:rPr>
        <w:t>Aštuntasis lygis</w:t>
      </w:r>
      <w:r w:rsidR="004776E1">
        <w:t xml:space="preserve">. Apima </w:t>
      </w:r>
      <w:r w:rsidR="007E250A" w:rsidRPr="001D1438">
        <w:t>atvirosios rinkos aukštojo mokslo sistem</w:t>
      </w:r>
      <w:r w:rsidR="004776E1">
        <w:t>ą</w:t>
      </w:r>
      <w:r w:rsidR="007E250A" w:rsidRPr="001D1438">
        <w:t>, kai bendradarbiav</w:t>
      </w:r>
      <w:r w:rsidR="007E250A" w:rsidRPr="001D1438">
        <w:t>i</w:t>
      </w:r>
      <w:r w:rsidR="007E250A" w:rsidRPr="001D1438">
        <w:t xml:space="preserve">mo tipas keičiasi </w:t>
      </w:r>
      <w:r w:rsidR="004776E1">
        <w:t xml:space="preserve">priklausomai </w:t>
      </w:r>
      <w:r w:rsidR="007E250A" w:rsidRPr="001D1438">
        <w:t>nuo rinkos sąlygų.</w:t>
      </w:r>
    </w:p>
    <w:p w:rsidR="007E250A" w:rsidRPr="007E250A" w:rsidRDefault="007E250A" w:rsidP="005B524E">
      <w:pPr>
        <w:suppressAutoHyphens w:val="0"/>
      </w:pPr>
      <w:r w:rsidRPr="00673721">
        <w:t xml:space="preserve">LR </w:t>
      </w:r>
      <w:r>
        <w:t>m</w:t>
      </w:r>
      <w:r w:rsidRPr="00673721">
        <w:t>okslo ir studijų įstatyme pažymima, jog „valstybinė aukštoji mokykla yra viešasis juridinis asmuo, veikiantis kaip viešoji įstaiga, turinti Lietuvos Respublikos Konstitucijos garantuojamą aut</w:t>
      </w:r>
      <w:r w:rsidRPr="00673721">
        <w:t>o</w:t>
      </w:r>
      <w:r w:rsidRPr="00673721">
        <w:t xml:space="preserve">nomiją, šio ir kitų įstatymų nustatytą specialų statusą. Nevalstybinė aukštoji mokykla yra viešasis juridinis asmuo, veikiantis kaip viešoji įstaiga, arba privatus juridinis asmuo“. Atsižvelgiant į tai, galima daryti išvadą, </w:t>
      </w:r>
      <w:r w:rsidR="004776E1">
        <w:t xml:space="preserve">kad, </w:t>
      </w:r>
      <w:r w:rsidRPr="00673721">
        <w:t>pagal Kai-</w:t>
      </w:r>
      <w:proofErr w:type="spellStart"/>
      <w:r w:rsidRPr="00673721">
        <w:t>ming</w:t>
      </w:r>
      <w:proofErr w:type="spellEnd"/>
      <w:r w:rsidRPr="00673721">
        <w:t xml:space="preserve"> </w:t>
      </w:r>
      <w:proofErr w:type="spellStart"/>
      <w:r w:rsidRPr="00673721">
        <w:t>Cheng</w:t>
      </w:r>
      <w:proofErr w:type="spellEnd"/>
      <w:r w:rsidRPr="00673721">
        <w:t xml:space="preserve"> (2009) </w:t>
      </w:r>
      <w:r w:rsidR="004776E1">
        <w:t xml:space="preserve">pateiktą </w:t>
      </w:r>
      <w:r w:rsidRPr="00673721">
        <w:t>klasifikaciją</w:t>
      </w:r>
      <w:r w:rsidR="004776E1">
        <w:t>,</w:t>
      </w:r>
      <w:r w:rsidR="00F17533">
        <w:t xml:space="preserve"> </w:t>
      </w:r>
      <w:r w:rsidRPr="00673721">
        <w:t>Lietuvoje yra</w:t>
      </w:r>
      <w:r w:rsidR="004776E1">
        <w:t xml:space="preserve"> </w:t>
      </w:r>
      <w:r w:rsidRPr="00673721">
        <w:t>penktasis partnerystės lygis.</w:t>
      </w:r>
    </w:p>
    <w:p w:rsidR="004D64D8" w:rsidRDefault="00895F5C" w:rsidP="005B524E">
      <w:pPr>
        <w:pStyle w:val="Heading2"/>
        <w:suppressAutoHyphens w:val="0"/>
        <w:rPr>
          <w:rFonts w:ascii="Times New Roman" w:hAnsi="Times New Roman"/>
          <w:kern w:val="0"/>
          <w:lang w:eastAsia="lt-LT"/>
        </w:rPr>
      </w:pPr>
      <w:bookmarkStart w:id="11" w:name="_Toc248687461"/>
      <w:bookmarkStart w:id="12" w:name="_Toc251011250"/>
      <w:r w:rsidRPr="001D1438">
        <w:rPr>
          <w:kern w:val="0"/>
          <w:lang w:eastAsia="lt-LT"/>
        </w:rPr>
        <w:t>Viešojo ir privataus sektorių partnerystės formos</w:t>
      </w:r>
      <w:bookmarkEnd w:id="11"/>
      <w:bookmarkEnd w:id="12"/>
    </w:p>
    <w:p w:rsidR="00895F5C" w:rsidRPr="001D1438" w:rsidRDefault="00895F5C" w:rsidP="005B524E">
      <w:pPr>
        <w:suppressAutoHyphens w:val="0"/>
        <w:rPr>
          <w:kern w:val="0"/>
          <w:lang w:eastAsia="lt-LT"/>
        </w:rPr>
      </w:pPr>
      <w:r w:rsidRPr="001D1438">
        <w:rPr>
          <w:kern w:val="0"/>
          <w:lang w:eastAsia="lt-LT"/>
        </w:rPr>
        <w:t>Nagrinėjant VPSP</w:t>
      </w:r>
      <w:r w:rsidR="004776E1">
        <w:rPr>
          <w:kern w:val="0"/>
          <w:lang w:eastAsia="lt-LT"/>
        </w:rPr>
        <w:t xml:space="preserve"> </w:t>
      </w:r>
      <w:r w:rsidRPr="001D1438">
        <w:rPr>
          <w:kern w:val="0"/>
          <w:lang w:eastAsia="lt-LT"/>
        </w:rPr>
        <w:t>ypač svarbu tinkamai suprasti, kokiomis formomis viešasis ir privatus sekt</w:t>
      </w:r>
      <w:r w:rsidRPr="001D1438">
        <w:rPr>
          <w:kern w:val="0"/>
          <w:lang w:eastAsia="lt-LT"/>
        </w:rPr>
        <w:t>o</w:t>
      </w:r>
      <w:r w:rsidRPr="001D1438">
        <w:rPr>
          <w:kern w:val="0"/>
          <w:lang w:eastAsia="lt-LT"/>
        </w:rPr>
        <w:t>rius gali bendradarbiauti</w:t>
      </w:r>
      <w:r w:rsidR="004776E1">
        <w:rPr>
          <w:kern w:val="0"/>
          <w:lang w:eastAsia="lt-LT"/>
        </w:rPr>
        <w:t xml:space="preserve">. </w:t>
      </w:r>
      <w:r w:rsidRPr="001D1438">
        <w:t>LR Valstybinis auditas</w:t>
      </w:r>
      <w:r w:rsidRPr="001D1438">
        <w:rPr>
          <w:kern w:val="0"/>
          <w:lang w:eastAsia="lt-LT"/>
        </w:rPr>
        <w:t xml:space="preserve"> pažymi, kad Lietuvoje egzistuoja poreikis vykdyti VPSP projektus formomis, kurios specialiuose teisės aktuose nėra reglamentuotos.</w:t>
      </w:r>
    </w:p>
    <w:p w:rsidR="00895F5C" w:rsidRPr="001D1438" w:rsidRDefault="004776E1" w:rsidP="005B524E">
      <w:pPr>
        <w:suppressAutoHyphens w:val="0"/>
        <w:rPr>
          <w:kern w:val="0"/>
          <w:lang w:eastAsia="lt-LT"/>
        </w:rPr>
      </w:pPr>
      <w:r>
        <w:rPr>
          <w:kern w:val="0"/>
          <w:lang w:eastAsia="lt-LT"/>
        </w:rPr>
        <w:t>S</w:t>
      </w:r>
      <w:r w:rsidR="00895F5C" w:rsidRPr="001D1438">
        <w:rPr>
          <w:kern w:val="0"/>
          <w:lang w:eastAsia="lt-LT"/>
        </w:rPr>
        <w:t xml:space="preserve">iekiant geriau pristatyti VPSP sistemą ir jos sampratą, </w:t>
      </w:r>
      <w:r>
        <w:rPr>
          <w:kern w:val="0"/>
          <w:lang w:eastAsia="lt-LT"/>
        </w:rPr>
        <w:t>žemiau</w:t>
      </w:r>
      <w:r w:rsidR="00895F5C" w:rsidRPr="001D1438">
        <w:rPr>
          <w:kern w:val="0"/>
          <w:lang w:eastAsia="lt-LT"/>
        </w:rPr>
        <w:t xml:space="preserve"> pateikiamos tarptautinių instit</w:t>
      </w:r>
      <w:r w:rsidR="00895F5C" w:rsidRPr="001D1438">
        <w:rPr>
          <w:kern w:val="0"/>
          <w:lang w:eastAsia="lt-LT"/>
        </w:rPr>
        <w:t>u</w:t>
      </w:r>
      <w:r w:rsidR="00895F5C" w:rsidRPr="001D1438">
        <w:rPr>
          <w:kern w:val="0"/>
          <w:lang w:eastAsia="lt-LT"/>
        </w:rPr>
        <w:t>cijų išskirt</w:t>
      </w:r>
      <w:r>
        <w:rPr>
          <w:kern w:val="0"/>
          <w:lang w:eastAsia="lt-LT"/>
        </w:rPr>
        <w:t>o</w:t>
      </w:r>
      <w:r w:rsidR="00895F5C" w:rsidRPr="001D1438">
        <w:rPr>
          <w:kern w:val="0"/>
          <w:lang w:eastAsia="lt-LT"/>
        </w:rPr>
        <w:t>s galimos VPSP formos.</w:t>
      </w:r>
    </w:p>
    <w:p w:rsidR="00895F5C" w:rsidRPr="001D1438" w:rsidRDefault="00895F5C" w:rsidP="005B524E">
      <w:pPr>
        <w:suppressAutoHyphens w:val="0"/>
        <w:rPr>
          <w:kern w:val="0"/>
          <w:lang w:eastAsia="lt-LT"/>
        </w:rPr>
      </w:pPr>
      <w:r w:rsidRPr="001D1438">
        <w:rPr>
          <w:kern w:val="0"/>
          <w:lang w:eastAsia="lt-LT"/>
        </w:rPr>
        <w:t xml:space="preserve">Tarptautinės aukščiausiųjų audito institucijų organizacijos išskyrė šias VPSP formas (žr. </w:t>
      </w:r>
      <w:r w:rsidR="005B524E">
        <w:rPr>
          <w:kern w:val="0"/>
          <w:lang w:eastAsia="lt-LT"/>
        </w:rPr>
        <w:br/>
      </w:r>
      <w:r w:rsidRPr="001D1438">
        <w:rPr>
          <w:b/>
          <w:kern w:val="0"/>
          <w:lang w:eastAsia="lt-LT"/>
        </w:rPr>
        <w:t xml:space="preserve">Lentelė </w:t>
      </w:r>
      <w:r w:rsidR="00F005B1">
        <w:rPr>
          <w:b/>
          <w:kern w:val="0"/>
          <w:lang w:val="ru-RU" w:eastAsia="lt-LT"/>
        </w:rPr>
        <w:t>1</w:t>
      </w:r>
      <w:r w:rsidRPr="001D1438">
        <w:rPr>
          <w:kern w:val="0"/>
          <w:lang w:eastAsia="lt-LT"/>
        </w:rPr>
        <w:t>).</w:t>
      </w:r>
    </w:p>
    <w:p w:rsidR="00895F5C" w:rsidRPr="001D1438" w:rsidRDefault="00895F5C" w:rsidP="005B524E">
      <w:pPr>
        <w:pStyle w:val="Caption"/>
        <w:suppressAutoHyphens w:val="0"/>
      </w:pPr>
      <w:bookmarkStart w:id="13" w:name="_Toc119509736"/>
      <w:bookmarkStart w:id="14" w:name="_Toc248866369"/>
      <w:r w:rsidRPr="001D1438">
        <w:t xml:space="preserve">Lentelė </w:t>
      </w:r>
      <w:r w:rsidR="009A186D">
        <w:fldChar w:fldCharType="begin"/>
      </w:r>
      <w:r w:rsidR="00B96EE7">
        <w:instrText xml:space="preserve"> SEQ Lentelė \* ARABIC </w:instrText>
      </w:r>
      <w:r w:rsidR="009A186D">
        <w:fldChar w:fldCharType="separate"/>
      </w:r>
      <w:r w:rsidR="00E32C21">
        <w:rPr>
          <w:noProof/>
        </w:rPr>
        <w:t>1</w:t>
      </w:r>
      <w:r w:rsidR="009A186D">
        <w:fldChar w:fldCharType="end"/>
      </w:r>
      <w:r w:rsidRPr="001D1438">
        <w:t xml:space="preserve"> Viešojo ir privataus sektorių partnerystės formos (INTOSAI)</w:t>
      </w:r>
      <w:bookmarkEnd w:id="13"/>
      <w:bookmarkEnd w:id="14"/>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3547"/>
        <w:gridCol w:w="6589"/>
      </w:tblGrid>
      <w:tr w:rsidR="00895F5C" w:rsidRPr="001D1438">
        <w:trPr>
          <w:trHeight w:val="204"/>
          <w:jc w:val="center"/>
        </w:trPr>
        <w:tc>
          <w:tcPr>
            <w:tcW w:w="0" w:type="auto"/>
            <w:shd w:val="clear" w:color="auto" w:fill="1F497D" w:themeFill="text2"/>
            <w:vAlign w:val="center"/>
          </w:tcPr>
          <w:p w:rsidR="00895F5C" w:rsidRPr="006C4D6A" w:rsidRDefault="00895F5C" w:rsidP="005B524E">
            <w:pPr>
              <w:suppressAutoHyphens w:val="0"/>
              <w:ind w:firstLine="0"/>
              <w:jc w:val="center"/>
              <w:rPr>
                <w:b/>
                <w:color w:val="FFFFFF" w:themeColor="background1"/>
                <w:sz w:val="22"/>
                <w:szCs w:val="20"/>
              </w:rPr>
            </w:pPr>
            <w:r w:rsidRPr="006C4D6A">
              <w:rPr>
                <w:b/>
                <w:color w:val="FFFFFF" w:themeColor="background1"/>
                <w:sz w:val="22"/>
                <w:szCs w:val="20"/>
              </w:rPr>
              <w:t>Forma</w:t>
            </w:r>
          </w:p>
        </w:tc>
        <w:tc>
          <w:tcPr>
            <w:tcW w:w="0" w:type="auto"/>
            <w:shd w:val="clear" w:color="auto" w:fill="1F497D" w:themeFill="text2"/>
            <w:vAlign w:val="center"/>
          </w:tcPr>
          <w:p w:rsidR="00895F5C" w:rsidRPr="006C4D6A" w:rsidRDefault="00895F5C" w:rsidP="005B524E">
            <w:pPr>
              <w:suppressAutoHyphens w:val="0"/>
              <w:ind w:firstLine="0"/>
              <w:jc w:val="center"/>
              <w:rPr>
                <w:b/>
                <w:color w:val="FFFFFF" w:themeColor="background1"/>
                <w:sz w:val="22"/>
                <w:szCs w:val="20"/>
              </w:rPr>
            </w:pPr>
            <w:r w:rsidRPr="006C4D6A">
              <w:rPr>
                <w:b/>
                <w:color w:val="FFFFFF" w:themeColor="background1"/>
                <w:sz w:val="22"/>
                <w:szCs w:val="20"/>
              </w:rPr>
              <w:t>Aprašymas</w:t>
            </w:r>
          </w:p>
        </w:tc>
      </w:tr>
      <w:tr w:rsidR="00895F5C" w:rsidRPr="001D1438">
        <w:trPr>
          <w:jc w:val="center"/>
        </w:trPr>
        <w:tc>
          <w:tcPr>
            <w:tcW w:w="0" w:type="auto"/>
          </w:tcPr>
          <w:p w:rsidR="00895F5C" w:rsidRPr="002257B5" w:rsidRDefault="00895F5C" w:rsidP="005B524E">
            <w:pPr>
              <w:suppressAutoHyphens w:val="0"/>
              <w:ind w:firstLine="0"/>
            </w:pPr>
            <w:r w:rsidRPr="002257B5">
              <w:rPr>
                <w:b/>
              </w:rPr>
              <w:t>Bendroji įmonė</w:t>
            </w:r>
            <w:r w:rsidRPr="002257B5">
              <w:t xml:space="preserve"> (</w:t>
            </w:r>
            <w:r w:rsidRPr="002257B5">
              <w:rPr>
                <w:i/>
              </w:rPr>
              <w:t xml:space="preserve">angl. </w:t>
            </w:r>
            <w:r w:rsidRPr="00A71759">
              <w:rPr>
                <w:i/>
                <w:lang w:val="en-US"/>
              </w:rPr>
              <w:t>Joint ventures</w:t>
            </w:r>
            <w:r w:rsidRPr="002257B5">
              <w:t>)</w:t>
            </w:r>
          </w:p>
        </w:tc>
        <w:tc>
          <w:tcPr>
            <w:tcW w:w="0" w:type="auto"/>
          </w:tcPr>
          <w:p w:rsidR="00895F5C" w:rsidRPr="002257B5" w:rsidRDefault="00895F5C" w:rsidP="005B524E">
            <w:pPr>
              <w:suppressAutoHyphens w:val="0"/>
              <w:ind w:firstLine="0"/>
            </w:pPr>
            <w:r w:rsidRPr="002257B5">
              <w:t>Viešasis ir privatus sektorius įsteigia bendrąją įmonę</w:t>
            </w:r>
            <w:r w:rsidR="004776E1" w:rsidRPr="002257B5">
              <w:t xml:space="preserve"> </w:t>
            </w:r>
            <w:r w:rsidRPr="002257B5">
              <w:t>siekiant naudos abiem</w:t>
            </w:r>
            <w:r w:rsidR="004776E1" w:rsidRPr="002257B5">
              <w:t>s</w:t>
            </w:r>
            <w:r w:rsidRPr="002257B5">
              <w:t xml:space="preserve"> projekte dalyvaujančioms šalims.</w:t>
            </w:r>
          </w:p>
        </w:tc>
      </w:tr>
      <w:tr w:rsidR="00895F5C" w:rsidRPr="001D1438">
        <w:trPr>
          <w:jc w:val="center"/>
        </w:trPr>
        <w:tc>
          <w:tcPr>
            <w:tcW w:w="0" w:type="auto"/>
          </w:tcPr>
          <w:p w:rsidR="00895F5C" w:rsidRPr="002257B5" w:rsidRDefault="00895F5C" w:rsidP="005B524E">
            <w:pPr>
              <w:suppressAutoHyphens w:val="0"/>
              <w:ind w:firstLine="0"/>
            </w:pPr>
            <w:r w:rsidRPr="002257B5">
              <w:rPr>
                <w:b/>
              </w:rPr>
              <w:t>Fran</w:t>
            </w:r>
            <w:r w:rsidR="004776E1" w:rsidRPr="002257B5">
              <w:rPr>
                <w:b/>
              </w:rPr>
              <w:t>č</w:t>
            </w:r>
            <w:r w:rsidRPr="002257B5">
              <w:rPr>
                <w:b/>
              </w:rPr>
              <w:t>izė</w:t>
            </w:r>
            <w:r w:rsidRPr="002257B5">
              <w:t xml:space="preserve"> (</w:t>
            </w:r>
            <w:proofErr w:type="spellStart"/>
            <w:r w:rsidRPr="002257B5">
              <w:rPr>
                <w:i/>
              </w:rPr>
              <w:t>angl</w:t>
            </w:r>
            <w:proofErr w:type="spellEnd"/>
            <w:r w:rsidRPr="00A71759">
              <w:rPr>
                <w:i/>
                <w:lang w:val="en-US"/>
              </w:rPr>
              <w:t>. Franchises</w:t>
            </w:r>
            <w:r w:rsidRPr="002257B5">
              <w:t>)</w:t>
            </w:r>
          </w:p>
        </w:tc>
        <w:tc>
          <w:tcPr>
            <w:tcW w:w="0" w:type="auto"/>
          </w:tcPr>
          <w:p w:rsidR="00895F5C" w:rsidRPr="002257B5" w:rsidRDefault="00895F5C" w:rsidP="005B524E">
            <w:pPr>
              <w:suppressAutoHyphens w:val="0"/>
              <w:ind w:firstLine="0"/>
            </w:pPr>
            <w:r w:rsidRPr="002257B5">
              <w:t>Privačiam sektoriui leidžiama teikti viešąsias paslaugas ir nustat</w:t>
            </w:r>
            <w:r w:rsidRPr="002257B5">
              <w:t>y</w:t>
            </w:r>
            <w:r w:rsidRPr="002257B5">
              <w:t>ti jų kainą.</w:t>
            </w:r>
          </w:p>
        </w:tc>
      </w:tr>
      <w:tr w:rsidR="00895F5C" w:rsidRPr="001D1438">
        <w:trPr>
          <w:jc w:val="center"/>
        </w:trPr>
        <w:tc>
          <w:tcPr>
            <w:tcW w:w="0" w:type="auto"/>
          </w:tcPr>
          <w:p w:rsidR="00895F5C" w:rsidRPr="002257B5" w:rsidRDefault="00895F5C" w:rsidP="005B524E">
            <w:pPr>
              <w:suppressAutoHyphens w:val="0"/>
              <w:ind w:firstLine="0"/>
            </w:pPr>
            <w:r w:rsidRPr="002257B5">
              <w:rPr>
                <w:b/>
              </w:rPr>
              <w:t>Koncesija</w:t>
            </w:r>
            <w:r w:rsidRPr="002257B5">
              <w:t xml:space="preserve"> (</w:t>
            </w:r>
            <w:r w:rsidRPr="002257B5">
              <w:rPr>
                <w:i/>
              </w:rPr>
              <w:t xml:space="preserve">angl. </w:t>
            </w:r>
            <w:r w:rsidRPr="00A71759">
              <w:rPr>
                <w:i/>
                <w:lang w:val="en-US"/>
              </w:rPr>
              <w:t>Concessions</w:t>
            </w:r>
            <w:r w:rsidRPr="002257B5">
              <w:t>)</w:t>
            </w:r>
          </w:p>
        </w:tc>
        <w:tc>
          <w:tcPr>
            <w:tcW w:w="0" w:type="auto"/>
          </w:tcPr>
          <w:p w:rsidR="00895F5C" w:rsidRPr="002257B5" w:rsidRDefault="00895F5C" w:rsidP="005B524E">
            <w:pPr>
              <w:suppressAutoHyphens w:val="0"/>
              <w:ind w:firstLine="0"/>
            </w:pPr>
            <w:r w:rsidRPr="002257B5">
              <w:t>Panašu į frančizės sutartis, tačiau privatus sektorius paprastai suteikia lėšas, būtinas infrastruktūros plėtrai.</w:t>
            </w:r>
          </w:p>
        </w:tc>
      </w:tr>
      <w:tr w:rsidR="00895F5C" w:rsidRPr="001D1438">
        <w:trPr>
          <w:jc w:val="center"/>
        </w:trPr>
        <w:tc>
          <w:tcPr>
            <w:tcW w:w="0" w:type="auto"/>
          </w:tcPr>
          <w:p w:rsidR="00895F5C" w:rsidRPr="002257B5" w:rsidRDefault="00895F5C" w:rsidP="005B524E">
            <w:pPr>
              <w:suppressAutoHyphens w:val="0"/>
              <w:ind w:firstLine="0"/>
            </w:pPr>
            <w:r w:rsidRPr="002257B5">
              <w:rPr>
                <w:b/>
              </w:rPr>
              <w:t>Privatizavimas</w:t>
            </w:r>
            <w:r w:rsidRPr="002257B5">
              <w:t xml:space="preserve"> (</w:t>
            </w:r>
            <w:r w:rsidRPr="002257B5">
              <w:rPr>
                <w:i/>
              </w:rPr>
              <w:t xml:space="preserve">angl. </w:t>
            </w:r>
            <w:r w:rsidR="00A71759" w:rsidRPr="00A71759">
              <w:rPr>
                <w:i/>
                <w:lang w:val="en-US"/>
              </w:rPr>
              <w:t>Privatiz</w:t>
            </w:r>
            <w:r w:rsidR="00A71759" w:rsidRPr="00A71759">
              <w:rPr>
                <w:i/>
                <w:lang w:val="en-US"/>
              </w:rPr>
              <w:t>a</w:t>
            </w:r>
            <w:r w:rsidR="00A71759" w:rsidRPr="00A71759">
              <w:rPr>
                <w:i/>
                <w:lang w:val="en-US"/>
              </w:rPr>
              <w:lastRenderedPageBreak/>
              <w:t>tion</w:t>
            </w:r>
            <w:r w:rsidRPr="002257B5">
              <w:t>)</w:t>
            </w:r>
          </w:p>
        </w:tc>
        <w:tc>
          <w:tcPr>
            <w:tcW w:w="0" w:type="auto"/>
          </w:tcPr>
          <w:p w:rsidR="00895F5C" w:rsidRPr="002257B5" w:rsidRDefault="00895F5C" w:rsidP="005B524E">
            <w:pPr>
              <w:suppressAutoHyphens w:val="0"/>
              <w:ind w:firstLine="0"/>
            </w:pPr>
            <w:r w:rsidRPr="002257B5">
              <w:lastRenderedPageBreak/>
              <w:t>Viešasis sektorius parduoda įmones privatiems investuotojams.</w:t>
            </w:r>
          </w:p>
        </w:tc>
      </w:tr>
      <w:tr w:rsidR="00895F5C" w:rsidRPr="001D1438">
        <w:trPr>
          <w:jc w:val="center"/>
        </w:trPr>
        <w:tc>
          <w:tcPr>
            <w:tcW w:w="0" w:type="auto"/>
          </w:tcPr>
          <w:p w:rsidR="00895F5C" w:rsidRPr="002257B5" w:rsidRDefault="00895F5C" w:rsidP="005B524E">
            <w:pPr>
              <w:suppressAutoHyphens w:val="0"/>
              <w:ind w:firstLine="0"/>
            </w:pPr>
            <w:r w:rsidRPr="002257B5">
              <w:rPr>
                <w:b/>
              </w:rPr>
              <w:lastRenderedPageBreak/>
              <w:t>Privačiai finansuojamas invest</w:t>
            </w:r>
            <w:r w:rsidRPr="002257B5">
              <w:rPr>
                <w:b/>
              </w:rPr>
              <w:t>i</w:t>
            </w:r>
            <w:r w:rsidRPr="002257B5">
              <w:rPr>
                <w:b/>
              </w:rPr>
              <w:t>cinis projektas</w:t>
            </w:r>
            <w:r w:rsidRPr="002257B5">
              <w:t xml:space="preserve"> (</w:t>
            </w:r>
            <w:r w:rsidRPr="002257B5">
              <w:rPr>
                <w:i/>
              </w:rPr>
              <w:t xml:space="preserve">angl. </w:t>
            </w:r>
            <w:r w:rsidRPr="00A71759">
              <w:rPr>
                <w:i/>
                <w:lang w:val="en-US"/>
              </w:rPr>
              <w:t>Privately financed investment projects</w:t>
            </w:r>
            <w:r w:rsidRPr="002257B5">
              <w:t>)</w:t>
            </w:r>
          </w:p>
        </w:tc>
        <w:tc>
          <w:tcPr>
            <w:tcW w:w="0" w:type="auto"/>
          </w:tcPr>
          <w:p w:rsidR="00895F5C" w:rsidRPr="002257B5" w:rsidRDefault="00895F5C" w:rsidP="005B524E">
            <w:pPr>
              <w:suppressAutoHyphens w:val="0"/>
              <w:ind w:firstLine="0"/>
            </w:pPr>
            <w:r w:rsidRPr="002257B5">
              <w:t>Privati kompanija gauna lėšų kurti, konstruoti (atnaujinti), eks</w:t>
            </w:r>
            <w:r w:rsidRPr="002257B5">
              <w:t>p</w:t>
            </w:r>
            <w:r w:rsidRPr="002257B5">
              <w:t>loatuoti (prižiūrėti) viešą turtą, pvz., ligonines ar mokyklas. Kai turtas eksploatuojamas, tam tikrą laikotarpį (paprastai 20–35 metus) viešasis sektorius moka kompanijai reguliarų mokestį. Laikotarpio pabaigoje turtas grįžta valstybės nuosavybėn.</w:t>
            </w:r>
          </w:p>
        </w:tc>
      </w:tr>
      <w:tr w:rsidR="00895F5C" w:rsidRPr="001D1438">
        <w:trPr>
          <w:jc w:val="center"/>
        </w:trPr>
        <w:tc>
          <w:tcPr>
            <w:tcW w:w="0" w:type="auto"/>
          </w:tcPr>
          <w:p w:rsidR="00895F5C" w:rsidRPr="002257B5" w:rsidRDefault="00895F5C" w:rsidP="005B524E">
            <w:pPr>
              <w:suppressAutoHyphens w:val="0"/>
              <w:ind w:firstLine="0"/>
            </w:pPr>
            <w:r w:rsidRPr="002257B5">
              <w:rPr>
                <w:b/>
              </w:rPr>
              <w:t>Prekybos rinkos tyrimas</w:t>
            </w:r>
            <w:r w:rsidRPr="002257B5">
              <w:t xml:space="preserve"> (</w:t>
            </w:r>
            <w:r w:rsidRPr="002257B5">
              <w:rPr>
                <w:i/>
              </w:rPr>
              <w:t xml:space="preserve">angl. </w:t>
            </w:r>
            <w:r w:rsidRPr="00A71759">
              <w:rPr>
                <w:i/>
                <w:lang w:val="en-US"/>
              </w:rPr>
              <w:t>Market testing</w:t>
            </w:r>
            <w:r w:rsidRPr="002257B5">
              <w:t>)</w:t>
            </w:r>
          </w:p>
        </w:tc>
        <w:tc>
          <w:tcPr>
            <w:tcW w:w="0" w:type="auto"/>
          </w:tcPr>
          <w:p w:rsidR="00895F5C" w:rsidRPr="002257B5" w:rsidRDefault="00895F5C" w:rsidP="005B524E">
            <w:pPr>
              <w:suppressAutoHyphens w:val="0"/>
              <w:ind w:firstLine="0"/>
            </w:pPr>
            <w:r w:rsidRPr="002257B5">
              <w:t>Tai procesas, kurio metu privatus subjektas tikrina, kaip rinka reaguoja į tam tikrą prekę ar paslaugą, kurią gaminti (teikti) turi viešasis sektorius. Tai svarbu sprendžiant, ar tikslinga įvesti produktą į rinką ir vertinant jo paklausą.</w:t>
            </w:r>
          </w:p>
        </w:tc>
      </w:tr>
      <w:tr w:rsidR="00895F5C" w:rsidRPr="001D1438">
        <w:trPr>
          <w:jc w:val="center"/>
        </w:trPr>
        <w:tc>
          <w:tcPr>
            <w:tcW w:w="0" w:type="auto"/>
          </w:tcPr>
          <w:p w:rsidR="00895F5C" w:rsidRPr="002257B5" w:rsidRDefault="00895F5C" w:rsidP="005B524E">
            <w:pPr>
              <w:suppressAutoHyphens w:val="0"/>
              <w:ind w:firstLine="0"/>
            </w:pPr>
            <w:r w:rsidRPr="002257B5">
              <w:rPr>
                <w:b/>
              </w:rPr>
              <w:t>Privataus sektoriaus metodų panaudojimas viešuosiuose subjektuose</w:t>
            </w:r>
            <w:r w:rsidRPr="002257B5">
              <w:t xml:space="preserve"> (</w:t>
            </w:r>
            <w:r w:rsidRPr="002257B5">
              <w:rPr>
                <w:i/>
              </w:rPr>
              <w:t xml:space="preserve">angl. </w:t>
            </w:r>
            <w:r w:rsidRPr="00A71759">
              <w:rPr>
                <w:i/>
                <w:lang w:val="en-US"/>
              </w:rPr>
              <w:t>Use of private sector methods in public bodies</w:t>
            </w:r>
            <w:r w:rsidRPr="002257B5">
              <w:t>)</w:t>
            </w:r>
          </w:p>
        </w:tc>
        <w:tc>
          <w:tcPr>
            <w:tcW w:w="0" w:type="auto"/>
          </w:tcPr>
          <w:p w:rsidR="00895F5C" w:rsidRPr="002257B5" w:rsidRDefault="00895F5C" w:rsidP="005B524E">
            <w:pPr>
              <w:suppressAutoHyphens w:val="0"/>
              <w:ind w:firstLine="0"/>
            </w:pPr>
            <w:r w:rsidRPr="002257B5">
              <w:t>Pvz., personalo motyvacijos schemos ir išteklių valdymo ir naudojimo racionalizavimas.</w:t>
            </w:r>
          </w:p>
        </w:tc>
      </w:tr>
      <w:tr w:rsidR="00895F5C" w:rsidRPr="001D1438">
        <w:trPr>
          <w:jc w:val="center"/>
        </w:trPr>
        <w:tc>
          <w:tcPr>
            <w:tcW w:w="0" w:type="auto"/>
          </w:tcPr>
          <w:p w:rsidR="00895F5C" w:rsidRPr="002257B5" w:rsidRDefault="00895F5C" w:rsidP="005B524E">
            <w:pPr>
              <w:suppressAutoHyphens w:val="0"/>
              <w:ind w:firstLine="0"/>
            </w:pPr>
            <w:r w:rsidRPr="002257B5">
              <w:rPr>
                <w:b/>
              </w:rPr>
              <w:t>Akcijų dalies išlaikymas priv</w:t>
            </w:r>
            <w:r w:rsidRPr="002257B5">
              <w:rPr>
                <w:b/>
              </w:rPr>
              <w:t>a</w:t>
            </w:r>
            <w:r w:rsidRPr="002257B5">
              <w:rPr>
                <w:b/>
              </w:rPr>
              <w:t>tizuotose kompanijose</w:t>
            </w:r>
            <w:r w:rsidRPr="002257B5">
              <w:t xml:space="preserve"> (</w:t>
            </w:r>
            <w:r w:rsidRPr="002257B5">
              <w:rPr>
                <w:i/>
              </w:rPr>
              <w:t xml:space="preserve">angl. </w:t>
            </w:r>
            <w:r w:rsidRPr="00A71759">
              <w:rPr>
                <w:i/>
                <w:lang w:val="en-US"/>
              </w:rPr>
              <w:t xml:space="preserve">Retaining minority shares </w:t>
            </w:r>
            <w:proofErr w:type="spellStart"/>
            <w:r w:rsidRPr="00A71759">
              <w:rPr>
                <w:i/>
                <w:lang w:val="en-US"/>
              </w:rPr>
              <w:t>inpriv</w:t>
            </w:r>
            <w:r w:rsidRPr="00A71759">
              <w:rPr>
                <w:i/>
                <w:lang w:val="en-US"/>
              </w:rPr>
              <w:t>a</w:t>
            </w:r>
            <w:r w:rsidRPr="00A71759">
              <w:rPr>
                <w:i/>
                <w:lang w:val="en-US"/>
              </w:rPr>
              <w:t>tised</w:t>
            </w:r>
            <w:proofErr w:type="spellEnd"/>
            <w:r w:rsidRPr="00A71759">
              <w:rPr>
                <w:i/>
                <w:lang w:val="en-US"/>
              </w:rPr>
              <w:t xml:space="preserve"> companies</w:t>
            </w:r>
            <w:r w:rsidRPr="002257B5">
              <w:t>)</w:t>
            </w:r>
          </w:p>
        </w:tc>
        <w:tc>
          <w:tcPr>
            <w:tcW w:w="0" w:type="auto"/>
          </w:tcPr>
          <w:p w:rsidR="00895F5C" w:rsidRPr="002257B5" w:rsidRDefault="00895F5C" w:rsidP="005B524E">
            <w:pPr>
              <w:suppressAutoHyphens w:val="0"/>
              <w:ind w:firstLine="0"/>
            </w:pPr>
            <w:r w:rsidRPr="002257B5">
              <w:t>Valstybė išsaugo sutartą akcijų procentą, siekdama išlaikyti dalies paslaugų teikimo visuomenei kontrolę.</w:t>
            </w:r>
          </w:p>
        </w:tc>
      </w:tr>
    </w:tbl>
    <w:p w:rsidR="00895F5C" w:rsidRPr="001D1438" w:rsidRDefault="00895F5C" w:rsidP="005B524E">
      <w:pPr>
        <w:suppressAutoHyphens w:val="0"/>
        <w:spacing w:before="120" w:after="100" w:afterAutospacing="1"/>
        <w:ind w:firstLine="0"/>
        <w:rPr>
          <w:b/>
          <w:kern w:val="0"/>
          <w:sz w:val="20"/>
          <w:szCs w:val="20"/>
          <w:lang w:eastAsia="lt-LT"/>
        </w:rPr>
      </w:pPr>
      <w:r w:rsidRPr="001D1438">
        <w:rPr>
          <w:b/>
          <w:sz w:val="20"/>
          <w:szCs w:val="20"/>
        </w:rPr>
        <w:t xml:space="preserve">Šaltinis: </w:t>
      </w:r>
      <w:r w:rsidRPr="001D1438">
        <w:rPr>
          <w:b/>
          <w:kern w:val="0"/>
          <w:sz w:val="20"/>
          <w:szCs w:val="20"/>
          <w:lang w:eastAsia="lt-LT"/>
        </w:rPr>
        <w:t xml:space="preserve">INTOSAI </w:t>
      </w:r>
      <w:r w:rsidRPr="000E20F0">
        <w:rPr>
          <w:b/>
          <w:kern w:val="0"/>
          <w:sz w:val="20"/>
          <w:szCs w:val="20"/>
          <w:lang w:val="en-US" w:eastAsia="lt-LT"/>
        </w:rPr>
        <w:t xml:space="preserve">Working Group on the Audit of </w:t>
      </w:r>
      <w:r w:rsidR="00A71759" w:rsidRPr="000E20F0">
        <w:rPr>
          <w:b/>
          <w:kern w:val="0"/>
          <w:sz w:val="20"/>
          <w:szCs w:val="20"/>
          <w:lang w:val="en-US" w:eastAsia="lt-LT"/>
        </w:rPr>
        <w:t>Privati</w:t>
      </w:r>
      <w:r w:rsidR="00A71759">
        <w:rPr>
          <w:b/>
          <w:kern w:val="0"/>
          <w:sz w:val="20"/>
          <w:szCs w:val="20"/>
          <w:lang w:val="en-US" w:eastAsia="lt-LT"/>
        </w:rPr>
        <w:t>z</w:t>
      </w:r>
      <w:r w:rsidR="00A71759" w:rsidRPr="000E20F0">
        <w:rPr>
          <w:b/>
          <w:kern w:val="0"/>
          <w:sz w:val="20"/>
          <w:szCs w:val="20"/>
          <w:lang w:val="en-US" w:eastAsia="lt-LT"/>
        </w:rPr>
        <w:t>ation</w:t>
      </w:r>
      <w:r w:rsidRPr="001D1438">
        <w:rPr>
          <w:b/>
          <w:kern w:val="0"/>
          <w:sz w:val="20"/>
          <w:szCs w:val="20"/>
          <w:lang w:eastAsia="lt-LT"/>
        </w:rPr>
        <w:t>, 2007</w:t>
      </w:r>
    </w:p>
    <w:p w:rsidR="00A71759" w:rsidRPr="00A71759" w:rsidRDefault="00A71759" w:rsidP="005B524E">
      <w:pPr>
        <w:suppressAutoHyphens w:val="0"/>
        <w:rPr>
          <w:kern w:val="0"/>
          <w:lang w:eastAsia="lt-LT"/>
        </w:rPr>
      </w:pPr>
      <w:r w:rsidRPr="001D1438">
        <w:rPr>
          <w:kern w:val="0"/>
          <w:lang w:eastAsia="lt-LT"/>
        </w:rPr>
        <w:t>Kaip ma</w:t>
      </w:r>
      <w:r>
        <w:rPr>
          <w:kern w:val="0"/>
          <w:lang w:eastAsia="lt-LT"/>
        </w:rPr>
        <w:t xml:space="preserve">tyti iš aukščiau pateiktos lentelės, </w:t>
      </w:r>
      <w:r w:rsidRPr="001D1438">
        <w:rPr>
          <w:kern w:val="0"/>
          <w:lang w:eastAsia="lt-LT"/>
        </w:rPr>
        <w:t>tarptautinės organizacijos išskiria skirtingas VPSP r</w:t>
      </w:r>
      <w:r w:rsidRPr="001D1438">
        <w:rPr>
          <w:kern w:val="0"/>
          <w:lang w:eastAsia="lt-LT"/>
        </w:rPr>
        <w:t>ū</w:t>
      </w:r>
      <w:r w:rsidRPr="001D1438">
        <w:rPr>
          <w:kern w:val="0"/>
          <w:lang w:eastAsia="lt-LT"/>
        </w:rPr>
        <w:t>šis</w:t>
      </w:r>
      <w:r>
        <w:rPr>
          <w:kern w:val="0"/>
          <w:lang w:eastAsia="lt-LT"/>
        </w:rPr>
        <w:t>.</w:t>
      </w:r>
      <w:r w:rsidRPr="001D1438">
        <w:rPr>
          <w:kern w:val="0"/>
          <w:lang w:eastAsia="lt-LT"/>
        </w:rPr>
        <w:t xml:space="preserve"> Atsižvelgiant į tai, kad Europos Komisija valstybėse narėse taikomas VPSP formas suskirstė į dvi stambias grupes (žr. </w:t>
      </w:r>
      <w:r w:rsidRPr="001D1438">
        <w:rPr>
          <w:b/>
          <w:kern w:val="0"/>
          <w:lang w:eastAsia="lt-LT"/>
        </w:rPr>
        <w:t xml:space="preserve">Schema </w:t>
      </w:r>
      <w:r w:rsidRPr="0008582B">
        <w:rPr>
          <w:b/>
          <w:kern w:val="0"/>
          <w:lang w:eastAsia="lt-LT"/>
        </w:rPr>
        <w:t>2</w:t>
      </w:r>
      <w:r w:rsidRPr="001D1438">
        <w:rPr>
          <w:kern w:val="0"/>
          <w:lang w:eastAsia="lt-LT"/>
        </w:rPr>
        <w:t>), tačiau pripažino, kad ES narių praktiką unifikuoti yra netikslinga dėl pernelyg didelės VPSP rūšių įvairovės.</w:t>
      </w:r>
    </w:p>
    <w:p w:rsidR="00A03611" w:rsidRDefault="00A03611" w:rsidP="005B524E">
      <w:pPr>
        <w:suppressAutoHyphens w:val="0"/>
      </w:pPr>
      <w:r>
        <w:t>Galimi du VPSP variantai (</w:t>
      </w:r>
      <w:r w:rsidRPr="00277CAE">
        <w:t>Paunksnis</w:t>
      </w:r>
      <w:r>
        <w:t>, 2004, LR Valstybės auditas, 2008):</w:t>
      </w:r>
    </w:p>
    <w:p w:rsidR="00A03611" w:rsidRPr="00132597" w:rsidRDefault="00A03611" w:rsidP="005B524E">
      <w:pPr>
        <w:pStyle w:val="ListParagraph"/>
        <w:numPr>
          <w:ilvl w:val="0"/>
          <w:numId w:val="33"/>
        </w:numPr>
        <w:suppressAutoHyphens w:val="0"/>
      </w:pPr>
      <w:r w:rsidRPr="00132597">
        <w:rPr>
          <w:b/>
        </w:rPr>
        <w:t>Sutartiniai VPSP</w:t>
      </w:r>
      <w:r>
        <w:rPr>
          <w:b/>
        </w:rPr>
        <w:t xml:space="preserve"> projektai</w:t>
      </w:r>
      <w:r w:rsidRPr="00132597">
        <w:t xml:space="preserve"> (VPSP vykdoma sutarčių pagrindu) veikia sutarčių tarp d</w:t>
      </w:r>
      <w:r w:rsidRPr="00132597">
        <w:t>a</w:t>
      </w:r>
      <w:r w:rsidRPr="00132597">
        <w:t>lyvaujančių partnerių pagrindu, t.y. bendradarbiavimas tarp viešojo ir privataus sektoriaus vykdomas sutarčių pagrindu sudarant viešąją sutartį (</w:t>
      </w:r>
      <w:r w:rsidRPr="00A857AD">
        <w:rPr>
          <w:i/>
        </w:rPr>
        <w:t xml:space="preserve">angl. </w:t>
      </w:r>
      <w:r w:rsidRPr="00FE6E66">
        <w:rPr>
          <w:i/>
          <w:lang w:val="en-US"/>
        </w:rPr>
        <w:t>public contract</w:t>
      </w:r>
      <w:r w:rsidRPr="00132597">
        <w:t>) arba konces</w:t>
      </w:r>
      <w:r w:rsidRPr="00132597">
        <w:t>i</w:t>
      </w:r>
      <w:r w:rsidRPr="00132597">
        <w:t>ją (</w:t>
      </w:r>
      <w:r w:rsidRPr="00A857AD">
        <w:rPr>
          <w:i/>
        </w:rPr>
        <w:t xml:space="preserve">angl. </w:t>
      </w:r>
      <w:r w:rsidRPr="00FE6E66">
        <w:rPr>
          <w:i/>
          <w:lang w:val="en-US"/>
        </w:rPr>
        <w:t>concession</w:t>
      </w:r>
      <w:r w:rsidRPr="00132597">
        <w:t>).</w:t>
      </w:r>
    </w:p>
    <w:p w:rsidR="00CB4360" w:rsidRDefault="00A03611" w:rsidP="005B524E">
      <w:pPr>
        <w:pStyle w:val="ListParagraph"/>
        <w:numPr>
          <w:ilvl w:val="0"/>
          <w:numId w:val="33"/>
        </w:numPr>
        <w:suppressAutoHyphens w:val="0"/>
        <w:spacing w:after="840"/>
      </w:pPr>
      <w:r w:rsidRPr="00132597">
        <w:rPr>
          <w:b/>
        </w:rPr>
        <w:t>Instituciniai VPSP</w:t>
      </w:r>
      <w:r w:rsidRPr="00132597">
        <w:t xml:space="preserve"> </w:t>
      </w:r>
      <w:r w:rsidRPr="008C4870">
        <w:rPr>
          <w:b/>
        </w:rPr>
        <w:t>projektai</w:t>
      </w:r>
      <w:r>
        <w:t xml:space="preserve"> </w:t>
      </w:r>
      <w:r w:rsidRPr="00132597">
        <w:t>(Oficialiai patvirtinta VPSP) veikia kaip atskira įmonė, su atitinkamai padalintu tarp partnerių akciniu kapitalu, t.y. viešojo ir privataus sektoriaus bendradarbiavimas vyksta savarankiško teisinio subjekto forma.</w:t>
      </w:r>
    </w:p>
    <w:p w:rsidR="00CB4360" w:rsidRPr="00A342F2" w:rsidRDefault="00CB4360" w:rsidP="005B524E">
      <w:pPr>
        <w:pStyle w:val="Caption"/>
        <w:suppressAutoHyphens w:val="0"/>
        <w:ind w:left="927" w:firstLine="0"/>
      </w:pPr>
      <w:bookmarkStart w:id="15" w:name="_Toc119509984"/>
      <w:bookmarkStart w:id="16" w:name="_Toc248866382"/>
      <w:r w:rsidRPr="001D1438">
        <w:lastRenderedPageBreak/>
        <w:t xml:space="preserve">Schema </w:t>
      </w:r>
      <w:fldSimple w:instr=" SEQ Schema \* ARABIC ">
        <w:r w:rsidR="00E32C21">
          <w:rPr>
            <w:noProof/>
          </w:rPr>
          <w:t>2</w:t>
        </w:r>
      </w:fldSimple>
      <w:r w:rsidRPr="001D1438">
        <w:t xml:space="preserve"> Viešojo ir privataus sektorių partnerystės formos (rūšys)</w:t>
      </w:r>
      <w:bookmarkEnd w:id="15"/>
      <w:bookmarkEnd w:id="16"/>
    </w:p>
    <w:p w:rsidR="00CB4360" w:rsidRPr="00CB4360" w:rsidRDefault="00CB4360" w:rsidP="005B524E">
      <w:pPr>
        <w:suppressAutoHyphens w:val="0"/>
        <w:ind w:firstLine="0"/>
        <w:rPr>
          <w:kern w:val="0"/>
          <w:lang w:eastAsia="lt-LT"/>
        </w:rPr>
      </w:pPr>
      <w:r w:rsidRPr="00361ADE">
        <w:rPr>
          <w:noProof/>
          <w:kern w:val="0"/>
          <w:lang w:val="en-US"/>
        </w:rPr>
        <w:drawing>
          <wp:inline distT="0" distB="0" distL="0" distR="0">
            <wp:extent cx="6129866" cy="2472267"/>
            <wp:effectExtent l="0" t="0" r="0" b="4233"/>
            <wp:docPr id="2" name="D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B4360" w:rsidRPr="00235541" w:rsidRDefault="00CB4360" w:rsidP="005B524E">
      <w:pPr>
        <w:suppressAutoHyphens w:val="0"/>
        <w:spacing w:before="120" w:after="100" w:afterAutospacing="1"/>
        <w:ind w:firstLine="0"/>
        <w:jc w:val="left"/>
        <w:rPr>
          <w:b/>
          <w:kern w:val="0"/>
          <w:sz w:val="20"/>
          <w:szCs w:val="20"/>
          <w:lang w:eastAsia="lt-LT"/>
        </w:rPr>
      </w:pPr>
      <w:r w:rsidRPr="00CB4360">
        <w:rPr>
          <w:b/>
          <w:sz w:val="20"/>
          <w:szCs w:val="20"/>
        </w:rPr>
        <w:t>Šaltinis: LR Valstybinis auditas, 2008</w:t>
      </w:r>
    </w:p>
    <w:p w:rsidR="003D0821" w:rsidRDefault="00CC67BC" w:rsidP="005B524E">
      <w:pPr>
        <w:pStyle w:val="Heading2"/>
        <w:suppressAutoHyphens w:val="0"/>
        <w:rPr>
          <w:rFonts w:ascii="Times New Roman" w:hAnsi="Times New Roman"/>
          <w:kern w:val="24"/>
        </w:rPr>
      </w:pPr>
      <w:bookmarkStart w:id="17" w:name="_Toc248687462"/>
      <w:bookmarkStart w:id="18" w:name="_Toc251011251"/>
      <w:r>
        <w:rPr>
          <w:kern w:val="24"/>
        </w:rPr>
        <w:t>V</w:t>
      </w:r>
      <w:r w:rsidR="00AF698D" w:rsidRPr="00AF698D">
        <w:rPr>
          <w:kern w:val="24"/>
        </w:rPr>
        <w:t xml:space="preserve">iešojo ir privataus sektorių partnerystės </w:t>
      </w:r>
      <w:r>
        <w:rPr>
          <w:kern w:val="24"/>
        </w:rPr>
        <w:t>sutartis</w:t>
      </w:r>
      <w:bookmarkEnd w:id="17"/>
      <w:bookmarkEnd w:id="18"/>
    </w:p>
    <w:p w:rsidR="00BF2601" w:rsidRPr="003D0821" w:rsidRDefault="003D0821" w:rsidP="005B524E">
      <w:pPr>
        <w:pStyle w:val="Heading3"/>
        <w:suppressAutoHyphens w:val="0"/>
      </w:pPr>
      <w:bookmarkStart w:id="19" w:name="_Toc248687463"/>
      <w:bookmarkStart w:id="20" w:name="_Toc251011252"/>
      <w:r>
        <w:t>Viešojo ir privataus sektorių partnerystės sutarčių samprata</w:t>
      </w:r>
      <w:bookmarkEnd w:id="19"/>
      <w:bookmarkEnd w:id="20"/>
    </w:p>
    <w:p w:rsidR="00162DFF" w:rsidRDefault="00B64E2B" w:rsidP="005B524E">
      <w:pPr>
        <w:suppressAutoHyphens w:val="0"/>
      </w:pPr>
      <w:r>
        <w:t>P</w:t>
      </w:r>
      <w:r w:rsidR="00162DFF" w:rsidRPr="001D1438">
        <w:t>adidinti bei plėsti lygios prieigos prie mokymo</w:t>
      </w:r>
      <w:r>
        <w:t>(si)</w:t>
      </w:r>
      <w:r w:rsidR="00162DFF" w:rsidRPr="001D1438">
        <w:t xml:space="preserve"> galimybę ir pagerinti švietimo rezultatus, ypač atstumtų grupių atžvilgiu</w:t>
      </w:r>
      <w:r w:rsidR="000E20F0">
        <w:t xml:space="preserve"> </w:t>
      </w:r>
      <w:r w:rsidR="00AA05BC">
        <w:t>–</w:t>
      </w:r>
      <w:r w:rsidR="000E20F0">
        <w:t xml:space="preserve"> </w:t>
      </w:r>
      <w:r>
        <w:t xml:space="preserve">tai </w:t>
      </w:r>
      <w:r w:rsidR="00162DFF" w:rsidRPr="001D1438">
        <w:t xml:space="preserve">pagrindinis tikslas, </w:t>
      </w:r>
      <w:r>
        <w:t xml:space="preserve">kurio siekiama </w:t>
      </w:r>
      <w:r w:rsidR="00162DFF" w:rsidRPr="001D1438">
        <w:t>kuriant VPSP</w:t>
      </w:r>
      <w:r>
        <w:t xml:space="preserve">, </w:t>
      </w:r>
      <w:r w:rsidR="00162DFF" w:rsidRPr="001D1438">
        <w:t>orientuotą į šv</w:t>
      </w:r>
      <w:r w:rsidR="00162DFF">
        <w:t>ietimą (Patrinos et al., 2008).</w:t>
      </w:r>
    </w:p>
    <w:p w:rsidR="002A7000" w:rsidRDefault="002A7000" w:rsidP="005B524E">
      <w:pPr>
        <w:suppressAutoHyphens w:val="0"/>
      </w:pPr>
      <w:r w:rsidRPr="001D1438">
        <w:t>Anot Pasaulinio banko ekspertų, įvairių tipų sutart</w:t>
      </w:r>
      <w:r w:rsidR="00B64E2B">
        <w:t>y</w:t>
      </w:r>
      <w:r w:rsidRPr="001D1438">
        <w:t>s gali padėti pasiekti ši</w:t>
      </w:r>
      <w:r w:rsidR="00B64E2B">
        <w:t>ų</w:t>
      </w:r>
      <w:r w:rsidRPr="001D1438">
        <w:t xml:space="preserve"> d</w:t>
      </w:r>
      <w:r w:rsidR="00B64E2B">
        <w:t>viejų</w:t>
      </w:r>
      <w:r w:rsidRPr="001D1438">
        <w:t xml:space="preserve"> tiksl</w:t>
      </w:r>
      <w:r w:rsidR="00B64E2B">
        <w:t>ų</w:t>
      </w:r>
      <w:r w:rsidRPr="001D1438">
        <w:t xml:space="preserve"> esant skirtingoms socialinėms, ekonominė</w:t>
      </w:r>
      <w:r>
        <w:t>ms bei politinėms aplinkybėms</w:t>
      </w:r>
      <w:r w:rsidR="00B64E2B">
        <w:t>, t</w:t>
      </w:r>
      <w:r w:rsidR="00162DFF">
        <w:t>odėl šiame darbe bus nagrinėj</w:t>
      </w:r>
      <w:r w:rsidR="00162DFF">
        <w:t>a</w:t>
      </w:r>
      <w:r w:rsidR="00162DFF">
        <w:t xml:space="preserve">ma tik </w:t>
      </w:r>
      <w:r w:rsidR="00162DFF" w:rsidRPr="00132597">
        <w:t>VPSP</w:t>
      </w:r>
      <w:r w:rsidR="00B64E2B">
        <w:t>,</w:t>
      </w:r>
      <w:r w:rsidR="00162DFF" w:rsidRPr="00132597">
        <w:t xml:space="preserve"> vykdoma sutarčių pagrindu</w:t>
      </w:r>
      <w:r w:rsidR="00162DFF">
        <w:t xml:space="preserve">. </w:t>
      </w:r>
    </w:p>
    <w:p w:rsidR="006E123C" w:rsidRDefault="00FC03E1" w:rsidP="005B524E">
      <w:pPr>
        <w:suppressAutoHyphens w:val="0"/>
        <w:ind w:firstLine="576"/>
      </w:pPr>
      <w:r w:rsidRPr="0047238B">
        <w:rPr>
          <w:i/>
        </w:rPr>
        <w:t>VPSP sutartis</w:t>
      </w:r>
      <w:r w:rsidR="00156921">
        <w:t xml:space="preserve"> </w:t>
      </w:r>
      <w:r w:rsidR="004F4132">
        <w:t xml:space="preserve">yra </w:t>
      </w:r>
      <w:r w:rsidR="00156921">
        <w:t>suprantama kaip nustatytą</w:t>
      </w:r>
      <w:r w:rsidRPr="001D1438">
        <w:t xml:space="preserve"> laik</w:t>
      </w:r>
      <w:r w:rsidR="00156921">
        <w:t>ą galiojant</w:t>
      </w:r>
      <w:r w:rsidR="00B64E2B">
        <w:t xml:space="preserve">i </w:t>
      </w:r>
      <w:r w:rsidRPr="001D1438">
        <w:t>sutartis tarp viešojo sektoriaus ir specialiųjų paslaugų t</w:t>
      </w:r>
      <w:r w:rsidR="00B64E2B">
        <w:t>ei</w:t>
      </w:r>
      <w:r w:rsidRPr="001D1438">
        <w:t>kėjo, kurios dalykas yra tam tikro kiekio ir kokybės mokymo arba kit</w:t>
      </w:r>
      <w:r w:rsidR="00B64E2B">
        <w:t>ų</w:t>
      </w:r>
      <w:r w:rsidRPr="001D1438">
        <w:t xml:space="preserve"> su švietimu susijusi</w:t>
      </w:r>
      <w:r w:rsidR="00B64E2B">
        <w:t>ų</w:t>
      </w:r>
      <w:r w:rsidRPr="001D1438">
        <w:t xml:space="preserve"> paslaugų ar prekių pirkimas, nuoma, lizingas (finansinė nuoma), pirkimas išsimok</w:t>
      </w:r>
      <w:r w:rsidRPr="001D1438">
        <w:t>ė</w:t>
      </w:r>
      <w:r w:rsidRPr="001D1438">
        <w:t xml:space="preserve">tinai, numatant jas įsigyti ar to nenumatant (Taylor, 2003; </w:t>
      </w:r>
      <w:proofErr w:type="spellStart"/>
      <w:r w:rsidRPr="001D1438">
        <w:t>Wang</w:t>
      </w:r>
      <w:proofErr w:type="spellEnd"/>
      <w:r w:rsidRPr="001D1438">
        <w:t xml:space="preserve">, 2000). </w:t>
      </w:r>
      <w:r w:rsidRPr="00FA64F3">
        <w:t>Šis apibrėžimas apima skirti</w:t>
      </w:r>
      <w:r w:rsidRPr="00FA64F3">
        <w:t>n</w:t>
      </w:r>
      <w:r w:rsidRPr="00FA64F3">
        <w:t xml:space="preserve">gus sutarčių tipus, kuriuos galima panaudoti perkant </w:t>
      </w:r>
      <w:r w:rsidR="00F15E75" w:rsidRPr="00FA64F3">
        <w:t>įvairaus</w:t>
      </w:r>
      <w:r w:rsidRPr="00FA64F3">
        <w:t xml:space="preserve"> tipo ir sudėtingumo paslaugas.</w:t>
      </w:r>
    </w:p>
    <w:p w:rsidR="00664391" w:rsidRDefault="006E123C" w:rsidP="005B524E">
      <w:pPr>
        <w:suppressAutoHyphens w:val="0"/>
      </w:pPr>
      <w:r>
        <w:t>VPSP projektas</w:t>
      </w:r>
      <w:r w:rsidR="00B64E2B">
        <w:t>,</w:t>
      </w:r>
      <w:r>
        <w:t xml:space="preserve"> paremtas VPSP sutartimi</w:t>
      </w:r>
      <w:r w:rsidR="00B64E2B">
        <w:t>,</w:t>
      </w:r>
      <w:r>
        <w:t xml:space="preserve"> yra vykdomas keliais etapais (</w:t>
      </w:r>
      <w:r w:rsidR="00A857AD" w:rsidRPr="00F005B1">
        <w:t>žr.</w:t>
      </w:r>
      <w:r w:rsidR="00A857AD" w:rsidRPr="00A857AD">
        <w:rPr>
          <w:b/>
        </w:rPr>
        <w:t xml:space="preserve"> </w:t>
      </w:r>
      <w:r w:rsidRPr="00A857AD">
        <w:rPr>
          <w:b/>
        </w:rPr>
        <w:t>Schema</w:t>
      </w:r>
      <w:r w:rsidR="00A857AD" w:rsidRPr="00A857AD">
        <w:rPr>
          <w:b/>
        </w:rPr>
        <w:t xml:space="preserve"> </w:t>
      </w:r>
      <w:r w:rsidR="0008582B" w:rsidRPr="00B442A5">
        <w:rPr>
          <w:b/>
          <w:lang w:val="en-US"/>
        </w:rPr>
        <w:t>3</w:t>
      </w:r>
      <w:r w:rsidR="00A857AD">
        <w:t>)</w:t>
      </w:r>
      <w:r w:rsidR="006A242A">
        <w:t>.</w:t>
      </w:r>
      <w:r w:rsidR="00B64E2B">
        <w:t xml:space="preserve"> </w:t>
      </w:r>
      <w:r w:rsidR="00E473B7">
        <w:t>Raud</w:t>
      </w:r>
      <w:r w:rsidR="00E473B7">
        <w:t>o</w:t>
      </w:r>
      <w:r w:rsidR="00E473B7">
        <w:t>na spalva pažymėtas f</w:t>
      </w:r>
      <w:r w:rsidR="00E473B7" w:rsidRPr="006A242A">
        <w:t>inansinis modelis, kuris atspindi projekto</w:t>
      </w:r>
      <w:r w:rsidR="00E473B7">
        <w:t xml:space="preserve"> </w:t>
      </w:r>
      <w:r w:rsidR="00E473B7" w:rsidRPr="006A242A">
        <w:t>tinkamumą, patrauklumą, įvertina rizikas ir</w:t>
      </w:r>
      <w:r w:rsidR="00E473B7">
        <w:t xml:space="preserve"> </w:t>
      </w:r>
      <w:r w:rsidR="00E473B7" w:rsidRPr="006A242A">
        <w:t>atsipirkimą</w:t>
      </w:r>
      <w:r w:rsidR="00A01E4E">
        <w:t>.</w:t>
      </w:r>
    </w:p>
    <w:p w:rsidR="003F362E" w:rsidRDefault="003F362E" w:rsidP="005B524E">
      <w:pPr>
        <w:pStyle w:val="Caption"/>
        <w:keepNext/>
        <w:suppressAutoHyphens w:val="0"/>
        <w:spacing w:after="0"/>
        <w:ind w:firstLine="562"/>
      </w:pPr>
      <w:bookmarkStart w:id="21" w:name="_Toc119509985"/>
      <w:bookmarkStart w:id="22" w:name="_Toc248866383"/>
      <w:r>
        <w:lastRenderedPageBreak/>
        <w:t xml:space="preserve">Schema </w:t>
      </w:r>
      <w:r w:rsidR="009A186D">
        <w:fldChar w:fldCharType="begin"/>
      </w:r>
      <w:r>
        <w:instrText xml:space="preserve"> SEQ Schema \* ARABIC </w:instrText>
      </w:r>
      <w:r w:rsidR="009A186D">
        <w:fldChar w:fldCharType="separate"/>
      </w:r>
      <w:r w:rsidR="00E32C21">
        <w:rPr>
          <w:noProof/>
        </w:rPr>
        <w:t>3</w:t>
      </w:r>
      <w:r w:rsidR="009A186D">
        <w:fldChar w:fldCharType="end"/>
      </w:r>
      <w:r>
        <w:t xml:space="preserve"> VPSP projekto įgyvendinimas</w:t>
      </w:r>
      <w:bookmarkEnd w:id="21"/>
      <w:bookmarkEnd w:id="22"/>
    </w:p>
    <w:p w:rsidR="006E123C" w:rsidRPr="00F15E75" w:rsidRDefault="009A186D" w:rsidP="005B524E">
      <w:pPr>
        <w:suppressAutoHyphens w:val="0"/>
        <w:ind w:firstLine="576"/>
      </w:pPr>
      <w:r>
        <w:rPr>
          <w:noProof/>
          <w:lang w:val="en-US"/>
        </w:rPr>
        <w:pict>
          <v:rect id="_x0000_s1029" style="position:absolute;left:0;text-align:left;margin-left:30.6pt;margin-top:9.55pt;width:322.7pt;height:41.3pt;z-index:-251658752;mso-wrap-edited:f" wrapcoords="-50 -392 -50 21207 21650 21207 21650 -392 -50 -392" filled="f" fillcolor="yellow" strokecolor="#c0504d [3205]" strokeweight="1.5pt">
            <v:fill o:detectmouseclick="t"/>
            <v:stroke dashstyle="1 1"/>
            <v:shadow opacity="22938f" offset="0"/>
            <v:textbox inset=",7.2pt,,7.2pt"/>
          </v:rect>
        </w:pict>
      </w:r>
      <w:r w:rsidR="006A242A">
        <w:rPr>
          <w:noProof/>
          <w:lang w:val="en-US"/>
        </w:rPr>
        <w:drawing>
          <wp:inline distT="0" distB="0" distL="0" distR="0">
            <wp:extent cx="5486400" cy="2743200"/>
            <wp:effectExtent l="0" t="0" r="19050" b="0"/>
            <wp:docPr id="9" name="D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107F5F" w:rsidRPr="00B64E2B" w:rsidRDefault="009D10DB" w:rsidP="005B524E">
      <w:pPr>
        <w:suppressAutoHyphens w:val="0"/>
        <w:ind w:firstLine="576"/>
        <w:rPr>
          <w:rFonts w:eastAsia="Times New Roman" w:cs="Arial"/>
          <w:b/>
          <w:bCs/>
          <w:kern w:val="0"/>
          <w:sz w:val="20"/>
          <w:szCs w:val="48"/>
        </w:rPr>
      </w:pPr>
      <w:r w:rsidRPr="00F15E75">
        <w:rPr>
          <w:rFonts w:eastAsia="Times New Roman" w:cs="Arial"/>
          <w:b/>
          <w:bCs/>
          <w:kern w:val="0"/>
          <w:sz w:val="20"/>
          <w:szCs w:val="48"/>
        </w:rPr>
        <w:t>Šaltinis</w:t>
      </w:r>
      <w:r w:rsidR="00BF0785" w:rsidRPr="00BF0785">
        <w:rPr>
          <w:rFonts w:eastAsia="Times New Roman" w:cs="Arial"/>
          <w:b/>
          <w:bCs/>
          <w:kern w:val="0"/>
          <w:sz w:val="20"/>
          <w:szCs w:val="48"/>
        </w:rPr>
        <w:t>:</w:t>
      </w:r>
      <w:r w:rsidRPr="00F15E75">
        <w:rPr>
          <w:rFonts w:eastAsia="Times New Roman" w:cs="Arial"/>
          <w:b/>
          <w:bCs/>
          <w:kern w:val="0"/>
          <w:sz w:val="20"/>
          <w:szCs w:val="48"/>
        </w:rPr>
        <w:t xml:space="preserve"> Dičpetris</w:t>
      </w:r>
      <w:r w:rsidR="00BF0785" w:rsidRPr="00BF0785">
        <w:rPr>
          <w:rFonts w:eastAsia="Times New Roman" w:cs="Arial"/>
          <w:b/>
          <w:bCs/>
          <w:kern w:val="0"/>
          <w:sz w:val="20"/>
          <w:szCs w:val="48"/>
        </w:rPr>
        <w:t>, 2004</w:t>
      </w:r>
    </w:p>
    <w:p w:rsidR="00A54067" w:rsidRPr="001D1438" w:rsidRDefault="00A54067" w:rsidP="005B524E">
      <w:pPr>
        <w:suppressAutoHyphens w:val="0"/>
        <w:rPr>
          <w:kern w:val="0"/>
          <w:lang w:eastAsia="lt-LT"/>
        </w:rPr>
      </w:pPr>
      <w:r w:rsidRPr="001D1438">
        <w:rPr>
          <w:kern w:val="0"/>
          <w:lang w:eastAsia="lt-LT"/>
        </w:rPr>
        <w:t xml:space="preserve">Europos Parlamentas atliko tyrimą, kuriame buvo išskirti pagrindiniai Europos Sąjungoje VPSP taikomi modeliai </w:t>
      </w:r>
      <w:r>
        <w:rPr>
          <w:kern w:val="0"/>
          <w:lang w:eastAsia="lt-LT"/>
        </w:rPr>
        <w:t>pagal sutarčių tipus</w:t>
      </w:r>
      <w:r w:rsidR="007B2DFE">
        <w:rPr>
          <w:kern w:val="0"/>
          <w:lang w:eastAsia="lt-LT"/>
        </w:rPr>
        <w:t xml:space="preserve"> (</w:t>
      </w:r>
      <w:r w:rsidR="007B2DFE" w:rsidRPr="001D1438">
        <w:rPr>
          <w:kern w:val="0"/>
          <w:lang w:eastAsia="lt-LT"/>
        </w:rPr>
        <w:t xml:space="preserve">žr. </w:t>
      </w:r>
      <w:r w:rsidR="007B2DFE" w:rsidRPr="001D1438">
        <w:rPr>
          <w:b/>
          <w:kern w:val="0"/>
          <w:lang w:eastAsia="lt-LT"/>
        </w:rPr>
        <w:t xml:space="preserve">Lentelė </w:t>
      </w:r>
      <w:r w:rsidR="007B2DFE">
        <w:rPr>
          <w:b/>
          <w:kern w:val="0"/>
          <w:lang w:eastAsia="lt-LT"/>
        </w:rPr>
        <w:t>2</w:t>
      </w:r>
      <w:r w:rsidR="007B2DFE" w:rsidRPr="001D1438">
        <w:rPr>
          <w:kern w:val="0"/>
          <w:lang w:eastAsia="lt-LT"/>
        </w:rPr>
        <w:t>)</w:t>
      </w:r>
      <w:r w:rsidRPr="001D1438">
        <w:rPr>
          <w:kern w:val="0"/>
          <w:lang w:eastAsia="lt-LT"/>
        </w:rPr>
        <w:t xml:space="preserve">. </w:t>
      </w:r>
    </w:p>
    <w:p w:rsidR="00A54067" w:rsidRPr="001D1438" w:rsidRDefault="00A54067" w:rsidP="00F3207B">
      <w:pPr>
        <w:pStyle w:val="Caption"/>
        <w:suppressAutoHyphens w:val="0"/>
        <w:spacing w:before="0"/>
        <w:ind w:firstLine="0"/>
        <w:rPr>
          <w:rFonts w:cs="Times New Roman"/>
        </w:rPr>
      </w:pPr>
      <w:bookmarkStart w:id="23" w:name="_Toc119509737"/>
      <w:bookmarkStart w:id="24" w:name="_Toc248866370"/>
      <w:r w:rsidRPr="001D1438">
        <w:rPr>
          <w:rFonts w:cs="Times New Roman"/>
        </w:rPr>
        <w:t xml:space="preserve">Lentelė </w:t>
      </w:r>
      <w:r w:rsidR="009A186D">
        <w:rPr>
          <w:rFonts w:cs="Times New Roman"/>
        </w:rPr>
        <w:fldChar w:fldCharType="begin"/>
      </w:r>
      <w:r>
        <w:rPr>
          <w:rFonts w:cs="Times New Roman"/>
        </w:rPr>
        <w:instrText xml:space="preserve"> SEQ Lentelė \* ARABIC </w:instrText>
      </w:r>
      <w:r w:rsidR="009A186D">
        <w:rPr>
          <w:rFonts w:cs="Times New Roman"/>
        </w:rPr>
        <w:fldChar w:fldCharType="separate"/>
      </w:r>
      <w:r w:rsidR="00E32C21">
        <w:rPr>
          <w:rFonts w:cs="Times New Roman"/>
          <w:noProof/>
        </w:rPr>
        <w:t>2</w:t>
      </w:r>
      <w:r w:rsidR="009A186D">
        <w:rPr>
          <w:rFonts w:cs="Times New Roman"/>
        </w:rPr>
        <w:fldChar w:fldCharType="end"/>
      </w:r>
      <w:r w:rsidRPr="001D1438">
        <w:rPr>
          <w:rFonts w:cs="Times New Roman"/>
        </w:rPr>
        <w:t xml:space="preserve"> Viešojo ir privataus sektorių partnerystės formos (Europos Parlamentas)</w:t>
      </w:r>
      <w:bookmarkEnd w:id="23"/>
      <w:bookmarkEnd w:id="24"/>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4695"/>
        <w:gridCol w:w="5441"/>
      </w:tblGrid>
      <w:tr w:rsidR="00A54067" w:rsidRPr="001D1438">
        <w:trPr>
          <w:trHeight w:val="204"/>
          <w:jc w:val="center"/>
        </w:trPr>
        <w:tc>
          <w:tcPr>
            <w:tcW w:w="0" w:type="auto"/>
            <w:shd w:val="clear" w:color="auto" w:fill="1F497D" w:themeFill="text2"/>
            <w:vAlign w:val="center"/>
          </w:tcPr>
          <w:p w:rsidR="00A54067" w:rsidRPr="00A54067" w:rsidRDefault="00A54067" w:rsidP="005B524E">
            <w:pPr>
              <w:suppressAutoHyphens w:val="0"/>
              <w:ind w:firstLine="0"/>
              <w:jc w:val="center"/>
              <w:rPr>
                <w:b/>
                <w:color w:val="FFFFFF" w:themeColor="background1"/>
                <w:sz w:val="22"/>
                <w:szCs w:val="20"/>
              </w:rPr>
            </w:pPr>
            <w:r w:rsidRPr="00A54067">
              <w:rPr>
                <w:b/>
                <w:color w:val="FFFFFF" w:themeColor="background1"/>
                <w:sz w:val="22"/>
                <w:szCs w:val="20"/>
              </w:rPr>
              <w:t>Forma</w:t>
            </w:r>
          </w:p>
        </w:tc>
        <w:tc>
          <w:tcPr>
            <w:tcW w:w="0" w:type="auto"/>
            <w:shd w:val="clear" w:color="auto" w:fill="1F497D" w:themeFill="text2"/>
            <w:vAlign w:val="center"/>
          </w:tcPr>
          <w:p w:rsidR="00A54067" w:rsidRPr="00A54067" w:rsidRDefault="00A54067" w:rsidP="005B524E">
            <w:pPr>
              <w:suppressAutoHyphens w:val="0"/>
              <w:ind w:firstLine="0"/>
              <w:jc w:val="center"/>
              <w:rPr>
                <w:b/>
                <w:color w:val="FFFFFF" w:themeColor="background1"/>
                <w:sz w:val="22"/>
                <w:szCs w:val="20"/>
              </w:rPr>
            </w:pPr>
            <w:r w:rsidRPr="00A54067">
              <w:rPr>
                <w:b/>
                <w:color w:val="FFFFFF" w:themeColor="background1"/>
                <w:sz w:val="22"/>
                <w:szCs w:val="20"/>
              </w:rPr>
              <w:t>Aprašymas</w:t>
            </w:r>
          </w:p>
        </w:tc>
      </w:tr>
      <w:tr w:rsidR="00A54067" w:rsidRPr="001D1438">
        <w:trPr>
          <w:jc w:val="center"/>
        </w:trPr>
        <w:tc>
          <w:tcPr>
            <w:tcW w:w="0" w:type="auto"/>
          </w:tcPr>
          <w:p w:rsidR="00A54067" w:rsidRPr="005B4C5F" w:rsidRDefault="00A54067" w:rsidP="005B524E">
            <w:pPr>
              <w:suppressAutoHyphens w:val="0"/>
              <w:ind w:firstLine="0"/>
            </w:pPr>
            <w:r w:rsidRPr="005B4C5F">
              <w:rPr>
                <w:rFonts w:eastAsia="Times New Roman"/>
                <w:b/>
                <w:kern w:val="0"/>
                <w:lang w:eastAsia="lt-LT"/>
              </w:rPr>
              <w:t>Paslaugų teikimo sutart</w:t>
            </w:r>
            <w:r w:rsidR="007B2DFE" w:rsidRPr="005B4C5F">
              <w:rPr>
                <w:rFonts w:eastAsia="Times New Roman"/>
                <w:b/>
                <w:kern w:val="0"/>
                <w:lang w:eastAsia="lt-LT"/>
              </w:rPr>
              <w:t>y</w:t>
            </w:r>
            <w:r w:rsidRPr="005B4C5F">
              <w:rPr>
                <w:rFonts w:eastAsia="Times New Roman"/>
                <w:b/>
                <w:kern w:val="0"/>
                <w:lang w:eastAsia="lt-LT"/>
              </w:rPr>
              <w:t>s</w:t>
            </w:r>
            <w:r w:rsidRPr="005B4C5F">
              <w:rPr>
                <w:kern w:val="0"/>
                <w:lang w:eastAsia="lt-LT"/>
              </w:rPr>
              <w:t xml:space="preserve"> (</w:t>
            </w:r>
            <w:r w:rsidRPr="005B4C5F">
              <w:rPr>
                <w:i/>
                <w:kern w:val="0"/>
                <w:lang w:eastAsia="lt-LT"/>
              </w:rPr>
              <w:t xml:space="preserve">angl. </w:t>
            </w:r>
            <w:r w:rsidRPr="00FE6E66">
              <w:rPr>
                <w:i/>
                <w:kern w:val="0"/>
                <w:lang w:val="en-US" w:eastAsia="lt-LT"/>
              </w:rPr>
              <w:t>Service contracts</w:t>
            </w:r>
            <w:r w:rsidRPr="005B4C5F">
              <w:rPr>
                <w:kern w:val="0"/>
                <w:lang w:eastAsia="lt-LT"/>
              </w:rPr>
              <w:t>)</w:t>
            </w:r>
          </w:p>
        </w:tc>
        <w:tc>
          <w:tcPr>
            <w:tcW w:w="0" w:type="auto"/>
          </w:tcPr>
          <w:p w:rsidR="00A54067" w:rsidRPr="005B4C5F" w:rsidRDefault="00A54067" w:rsidP="005B524E">
            <w:pPr>
              <w:suppressAutoHyphens w:val="0"/>
              <w:ind w:firstLine="0"/>
              <w:rPr>
                <w:highlight w:val="yellow"/>
              </w:rPr>
            </w:pPr>
            <w:r w:rsidRPr="005B4C5F">
              <w:t xml:space="preserve">Privatus segmentas numatytą laikotarpį teikia tam tikras sutartyje </w:t>
            </w:r>
            <w:r w:rsidR="007B2DFE" w:rsidRPr="005B4C5F">
              <w:t>numatytas</w:t>
            </w:r>
            <w:r w:rsidRPr="005B4C5F">
              <w:t xml:space="preserve"> paslaugas, o viešasis sektorius prisiima finansinę ir valdymo rizikas. </w:t>
            </w:r>
          </w:p>
        </w:tc>
      </w:tr>
      <w:tr w:rsidR="00A54067" w:rsidRPr="001D1438">
        <w:trPr>
          <w:jc w:val="center"/>
        </w:trPr>
        <w:tc>
          <w:tcPr>
            <w:tcW w:w="0" w:type="auto"/>
          </w:tcPr>
          <w:p w:rsidR="00A54067" w:rsidRPr="005B4C5F" w:rsidRDefault="00A54067" w:rsidP="005B524E">
            <w:pPr>
              <w:suppressAutoHyphens w:val="0"/>
              <w:ind w:firstLine="0"/>
            </w:pPr>
            <w:r w:rsidRPr="005B4C5F">
              <w:rPr>
                <w:rFonts w:eastAsia="Times New Roman"/>
                <w:b/>
                <w:kern w:val="0"/>
                <w:lang w:eastAsia="lt-LT"/>
              </w:rPr>
              <w:t>Eksploatavimo ir valdymo sutart</w:t>
            </w:r>
            <w:r w:rsidR="007B2DFE" w:rsidRPr="005B4C5F">
              <w:rPr>
                <w:rFonts w:eastAsia="Times New Roman"/>
                <w:b/>
                <w:kern w:val="0"/>
                <w:lang w:eastAsia="lt-LT"/>
              </w:rPr>
              <w:t>y</w:t>
            </w:r>
            <w:r w:rsidRPr="005B4C5F">
              <w:rPr>
                <w:rFonts w:eastAsia="Times New Roman"/>
                <w:b/>
                <w:kern w:val="0"/>
                <w:lang w:eastAsia="lt-LT"/>
              </w:rPr>
              <w:t>s</w:t>
            </w:r>
            <w:r w:rsidRPr="005B4C5F">
              <w:rPr>
                <w:kern w:val="0"/>
                <w:lang w:eastAsia="lt-LT"/>
              </w:rPr>
              <w:t xml:space="preserve"> (</w:t>
            </w:r>
            <w:r w:rsidRPr="005B4C5F">
              <w:rPr>
                <w:i/>
                <w:kern w:val="0"/>
                <w:lang w:eastAsia="lt-LT"/>
              </w:rPr>
              <w:t xml:space="preserve">angl. </w:t>
            </w:r>
            <w:r w:rsidRPr="00FE6E66">
              <w:rPr>
                <w:i/>
                <w:kern w:val="0"/>
                <w:lang w:val="en-US" w:eastAsia="lt-LT"/>
              </w:rPr>
              <w:t>Operation and management contracts</w:t>
            </w:r>
            <w:r w:rsidRPr="005B4C5F">
              <w:rPr>
                <w:kern w:val="0"/>
                <w:lang w:eastAsia="lt-LT"/>
              </w:rPr>
              <w:t>)</w:t>
            </w:r>
          </w:p>
        </w:tc>
        <w:tc>
          <w:tcPr>
            <w:tcW w:w="0" w:type="auto"/>
          </w:tcPr>
          <w:p w:rsidR="00A54067" w:rsidRPr="005B4C5F" w:rsidRDefault="00A54067" w:rsidP="005B524E">
            <w:pPr>
              <w:suppressAutoHyphens w:val="0"/>
              <w:ind w:firstLine="0"/>
              <w:rPr>
                <w:highlight w:val="yellow"/>
              </w:rPr>
            </w:pPr>
            <w:r w:rsidRPr="005B4C5F">
              <w:t>Privatus segmentas valdo bei prižiūri viešąj</w:t>
            </w:r>
            <w:r w:rsidR="007B2DFE" w:rsidRPr="005B4C5F">
              <w:t>į</w:t>
            </w:r>
            <w:r w:rsidRPr="005B4C5F">
              <w:t xml:space="preserve"> turtą. Pajamos, kurias gauna privatus sektorius, priklauso nuo veiklos tikslų. Viešasis sektorius prisiima finans</w:t>
            </w:r>
            <w:r w:rsidRPr="005B4C5F">
              <w:t>i</w:t>
            </w:r>
            <w:r w:rsidRPr="005B4C5F">
              <w:t>nę bei investavimo rizikas.</w:t>
            </w:r>
          </w:p>
        </w:tc>
      </w:tr>
      <w:tr w:rsidR="00A54067" w:rsidRPr="001D1438">
        <w:trPr>
          <w:jc w:val="center"/>
        </w:trPr>
        <w:tc>
          <w:tcPr>
            <w:tcW w:w="0" w:type="auto"/>
          </w:tcPr>
          <w:p w:rsidR="00A54067" w:rsidRPr="005B4C5F" w:rsidRDefault="00A54067" w:rsidP="005B524E">
            <w:pPr>
              <w:suppressAutoHyphens w:val="0"/>
              <w:ind w:firstLine="0"/>
              <w:rPr>
                <w:kern w:val="0"/>
                <w:lang w:eastAsia="lt-LT"/>
              </w:rPr>
            </w:pPr>
            <w:r w:rsidRPr="005B4C5F">
              <w:rPr>
                <w:rFonts w:eastAsia="Times New Roman"/>
                <w:b/>
                <w:kern w:val="0"/>
                <w:lang w:eastAsia="lt-LT"/>
              </w:rPr>
              <w:t>Išperkamosios nuomos sutart</w:t>
            </w:r>
            <w:r w:rsidR="007B2DFE" w:rsidRPr="005B4C5F">
              <w:rPr>
                <w:rFonts w:eastAsia="Times New Roman"/>
                <w:b/>
                <w:kern w:val="0"/>
                <w:lang w:eastAsia="lt-LT"/>
              </w:rPr>
              <w:t>y</w:t>
            </w:r>
            <w:r w:rsidRPr="005B4C5F">
              <w:rPr>
                <w:rFonts w:eastAsia="Times New Roman"/>
                <w:b/>
                <w:kern w:val="0"/>
                <w:lang w:eastAsia="lt-LT"/>
              </w:rPr>
              <w:t>s</w:t>
            </w:r>
            <w:r w:rsidRPr="005B4C5F">
              <w:rPr>
                <w:kern w:val="0"/>
                <w:lang w:eastAsia="lt-LT"/>
              </w:rPr>
              <w:t xml:space="preserve"> (</w:t>
            </w:r>
            <w:r w:rsidRPr="005B4C5F">
              <w:rPr>
                <w:i/>
                <w:kern w:val="0"/>
                <w:lang w:eastAsia="lt-LT"/>
              </w:rPr>
              <w:t xml:space="preserve">angl. </w:t>
            </w:r>
            <w:r w:rsidRPr="00FE6E66">
              <w:rPr>
                <w:i/>
                <w:kern w:val="0"/>
                <w:lang w:val="en-US" w:eastAsia="lt-LT"/>
              </w:rPr>
              <w:t>Leasing-type contracts</w:t>
            </w:r>
            <w:r w:rsidRPr="005B4C5F">
              <w:rPr>
                <w:kern w:val="0"/>
                <w:lang w:eastAsia="lt-LT"/>
              </w:rPr>
              <w:t>)</w:t>
            </w:r>
          </w:p>
        </w:tc>
        <w:tc>
          <w:tcPr>
            <w:tcW w:w="0" w:type="auto"/>
          </w:tcPr>
          <w:p w:rsidR="00A54067" w:rsidRPr="005B4C5F" w:rsidRDefault="00A54067" w:rsidP="005B524E">
            <w:pPr>
              <w:suppressAutoHyphens w:val="0"/>
              <w:ind w:firstLine="0"/>
              <w:rPr>
                <w:highlight w:val="yellow"/>
              </w:rPr>
            </w:pPr>
            <w:r w:rsidRPr="005B4C5F">
              <w:t>Privatus sektorius išperka (arba pasinaudoja išperk</w:t>
            </w:r>
            <w:r w:rsidRPr="005B4C5F">
              <w:t>a</w:t>
            </w:r>
            <w:r w:rsidRPr="005B4C5F">
              <w:t xml:space="preserve">mąja nuoma) valstybės valdomą turtą. </w:t>
            </w:r>
          </w:p>
        </w:tc>
      </w:tr>
      <w:tr w:rsidR="00A54067" w:rsidRPr="001D1438">
        <w:trPr>
          <w:jc w:val="center"/>
        </w:trPr>
        <w:tc>
          <w:tcPr>
            <w:tcW w:w="0" w:type="auto"/>
          </w:tcPr>
          <w:p w:rsidR="00A54067" w:rsidRPr="005B4C5F" w:rsidRDefault="00A54067" w:rsidP="005B524E">
            <w:pPr>
              <w:suppressAutoHyphens w:val="0"/>
              <w:ind w:firstLine="0"/>
              <w:rPr>
                <w:rFonts w:eastAsia="Times New Roman"/>
                <w:kern w:val="0"/>
                <w:lang w:eastAsia="lt-LT"/>
              </w:rPr>
            </w:pPr>
            <w:r w:rsidRPr="005B4C5F">
              <w:rPr>
                <w:rFonts w:eastAsia="Times New Roman"/>
                <w:b/>
                <w:kern w:val="0"/>
                <w:lang w:eastAsia="lt-LT"/>
              </w:rPr>
              <w:t>Visiškai užbaigto (projekto, objekto) pirkimo arba Statybos-eksploatavimo-perdavimo sutart</w:t>
            </w:r>
            <w:r w:rsidR="007B2DFE" w:rsidRPr="005B4C5F">
              <w:rPr>
                <w:rFonts w:eastAsia="Times New Roman"/>
                <w:b/>
                <w:kern w:val="0"/>
                <w:lang w:eastAsia="lt-LT"/>
              </w:rPr>
              <w:t>y</w:t>
            </w:r>
            <w:r w:rsidRPr="005B4C5F">
              <w:rPr>
                <w:rFonts w:eastAsia="Times New Roman"/>
                <w:b/>
                <w:kern w:val="0"/>
                <w:lang w:eastAsia="lt-LT"/>
              </w:rPr>
              <w:t>s</w:t>
            </w:r>
            <w:r w:rsidRPr="005B4C5F">
              <w:rPr>
                <w:rFonts w:eastAsia="Times New Roman"/>
                <w:kern w:val="0"/>
                <w:lang w:eastAsia="lt-LT"/>
              </w:rPr>
              <w:t xml:space="preserve"> (</w:t>
            </w:r>
            <w:r w:rsidRPr="005B4C5F">
              <w:rPr>
                <w:rFonts w:eastAsia="Times New Roman"/>
                <w:i/>
                <w:kern w:val="0"/>
                <w:lang w:eastAsia="lt-LT"/>
              </w:rPr>
              <w:t xml:space="preserve">angl. </w:t>
            </w:r>
            <w:r w:rsidRPr="00FE6E66">
              <w:rPr>
                <w:rFonts w:eastAsia="Times New Roman"/>
                <w:i/>
                <w:iCs/>
                <w:kern w:val="0"/>
                <w:lang w:val="en-US" w:eastAsia="lt-LT"/>
              </w:rPr>
              <w:t>Build-Operate-Transfer</w:t>
            </w:r>
            <w:r w:rsidRPr="005B4C5F">
              <w:rPr>
                <w:rFonts w:eastAsia="Times New Roman"/>
                <w:i/>
                <w:iCs/>
                <w:kern w:val="0"/>
                <w:lang w:eastAsia="lt-LT"/>
              </w:rPr>
              <w:t xml:space="preserve"> – BOT</w:t>
            </w:r>
            <w:r w:rsidRPr="005B4C5F">
              <w:rPr>
                <w:rFonts w:eastAsia="Times New Roman"/>
                <w:kern w:val="0"/>
                <w:lang w:eastAsia="lt-LT"/>
              </w:rPr>
              <w:t>)</w:t>
            </w:r>
            <w:r w:rsidRPr="005B4C5F">
              <w:rPr>
                <w:rFonts w:eastAsia="Times New Roman"/>
                <w:i/>
                <w:kern w:val="0"/>
                <w:lang w:eastAsia="lt-LT"/>
              </w:rPr>
              <w:t>.</w:t>
            </w:r>
          </w:p>
        </w:tc>
        <w:tc>
          <w:tcPr>
            <w:tcW w:w="0" w:type="auto"/>
            <w:shd w:val="clear" w:color="auto" w:fill="auto"/>
          </w:tcPr>
          <w:p w:rsidR="00A54067" w:rsidRPr="005B4C5F" w:rsidRDefault="00A54067" w:rsidP="005B524E">
            <w:pPr>
              <w:suppressAutoHyphens w:val="0"/>
              <w:ind w:firstLine="0"/>
            </w:pPr>
            <w:r w:rsidRPr="005B4C5F">
              <w:t>Privatus sektorius sukuria turtą, jį valdo ir eksploatu</w:t>
            </w:r>
            <w:r w:rsidRPr="005B4C5F">
              <w:t>o</w:t>
            </w:r>
            <w:r w:rsidRPr="005B4C5F">
              <w:t xml:space="preserve">ja, bet pasibaigus sutarčiai perleidžia turto valdymo teises valstybei. </w:t>
            </w:r>
          </w:p>
        </w:tc>
      </w:tr>
      <w:tr w:rsidR="00A54067" w:rsidRPr="001D1438">
        <w:trPr>
          <w:jc w:val="center"/>
        </w:trPr>
        <w:tc>
          <w:tcPr>
            <w:tcW w:w="0" w:type="auto"/>
          </w:tcPr>
          <w:p w:rsidR="00A54067" w:rsidRPr="005B4C5F" w:rsidRDefault="00A54067" w:rsidP="005B524E">
            <w:pPr>
              <w:suppressAutoHyphens w:val="0"/>
              <w:ind w:firstLine="0"/>
            </w:pPr>
            <w:r w:rsidRPr="005B4C5F">
              <w:rPr>
                <w:rFonts w:eastAsia="Times New Roman"/>
                <w:b/>
                <w:kern w:val="0"/>
                <w:lang w:eastAsia="lt-LT"/>
              </w:rPr>
              <w:t>Projektavimo-statybos-finansavimo-eksploatavimo sutart</w:t>
            </w:r>
            <w:r w:rsidR="007B2DFE" w:rsidRPr="005B4C5F">
              <w:rPr>
                <w:rFonts w:eastAsia="Times New Roman"/>
                <w:b/>
                <w:kern w:val="0"/>
                <w:lang w:eastAsia="lt-LT"/>
              </w:rPr>
              <w:t>y</w:t>
            </w:r>
            <w:r w:rsidRPr="005B4C5F">
              <w:rPr>
                <w:rFonts w:eastAsia="Times New Roman"/>
                <w:b/>
                <w:kern w:val="0"/>
                <w:lang w:eastAsia="lt-LT"/>
              </w:rPr>
              <w:t>s</w:t>
            </w:r>
            <w:r w:rsidRPr="005B4C5F">
              <w:rPr>
                <w:rFonts w:eastAsia="Times New Roman"/>
                <w:kern w:val="0"/>
                <w:lang w:eastAsia="lt-LT"/>
              </w:rPr>
              <w:t xml:space="preserve"> (</w:t>
            </w:r>
            <w:r w:rsidRPr="005B4C5F">
              <w:rPr>
                <w:rFonts w:eastAsia="Times New Roman"/>
                <w:i/>
                <w:kern w:val="0"/>
                <w:lang w:eastAsia="lt-LT"/>
              </w:rPr>
              <w:t xml:space="preserve">angl. </w:t>
            </w:r>
            <w:r w:rsidRPr="00FE6E66">
              <w:rPr>
                <w:rFonts w:eastAsia="Times New Roman"/>
                <w:i/>
                <w:iCs/>
                <w:kern w:val="0"/>
                <w:lang w:val="en-US" w:eastAsia="lt-LT"/>
              </w:rPr>
              <w:t>Design-Build-Finance-Operate</w:t>
            </w:r>
            <w:r w:rsidRPr="005B4C5F">
              <w:rPr>
                <w:rFonts w:eastAsia="Times New Roman"/>
                <w:i/>
                <w:iCs/>
                <w:kern w:val="0"/>
                <w:lang w:eastAsia="lt-LT"/>
              </w:rPr>
              <w:t xml:space="preserve"> – DBFO</w:t>
            </w:r>
            <w:r w:rsidRPr="005B4C5F">
              <w:rPr>
                <w:rFonts w:eastAsia="Times New Roman"/>
                <w:kern w:val="0"/>
                <w:lang w:eastAsia="lt-LT"/>
              </w:rPr>
              <w:t>).</w:t>
            </w:r>
          </w:p>
        </w:tc>
        <w:tc>
          <w:tcPr>
            <w:tcW w:w="0" w:type="auto"/>
            <w:shd w:val="clear" w:color="auto" w:fill="auto"/>
          </w:tcPr>
          <w:p w:rsidR="00A54067" w:rsidRPr="005B4C5F" w:rsidRDefault="00A54067" w:rsidP="005B524E">
            <w:pPr>
              <w:suppressAutoHyphens w:val="0"/>
              <w:ind w:firstLine="0"/>
            </w:pPr>
            <w:r w:rsidRPr="005B4C5F">
              <w:t>Privatus sektorius sukuria turtą, jį valdo ir eksploatu</w:t>
            </w:r>
            <w:r w:rsidRPr="005B4C5F">
              <w:t>o</w:t>
            </w:r>
            <w:r w:rsidRPr="005B4C5F">
              <w:t>ja. Viešasis sektorius dalyvauja tik kaip iniciatyvos kūrėjas.</w:t>
            </w:r>
          </w:p>
        </w:tc>
      </w:tr>
    </w:tbl>
    <w:p w:rsidR="00A54067" w:rsidRPr="001D1438" w:rsidRDefault="00A54067" w:rsidP="005B524E">
      <w:pPr>
        <w:suppressAutoHyphens w:val="0"/>
        <w:spacing w:before="120" w:after="100" w:afterAutospacing="1"/>
        <w:ind w:firstLine="0"/>
        <w:rPr>
          <w:b/>
          <w:kern w:val="0"/>
          <w:sz w:val="20"/>
          <w:szCs w:val="20"/>
          <w:lang w:eastAsia="lt-LT"/>
        </w:rPr>
      </w:pPr>
      <w:r w:rsidRPr="001D1438">
        <w:rPr>
          <w:b/>
          <w:sz w:val="20"/>
          <w:szCs w:val="20"/>
        </w:rPr>
        <w:t xml:space="preserve">Šaltinis: </w:t>
      </w:r>
      <w:r w:rsidRPr="001D1438">
        <w:rPr>
          <w:b/>
          <w:kern w:val="0"/>
          <w:sz w:val="20"/>
          <w:szCs w:val="20"/>
          <w:lang w:eastAsia="lt-LT"/>
        </w:rPr>
        <w:t>Europos Parlamentas, 2005</w:t>
      </w:r>
    </w:p>
    <w:p w:rsidR="00D4307C" w:rsidRDefault="00D4307C" w:rsidP="005B524E">
      <w:pPr>
        <w:pStyle w:val="Heading3"/>
        <w:suppressAutoHyphens w:val="0"/>
      </w:pPr>
      <w:bookmarkStart w:id="25" w:name="_Toc248687464"/>
      <w:bookmarkStart w:id="26" w:name="_Toc251011253"/>
      <w:r w:rsidRPr="001D1438">
        <w:lastRenderedPageBreak/>
        <w:t>Viešojo ir privataus sektor</w:t>
      </w:r>
      <w:r w:rsidR="00BF2601">
        <w:t>ių partnerystės paslaugų sutarty</w:t>
      </w:r>
      <w:r w:rsidRPr="001D1438">
        <w:t>s</w:t>
      </w:r>
      <w:r w:rsidR="00BF2601">
        <w:t xml:space="preserve"> </w:t>
      </w:r>
      <w:r w:rsidR="00BF2601" w:rsidRPr="001D1438">
        <w:t>švietimo ir mokslo sferoje</w:t>
      </w:r>
      <w:bookmarkEnd w:id="25"/>
      <w:bookmarkEnd w:id="26"/>
    </w:p>
    <w:p w:rsidR="007164E0" w:rsidRPr="00261B8F" w:rsidRDefault="00861124" w:rsidP="005B524E">
      <w:pPr>
        <w:suppressAutoHyphens w:val="0"/>
      </w:pPr>
      <w:r w:rsidRPr="00261B8F">
        <w:t>Teori</w:t>
      </w:r>
      <w:r w:rsidR="007B2DFE">
        <w:t>joje yra išskirti šie</w:t>
      </w:r>
      <w:r w:rsidRPr="00261B8F">
        <w:t xml:space="preserve"> keturi būdai, kaip privatus viešųjų paslaugų teikim</w:t>
      </w:r>
      <w:r w:rsidR="003E74CC" w:rsidRPr="00261B8F">
        <w:t>as gali daryti įtaką</w:t>
      </w:r>
      <w:r w:rsidRPr="00261B8F">
        <w:t xml:space="preserve"> mokymo</w:t>
      </w:r>
      <w:r w:rsidR="003E74CC" w:rsidRPr="00261B8F">
        <w:t>(</w:t>
      </w:r>
      <w:r w:rsidRPr="00261B8F">
        <w:t>si</w:t>
      </w:r>
      <w:r w:rsidR="003E74CC" w:rsidRPr="00261B8F">
        <w:t>)</w:t>
      </w:r>
      <w:r w:rsidRPr="00261B8F">
        <w:t xml:space="preserve"> </w:t>
      </w:r>
      <w:r w:rsidRPr="00CA438B">
        <w:t>rezultatams</w:t>
      </w:r>
      <w:r w:rsidR="003E74CC" w:rsidRPr="00CA438B">
        <w:t xml:space="preserve"> (</w:t>
      </w:r>
      <w:r w:rsidR="003E74CC" w:rsidRPr="00FE6E66">
        <w:rPr>
          <w:lang w:val="en-US"/>
        </w:rPr>
        <w:t>LaRocque</w:t>
      </w:r>
      <w:r w:rsidR="00BF0785" w:rsidRPr="00FE6E66">
        <w:rPr>
          <w:lang w:val="en-US"/>
        </w:rPr>
        <w:t xml:space="preserve"> and</w:t>
      </w:r>
      <w:r w:rsidR="003E74CC" w:rsidRPr="00FE6E66">
        <w:rPr>
          <w:lang w:val="en-US"/>
        </w:rPr>
        <w:t xml:space="preserve"> Patrinos 2006; Savas 2000; Nechyba, 2000; Epple</w:t>
      </w:r>
      <w:r w:rsidR="00BF0785" w:rsidRPr="00FE6E66">
        <w:rPr>
          <w:lang w:val="en-US"/>
        </w:rPr>
        <w:t xml:space="preserve"> and</w:t>
      </w:r>
      <w:r w:rsidR="003E74CC" w:rsidRPr="00FE6E66">
        <w:rPr>
          <w:lang w:val="en-US"/>
        </w:rPr>
        <w:t xml:space="preserve"> Romano,</w:t>
      </w:r>
      <w:r w:rsidR="00261B8F" w:rsidRPr="00FE6E66">
        <w:rPr>
          <w:lang w:val="en-US"/>
        </w:rPr>
        <w:t xml:space="preserve"> 1998</w:t>
      </w:r>
      <w:r w:rsidR="00261B8F" w:rsidRPr="00CA438B">
        <w:t>)</w:t>
      </w:r>
      <w:r w:rsidR="00785CFB" w:rsidRPr="00CA438B">
        <w:t>:</w:t>
      </w:r>
    </w:p>
    <w:p w:rsidR="00CC635E" w:rsidRPr="00CC635E" w:rsidRDefault="003A5659" w:rsidP="005B524E">
      <w:pPr>
        <w:pStyle w:val="ListParagraph"/>
        <w:numPr>
          <w:ilvl w:val="0"/>
          <w:numId w:val="25"/>
        </w:numPr>
        <w:suppressAutoHyphens w:val="0"/>
      </w:pPr>
      <w:r>
        <w:t>VPSP sutartis suteikia</w:t>
      </w:r>
      <w:r w:rsidR="000A508C" w:rsidRPr="00A65F00">
        <w:t xml:space="preserve"> m</w:t>
      </w:r>
      <w:r w:rsidR="00D326B5" w:rsidRPr="00A65F00">
        <w:t>okykloms didesnį lankstumą švietimo paslaugų teikime ir va</w:t>
      </w:r>
      <w:r w:rsidR="00D326B5" w:rsidRPr="00A65F00">
        <w:t>l</w:t>
      </w:r>
      <w:r w:rsidR="00D326B5" w:rsidRPr="00A65F00">
        <w:t>dyme</w:t>
      </w:r>
      <w:r w:rsidR="000A508C" w:rsidRPr="00A65F00">
        <w:t xml:space="preserve">. </w:t>
      </w:r>
      <w:r w:rsidR="00D326B5" w:rsidRPr="00A65F00">
        <w:t xml:space="preserve">Bendrai </w:t>
      </w:r>
      <w:r w:rsidR="000A508C" w:rsidRPr="00A65F00">
        <w:t>vieša</w:t>
      </w:r>
      <w:r w:rsidR="00A65F00" w:rsidRPr="00A65F00">
        <w:t>sis</w:t>
      </w:r>
      <w:r w:rsidR="000A508C" w:rsidRPr="00A65F00">
        <w:t xml:space="preserve"> sektoriu</w:t>
      </w:r>
      <w:r w:rsidR="00A65F00">
        <w:t>s</w:t>
      </w:r>
      <w:r w:rsidR="000A508C" w:rsidRPr="00A65F00">
        <w:t xml:space="preserve"> suteikia </w:t>
      </w:r>
      <w:r w:rsidR="00A65F00">
        <w:t xml:space="preserve">aukštosioms </w:t>
      </w:r>
      <w:r w:rsidR="000A508C" w:rsidRPr="00A65F00">
        <w:t xml:space="preserve">mokykloms labai mažai lankstumo </w:t>
      </w:r>
      <w:r w:rsidR="00A65F00">
        <w:t>pritraukiant dėstytojus iš šalies</w:t>
      </w:r>
      <w:r w:rsidR="000A508C" w:rsidRPr="00A65F00">
        <w:t xml:space="preserve"> ir </w:t>
      </w:r>
      <w:r w:rsidR="000A508C" w:rsidRPr="00CC635E">
        <w:t>organizuo</w:t>
      </w:r>
      <w:r w:rsidR="00A65F00" w:rsidRPr="00CC635E">
        <w:t>jant</w:t>
      </w:r>
      <w:r w:rsidR="000A508C" w:rsidRPr="00CC635E">
        <w:t xml:space="preserve"> mokyklų</w:t>
      </w:r>
      <w:r w:rsidR="00A65F00" w:rsidRPr="00CC635E">
        <w:t xml:space="preserve"> struktūrą</w:t>
      </w:r>
      <w:r w:rsidR="00EE72C9" w:rsidRPr="00CC635E">
        <w:t>. Todėl</w:t>
      </w:r>
      <w:r w:rsidR="000A508C" w:rsidRPr="00CC635E">
        <w:t xml:space="preserve"> ti</w:t>
      </w:r>
      <w:r w:rsidR="00EE72C9" w:rsidRPr="00CC635E">
        <w:t>k</w:t>
      </w:r>
      <w:r w:rsidR="000A508C" w:rsidRPr="00CC635E">
        <w:t xml:space="preserve"> </w:t>
      </w:r>
      <w:r w:rsidR="00F15E75" w:rsidRPr="00CC635E">
        <w:t>lanksčios</w:t>
      </w:r>
      <w:r w:rsidR="000A508C" w:rsidRPr="00CC635E">
        <w:t xml:space="preserve"> VPSP sutartis gali leisti mokykloms geriau suderinti pasiūlą ir paklausą.</w:t>
      </w:r>
    </w:p>
    <w:p w:rsidR="00CC635E" w:rsidRPr="006D394A" w:rsidRDefault="00CC635E" w:rsidP="005B524E">
      <w:pPr>
        <w:pStyle w:val="ListParagraph"/>
        <w:numPr>
          <w:ilvl w:val="0"/>
          <w:numId w:val="25"/>
        </w:numPr>
        <w:suppressAutoHyphens w:val="0"/>
      </w:pPr>
      <w:r w:rsidRPr="00CC635E">
        <w:t xml:space="preserve">Privataus sektoriaus teikėjų sutartys paprastai atrenkamos atviro konkurso </w:t>
      </w:r>
      <w:r w:rsidR="007B2DFE">
        <w:t>būdu</w:t>
      </w:r>
      <w:r>
        <w:t xml:space="preserve"> pagal kokybės ir kainos </w:t>
      </w:r>
      <w:r w:rsidR="00F15E75">
        <w:t>kriterijus</w:t>
      </w:r>
      <w:r>
        <w:t xml:space="preserve">. </w:t>
      </w:r>
      <w:r w:rsidRPr="00CC635E">
        <w:t>Be to, sutartys dažnai reikalauja</w:t>
      </w:r>
      <w:r>
        <w:t xml:space="preserve"> gilesn</w:t>
      </w:r>
      <w:r w:rsidR="00557BAA">
        <w:t>ės analizės bei k</w:t>
      </w:r>
      <w:r w:rsidR="007B2DFE">
        <w:t>aš</w:t>
      </w:r>
      <w:r w:rsidR="00557BAA">
        <w:t>tų mažinimo</w:t>
      </w:r>
      <w:r w:rsidR="007B2DFE">
        <w:t>, t</w:t>
      </w:r>
      <w:r w:rsidR="00557BAA">
        <w:t>odėl galutiniame variante</w:t>
      </w:r>
      <w:r w:rsidRPr="00CC635E">
        <w:t xml:space="preserve"> galima gauti geresnės kokybės švietim</w:t>
      </w:r>
      <w:r w:rsidR="007B2DFE">
        <w:t>o paslaugas</w:t>
      </w:r>
      <w:r w:rsidRPr="00CC635E">
        <w:t>.</w:t>
      </w:r>
    </w:p>
    <w:p w:rsidR="00C3058E" w:rsidRDefault="000C5F01" w:rsidP="005B524E">
      <w:pPr>
        <w:pStyle w:val="ListParagraph"/>
        <w:numPr>
          <w:ilvl w:val="0"/>
          <w:numId w:val="25"/>
        </w:numPr>
        <w:suppressAutoHyphens w:val="0"/>
      </w:pPr>
      <w:r w:rsidRPr="006D394A">
        <w:t>Rizikos paskirstymas</w:t>
      </w:r>
      <w:r w:rsidR="006737E5" w:rsidRPr="006D394A">
        <w:t xml:space="preserve"> tarp viešojo ir privataus sektorių. Teikiant </w:t>
      </w:r>
      <w:r w:rsidR="00271912">
        <w:t>švietimo</w:t>
      </w:r>
      <w:r w:rsidR="006737E5" w:rsidRPr="006D394A">
        <w:t xml:space="preserve"> paslaugas ir pl</w:t>
      </w:r>
      <w:r w:rsidR="006737E5" w:rsidRPr="006D394A">
        <w:t>ė</w:t>
      </w:r>
      <w:r w:rsidR="006737E5" w:rsidRPr="006D394A">
        <w:t>tojant tam reikalingą infrastruktūrą reikia atpažinti, įvertinti ir paskirstyti įvairias veiklos rizikas. Rizikos VPSP projekte turi būti perduotos šaliai, kuri jas sugeba valdyti mažia</w:t>
      </w:r>
      <w:r w:rsidR="006737E5" w:rsidRPr="006D394A">
        <w:t>u</w:t>
      </w:r>
      <w:r w:rsidR="006737E5" w:rsidRPr="006D394A">
        <w:t xml:space="preserve">siomis sąnaudomis. </w:t>
      </w:r>
    </w:p>
    <w:p w:rsidR="00AC4B65" w:rsidRDefault="00C3058E" w:rsidP="005B524E">
      <w:pPr>
        <w:pStyle w:val="ListParagraph"/>
        <w:numPr>
          <w:ilvl w:val="0"/>
          <w:numId w:val="25"/>
        </w:numPr>
        <w:suppressAutoHyphens w:val="0"/>
      </w:pPr>
      <w:r w:rsidRPr="00C3058E">
        <w:t>VP</w:t>
      </w:r>
      <w:r w:rsidR="00CC6B0E">
        <w:t>S</w:t>
      </w:r>
      <w:r w:rsidRPr="00C3058E">
        <w:t>P gali skat</w:t>
      </w:r>
      <w:r>
        <w:t>inti konkurenciją švietimo rinkoje</w:t>
      </w:r>
      <w:r w:rsidRPr="00C3058E">
        <w:t xml:space="preserve">. </w:t>
      </w:r>
    </w:p>
    <w:p w:rsidR="00C3058E" w:rsidRPr="009D1A59" w:rsidRDefault="00AC4B65" w:rsidP="005B524E">
      <w:pPr>
        <w:suppressAutoHyphens w:val="0"/>
      </w:pPr>
      <w:r w:rsidRPr="00FA64F3">
        <w:t>Į paslaugų sąvokos turinį taip pat įeina švietimo paslaugos (valdymas, priežiūra, palaikymas ir t. t.)</w:t>
      </w:r>
      <w:r w:rsidR="007B2DFE">
        <w:t xml:space="preserve">, </w:t>
      </w:r>
      <w:r w:rsidRPr="00FA64F3">
        <w:t>veiklos paslaugos, toki</w:t>
      </w:r>
      <w:r w:rsidR="007B2DFE">
        <w:t>os</w:t>
      </w:r>
      <w:r w:rsidRPr="00FA64F3">
        <w:t xml:space="preserve"> kaip grynasis valdymas (</w:t>
      </w:r>
      <w:r w:rsidRPr="00FA64F3">
        <w:rPr>
          <w:i/>
        </w:rPr>
        <w:t xml:space="preserve">angl. </w:t>
      </w:r>
      <w:r w:rsidRPr="00FE6E66">
        <w:rPr>
          <w:i/>
          <w:lang w:val="en-US"/>
        </w:rPr>
        <w:t>pure</w:t>
      </w:r>
      <w:r w:rsidR="00BF0785" w:rsidRPr="00FE6E66">
        <w:rPr>
          <w:i/>
          <w:lang w:val="en-US"/>
        </w:rPr>
        <w:t xml:space="preserve"> manage</w:t>
      </w:r>
      <w:r w:rsidR="00C67E27" w:rsidRPr="00FE6E66">
        <w:rPr>
          <w:i/>
          <w:lang w:val="en-US"/>
        </w:rPr>
        <w:t>me</w:t>
      </w:r>
      <w:r w:rsidR="00BF0785" w:rsidRPr="00FE6E66">
        <w:rPr>
          <w:i/>
          <w:lang w:val="en-US"/>
        </w:rPr>
        <w:t>nt</w:t>
      </w:r>
      <w:r w:rsidRPr="00FA64F3">
        <w:t>) ir infrastruktūra</w:t>
      </w:r>
      <w:r w:rsidRPr="00F15E75">
        <w:rPr>
          <w:kern w:val="0"/>
        </w:rPr>
        <w:t xml:space="preserve"> (LaRocque,</w:t>
      </w:r>
      <w:r w:rsidR="00F15E75" w:rsidRPr="00F15E75">
        <w:rPr>
          <w:kern w:val="0"/>
        </w:rPr>
        <w:t xml:space="preserve"> </w:t>
      </w:r>
      <w:r w:rsidRPr="00F15E75">
        <w:rPr>
          <w:kern w:val="0"/>
        </w:rPr>
        <w:t xml:space="preserve">Patrinos 2006). </w:t>
      </w:r>
      <w:r>
        <w:rPr>
          <w:kern w:val="0"/>
          <w:lang w:eastAsia="lt-LT"/>
        </w:rPr>
        <w:t>Pažymėtina, jog s</w:t>
      </w:r>
      <w:r w:rsidRPr="001D1438">
        <w:rPr>
          <w:kern w:val="0"/>
          <w:lang w:eastAsia="lt-LT"/>
        </w:rPr>
        <w:t xml:space="preserve">udarant VPSP sutartis ne visada tinkamai įvertinama tokių partnerystės projektų teikiama nauda (privalumai) ir jų trūkumai, kuriais remiantis turi būti vertinami konkretūs projektai </w:t>
      </w:r>
      <w:r w:rsidRPr="001D1438">
        <w:t>(LR Valstybinis auditas, 2008)</w:t>
      </w:r>
      <w:r w:rsidRPr="001D1438">
        <w:rPr>
          <w:kern w:val="0"/>
          <w:lang w:eastAsia="lt-LT"/>
        </w:rPr>
        <w:t>.</w:t>
      </w:r>
    </w:p>
    <w:p w:rsidR="00895F5C" w:rsidRPr="001D1438" w:rsidRDefault="00543D58" w:rsidP="005B524E">
      <w:pPr>
        <w:suppressAutoHyphens w:val="0"/>
        <w:rPr>
          <w:lang w:bidi="en-US"/>
        </w:rPr>
      </w:pPr>
      <w:r>
        <w:rPr>
          <w:lang w:bidi="en-US"/>
        </w:rPr>
        <w:t>Pasaulinė vystymosi ataskaita</w:t>
      </w:r>
      <w:r w:rsidR="007164E0" w:rsidRPr="00543D58">
        <w:rPr>
          <w:iCs/>
          <w:lang w:bidi="en-US"/>
        </w:rPr>
        <w:t xml:space="preserve"> 2004 </w:t>
      </w:r>
      <w:r w:rsidR="007164E0" w:rsidRPr="00543D58">
        <w:rPr>
          <w:lang w:bidi="en-US"/>
        </w:rPr>
        <w:t>(</w:t>
      </w:r>
      <w:r>
        <w:rPr>
          <w:lang w:bidi="en-US"/>
        </w:rPr>
        <w:t>Pasauli</w:t>
      </w:r>
      <w:r w:rsidR="00082F82">
        <w:rPr>
          <w:lang w:bidi="en-US"/>
        </w:rPr>
        <w:t>o</w:t>
      </w:r>
      <w:r>
        <w:rPr>
          <w:lang w:bidi="en-US"/>
        </w:rPr>
        <w:t xml:space="preserve"> Bankas</w:t>
      </w:r>
      <w:r w:rsidR="007164E0" w:rsidRPr="00543D58">
        <w:rPr>
          <w:lang w:bidi="en-US"/>
        </w:rPr>
        <w:t xml:space="preserve"> 2003a) pažymima, kad sėkmingiausias bendradarbiavimas</w:t>
      </w:r>
      <w:r w:rsidR="00FE6E66" w:rsidRPr="00543D58">
        <w:rPr>
          <w:lang w:bidi="en-US"/>
        </w:rPr>
        <w:t>,</w:t>
      </w:r>
      <w:r w:rsidR="007164E0" w:rsidRPr="00543D58">
        <w:rPr>
          <w:lang w:bidi="en-US"/>
        </w:rPr>
        <w:t xml:space="preserve"> kai visos šal</w:t>
      </w:r>
      <w:r w:rsidR="007B2DFE" w:rsidRPr="00543D58">
        <w:rPr>
          <w:lang w:bidi="en-US"/>
        </w:rPr>
        <w:t>y</w:t>
      </w:r>
      <w:r w:rsidR="007164E0" w:rsidRPr="00543D58">
        <w:rPr>
          <w:lang w:bidi="en-US"/>
        </w:rPr>
        <w:t>s (viešasis sektorius, paslaugų t</w:t>
      </w:r>
      <w:r w:rsidR="007B2DFE" w:rsidRPr="00543D58">
        <w:rPr>
          <w:lang w:bidi="en-US"/>
        </w:rPr>
        <w:t>ei</w:t>
      </w:r>
      <w:r w:rsidR="007164E0" w:rsidRPr="00543D58">
        <w:rPr>
          <w:lang w:bidi="en-US"/>
        </w:rPr>
        <w:t>kėjai ir piliečiai) privalo atsiskaityti viena kitai.</w:t>
      </w:r>
      <w:r w:rsidR="000E20F0">
        <w:rPr>
          <w:lang w:bidi="en-US"/>
        </w:rPr>
        <w:t xml:space="preserve"> </w:t>
      </w:r>
      <w:r w:rsidR="00895F5C" w:rsidRPr="001D1438">
        <w:rPr>
          <w:lang w:bidi="en-US"/>
        </w:rPr>
        <w:t>Sutartys gali pagerinti paslaugų teikimą</w:t>
      </w:r>
      <w:r w:rsidR="007E1905">
        <w:rPr>
          <w:lang w:bidi="en-US"/>
        </w:rPr>
        <w:t xml:space="preserve"> </w:t>
      </w:r>
      <w:r w:rsidR="00895F5C" w:rsidRPr="001D1438">
        <w:rPr>
          <w:lang w:bidi="en-US"/>
        </w:rPr>
        <w:t>nustat</w:t>
      </w:r>
      <w:r w:rsidR="007E1905">
        <w:rPr>
          <w:lang w:bidi="en-US"/>
        </w:rPr>
        <w:t>ant konkrečius</w:t>
      </w:r>
      <w:r w:rsidR="00895F5C" w:rsidRPr="001D1438">
        <w:rPr>
          <w:lang w:bidi="en-US"/>
        </w:rPr>
        <w:t xml:space="preserve"> tikslus ir rezultatus,</w:t>
      </w:r>
      <w:r w:rsidR="007E1905">
        <w:rPr>
          <w:lang w:bidi="en-US"/>
        </w:rPr>
        <w:t xml:space="preserve"> šalių tarpusavio įsipareigojimus siekiant šių tikslų bei aiškiai paskirstant šalių tarpusavio atsakomybę už tinkamą sutarties nuostatų vykdymą. </w:t>
      </w:r>
    </w:p>
    <w:p w:rsidR="00895F5C" w:rsidRPr="001D1438" w:rsidRDefault="00895F5C" w:rsidP="005B524E">
      <w:pPr>
        <w:suppressAutoHyphens w:val="0"/>
        <w:rPr>
          <w:lang w:bidi="en-US"/>
        </w:rPr>
      </w:pPr>
      <w:r w:rsidRPr="001D1438">
        <w:rPr>
          <w:lang w:bidi="en-US"/>
        </w:rPr>
        <w:t>Šiuo metu visame pasaulyje naudojamos</w:t>
      </w:r>
      <w:r w:rsidR="002C4731">
        <w:rPr>
          <w:lang w:bidi="en-US"/>
        </w:rPr>
        <w:t xml:space="preserve"> </w:t>
      </w:r>
      <w:r w:rsidR="007E1905">
        <w:rPr>
          <w:lang w:bidi="en-US"/>
        </w:rPr>
        <w:t>tokios</w:t>
      </w:r>
      <w:r w:rsidR="002C4731">
        <w:rPr>
          <w:lang w:bidi="en-US"/>
        </w:rPr>
        <w:t xml:space="preserve"> VPSP sutart</w:t>
      </w:r>
      <w:r w:rsidR="007E1905">
        <w:rPr>
          <w:lang w:bidi="en-US"/>
        </w:rPr>
        <w:t>y</w:t>
      </w:r>
      <w:r w:rsidR="002C4731">
        <w:rPr>
          <w:lang w:bidi="en-US"/>
        </w:rPr>
        <w:t>s</w:t>
      </w:r>
      <w:r w:rsidR="00710ABD">
        <w:rPr>
          <w:lang w:bidi="en-US"/>
        </w:rPr>
        <w:t xml:space="preserve"> (</w:t>
      </w:r>
      <w:r w:rsidR="00710ABD" w:rsidRPr="00CA438B">
        <w:t>LaRocque</w:t>
      </w:r>
      <w:r w:rsidR="00710ABD" w:rsidRPr="00F15E75">
        <w:rPr>
          <w:lang w:val="en-US"/>
        </w:rPr>
        <w:t xml:space="preserve"> and</w:t>
      </w:r>
      <w:r w:rsidR="00710ABD" w:rsidRPr="00CA438B">
        <w:t xml:space="preserve"> Patrinos 2006</w:t>
      </w:r>
      <w:r w:rsidR="00710ABD">
        <w:t>)</w:t>
      </w:r>
      <w:r w:rsidRPr="001D1438">
        <w:rPr>
          <w:lang w:bidi="en-US"/>
        </w:rPr>
        <w:t>:</w:t>
      </w:r>
    </w:p>
    <w:p w:rsidR="00895F5C" w:rsidRPr="001D1438" w:rsidRDefault="00895F5C" w:rsidP="005B524E">
      <w:pPr>
        <w:numPr>
          <w:ilvl w:val="0"/>
          <w:numId w:val="22"/>
        </w:numPr>
        <w:suppressAutoHyphens w:val="0"/>
      </w:pPr>
      <w:r w:rsidRPr="002C4731">
        <w:rPr>
          <w:b/>
        </w:rPr>
        <w:t>valdymo paslaug</w:t>
      </w:r>
      <w:r w:rsidR="0083452E">
        <w:rPr>
          <w:b/>
        </w:rPr>
        <w:t>ų sutartis</w:t>
      </w:r>
      <w:r w:rsidR="002C4731">
        <w:t xml:space="preserve"> </w:t>
      </w:r>
      <w:r w:rsidR="00C678C2">
        <w:t>(</w:t>
      </w:r>
      <w:r w:rsidR="00C678C2" w:rsidRPr="00C678C2">
        <w:rPr>
          <w:i/>
        </w:rPr>
        <w:t xml:space="preserve">angl. </w:t>
      </w:r>
      <w:r w:rsidR="00C678C2" w:rsidRPr="00FE6E66">
        <w:rPr>
          <w:i/>
          <w:lang w:val="en-US"/>
        </w:rPr>
        <w:t>management services</w:t>
      </w:r>
      <w:r w:rsidR="00C678C2">
        <w:t xml:space="preserve">) </w:t>
      </w:r>
      <w:r w:rsidR="002C4731">
        <w:t xml:space="preserve">– </w:t>
      </w:r>
      <w:r w:rsidR="005F0BD8">
        <w:t xml:space="preserve">sutartis, kurios objektas </w:t>
      </w:r>
      <w:r w:rsidR="007E1905">
        <w:t>yra</w:t>
      </w:r>
      <w:r w:rsidR="005F0BD8">
        <w:t xml:space="preserve"> </w:t>
      </w:r>
      <w:r w:rsidR="002C4731">
        <w:t>paslaugos</w:t>
      </w:r>
      <w:r w:rsidR="007E1905">
        <w:t>,</w:t>
      </w:r>
      <w:r w:rsidR="002C4731">
        <w:t xml:space="preserve"> apimančios personalo ir finansų valdym</w:t>
      </w:r>
      <w:r w:rsidR="007E1905">
        <w:t>ą</w:t>
      </w:r>
      <w:r w:rsidR="002C4731">
        <w:t xml:space="preserve">, ilgalaikį planavimą bei lyderystę. </w:t>
      </w:r>
      <w:r w:rsidR="00710ABD">
        <w:t xml:space="preserve">Valdymo paslaugos aukštojo mokslo įstaigoms gali suteikti </w:t>
      </w:r>
      <w:r w:rsidR="00710ABD" w:rsidRPr="00710ABD">
        <w:t>potencialios naudos</w:t>
      </w:r>
      <w:r w:rsidR="00710ABD">
        <w:t>, nes pr</w:t>
      </w:r>
      <w:r w:rsidR="00710ABD">
        <w:t>i</w:t>
      </w:r>
      <w:r w:rsidR="00710ABD">
        <w:t xml:space="preserve">vataus sektoriaus </w:t>
      </w:r>
      <w:r w:rsidR="00710ABD" w:rsidRPr="00710ABD">
        <w:t>profesini</w:t>
      </w:r>
      <w:r w:rsidR="00710ABD">
        <w:t>ai</w:t>
      </w:r>
      <w:r w:rsidR="00710ABD" w:rsidRPr="00710ABD">
        <w:t xml:space="preserve"> įgūdži</w:t>
      </w:r>
      <w:r w:rsidR="00710ABD">
        <w:t>ai</w:t>
      </w:r>
      <w:r w:rsidR="00710ABD" w:rsidRPr="00710ABD">
        <w:t xml:space="preserve"> ir nauj</w:t>
      </w:r>
      <w:r w:rsidR="00710ABD">
        <w:t>os</w:t>
      </w:r>
      <w:r w:rsidR="00710ABD" w:rsidRPr="00710ABD">
        <w:t xml:space="preserve"> idėj</w:t>
      </w:r>
      <w:r w:rsidR="00710ABD">
        <w:t xml:space="preserve">os padeda </w:t>
      </w:r>
      <w:r w:rsidR="00710ABD" w:rsidRPr="00710ABD">
        <w:t xml:space="preserve">sumažinti biurokratinius </w:t>
      </w:r>
      <w:r w:rsidR="00710ABD">
        <w:t>bei</w:t>
      </w:r>
      <w:r w:rsidR="00710ABD" w:rsidRPr="00710ABD">
        <w:t xml:space="preserve"> profesinių sąjungų</w:t>
      </w:r>
      <w:r w:rsidR="00710ABD">
        <w:t xml:space="preserve"> </w:t>
      </w:r>
      <w:r w:rsidR="00710ABD" w:rsidRPr="00710ABD">
        <w:t>suvaržymus</w:t>
      </w:r>
      <w:r w:rsidR="00710ABD">
        <w:t>. Be to, privatus sektorius yra orientuotas į pelną, todėl valdymo paslaugų sutart</w:t>
      </w:r>
      <w:r w:rsidR="0083452E">
        <w:t>y</w:t>
      </w:r>
      <w:r w:rsidR="00710ABD">
        <w:t xml:space="preserve">s gali ne tik padėti pagerinti </w:t>
      </w:r>
      <w:r w:rsidR="002F3192">
        <w:t>valdymo</w:t>
      </w:r>
      <w:r w:rsidR="00710ABD">
        <w:t xml:space="preserve"> kokybę, bet ir padaryti įstaigą pelninga. </w:t>
      </w:r>
      <w:r w:rsidR="0083452E">
        <w:t>Tačiau autoriai pabrėžia, jog šio tipo sutart</w:t>
      </w:r>
      <w:r w:rsidR="007E1905">
        <w:t xml:space="preserve">į </w:t>
      </w:r>
      <w:r w:rsidR="0083452E">
        <w:t xml:space="preserve">sunkiausia pasirašyti dėl </w:t>
      </w:r>
      <w:r w:rsidR="0083452E">
        <w:lastRenderedPageBreak/>
        <w:t>komplikuoto sutarties objekto apibrėžimo ir rezultatų vertinimo</w:t>
      </w:r>
      <w:r w:rsidR="00F3207B">
        <w:t>.</w:t>
      </w:r>
    </w:p>
    <w:p w:rsidR="00895F5C" w:rsidRPr="001D1438" w:rsidRDefault="00895F5C" w:rsidP="005B524E">
      <w:pPr>
        <w:numPr>
          <w:ilvl w:val="0"/>
          <w:numId w:val="22"/>
        </w:numPr>
        <w:suppressAutoHyphens w:val="0"/>
      </w:pPr>
      <w:r w:rsidRPr="005F0BD8">
        <w:rPr>
          <w:b/>
        </w:rPr>
        <w:t>profesin</w:t>
      </w:r>
      <w:r w:rsidR="005F0BD8" w:rsidRPr="005F0BD8">
        <w:rPr>
          <w:b/>
        </w:rPr>
        <w:t>ių</w:t>
      </w:r>
      <w:r w:rsidRPr="005F0BD8">
        <w:rPr>
          <w:b/>
        </w:rPr>
        <w:t xml:space="preserve"> paslaug</w:t>
      </w:r>
      <w:r w:rsidR="005F0BD8" w:rsidRPr="005F0BD8">
        <w:rPr>
          <w:b/>
        </w:rPr>
        <w:t>ų sutartis</w:t>
      </w:r>
      <w:r w:rsidR="005F0BD8">
        <w:t xml:space="preserve"> </w:t>
      </w:r>
      <w:r w:rsidR="00C678C2">
        <w:t>(</w:t>
      </w:r>
      <w:r w:rsidR="00C678C2" w:rsidRPr="00C678C2">
        <w:rPr>
          <w:i/>
        </w:rPr>
        <w:t xml:space="preserve">angl. </w:t>
      </w:r>
      <w:r w:rsidR="00C678C2" w:rsidRPr="007E24CF">
        <w:rPr>
          <w:i/>
          <w:lang w:val="en-US"/>
        </w:rPr>
        <w:t>professional services</w:t>
      </w:r>
      <w:r w:rsidR="00C678C2">
        <w:t xml:space="preserve">) </w:t>
      </w:r>
      <w:r w:rsidR="007E1905">
        <w:t xml:space="preserve">– tai </w:t>
      </w:r>
      <w:r w:rsidR="00212D06">
        <w:t xml:space="preserve">sutartis, kuriuos objektas </w:t>
      </w:r>
      <w:r w:rsidR="007E1905">
        <w:t xml:space="preserve">yra </w:t>
      </w:r>
      <w:r w:rsidR="00212D06">
        <w:t>mokytojų ar dėstytojų rengimo, vadovėlių kūrimo ir pristatymo, mokymo(si) proje</w:t>
      </w:r>
      <w:r w:rsidR="00212D06">
        <w:t>k</w:t>
      </w:r>
      <w:r w:rsidR="00212D06">
        <w:t>tavimo, kokybės sertifikavimo ir kitos papildomos paslaugos.</w:t>
      </w:r>
      <w:r w:rsidR="00566E57">
        <w:t xml:space="preserve"> Šio tipo paslaugų sutarti</w:t>
      </w:r>
      <w:r w:rsidR="007E1905">
        <w:t>es sąlygos</w:t>
      </w:r>
      <w:r w:rsidR="00566E57">
        <w:t xml:space="preserve"> yra lengvai aprašomos</w:t>
      </w:r>
      <w:r w:rsidR="007E1905">
        <w:t>, o rezultatai</w:t>
      </w:r>
      <w:r w:rsidR="00464CF1">
        <w:t xml:space="preserve"> – </w:t>
      </w:r>
      <w:r w:rsidR="00566E57">
        <w:t>įvertinam</w:t>
      </w:r>
      <w:r w:rsidR="007E1905">
        <w:t>i</w:t>
      </w:r>
      <w:r w:rsidR="00566E57">
        <w:t>, todėl beveik visada garantuoja aukštą paslaugų kokybę.</w:t>
      </w:r>
    </w:p>
    <w:p w:rsidR="00664391" w:rsidRDefault="000B23AB" w:rsidP="005B524E">
      <w:pPr>
        <w:numPr>
          <w:ilvl w:val="0"/>
          <w:numId w:val="22"/>
        </w:numPr>
        <w:suppressAutoHyphens w:val="0"/>
      </w:pPr>
      <w:r w:rsidRPr="000B23AB">
        <w:rPr>
          <w:b/>
        </w:rPr>
        <w:t>aptarnavimo</w:t>
      </w:r>
      <w:r w:rsidR="00895F5C" w:rsidRPr="000B23AB">
        <w:rPr>
          <w:b/>
        </w:rPr>
        <w:t xml:space="preserve"> paslaug</w:t>
      </w:r>
      <w:r w:rsidRPr="000B23AB">
        <w:rPr>
          <w:b/>
        </w:rPr>
        <w:t>ų sutartis</w:t>
      </w:r>
      <w:r>
        <w:t xml:space="preserve"> </w:t>
      </w:r>
      <w:r w:rsidR="00C678C2">
        <w:t>(</w:t>
      </w:r>
      <w:r w:rsidR="00C678C2" w:rsidRPr="00C678C2">
        <w:rPr>
          <w:i/>
        </w:rPr>
        <w:t xml:space="preserve">angl. </w:t>
      </w:r>
      <w:r w:rsidR="00C678C2" w:rsidRPr="007E24CF">
        <w:rPr>
          <w:i/>
          <w:lang w:val="en-US"/>
        </w:rPr>
        <w:t>support services</w:t>
      </w:r>
      <w:r w:rsidR="00C678C2">
        <w:t xml:space="preserve">) </w:t>
      </w:r>
      <w:r>
        <w:t xml:space="preserve">– </w:t>
      </w:r>
      <w:r w:rsidR="007E1905">
        <w:t xml:space="preserve">tai </w:t>
      </w:r>
      <w:r>
        <w:t>sutartis</w:t>
      </w:r>
      <w:r w:rsidR="00895F5C" w:rsidRPr="001D1438">
        <w:t>,</w:t>
      </w:r>
      <w:r>
        <w:t xml:space="preserve"> kurios objektas yra labai platus: nuo pastato </w:t>
      </w:r>
      <w:r w:rsidR="00C678C2">
        <w:t>ar tam tikrų sistemų</w:t>
      </w:r>
      <w:r w:rsidR="00C678C2" w:rsidRPr="00C678C2">
        <w:t xml:space="preserve"> </w:t>
      </w:r>
      <w:r w:rsidR="00C678C2">
        <w:t xml:space="preserve">priežiūros iki </w:t>
      </w:r>
      <w:r>
        <w:t>besimokančiųjų transpo</w:t>
      </w:r>
      <w:r>
        <w:t>r</w:t>
      </w:r>
      <w:r>
        <w:t>tavimo</w:t>
      </w:r>
      <w:r w:rsidR="00C678C2">
        <w:t xml:space="preserve"> į mokymo(si) įstaigą ar</w:t>
      </w:r>
      <w:r>
        <w:t xml:space="preserve"> </w:t>
      </w:r>
      <w:r w:rsidR="003C5FB8">
        <w:t xml:space="preserve">valgyklos </w:t>
      </w:r>
      <w:r>
        <w:t>aptarnavimo</w:t>
      </w:r>
      <w:r w:rsidR="003C5FB8">
        <w:t>.</w:t>
      </w:r>
      <w:r w:rsidR="00A77D17">
        <w:t xml:space="preserve"> </w:t>
      </w:r>
      <w:r w:rsidR="00912320">
        <w:t>Šio tipo paslaugų sutarties sąl</w:t>
      </w:r>
      <w:r w:rsidR="00912320">
        <w:t>y</w:t>
      </w:r>
      <w:r w:rsidR="00912320">
        <w:t>gos taip pat yra lengvai aprašomos, o rezultatai</w:t>
      </w:r>
      <w:r w:rsidR="00464CF1">
        <w:t xml:space="preserve"> – </w:t>
      </w:r>
      <w:r w:rsidR="00912320">
        <w:t>įvertinami, todėl beveik visada gara</w:t>
      </w:r>
      <w:r w:rsidR="00912320">
        <w:t>n</w:t>
      </w:r>
      <w:r w:rsidR="00912320">
        <w:t xml:space="preserve">tuoja aukštą paslaugų kokybę. </w:t>
      </w:r>
      <w:r w:rsidR="00900481">
        <w:t>Be to, šio</w:t>
      </w:r>
      <w:r w:rsidR="00912320">
        <w:t>s</w:t>
      </w:r>
      <w:r w:rsidR="00900481">
        <w:t xml:space="preserve"> sutartys padeda gau</w:t>
      </w:r>
      <w:r w:rsidR="000A51C5">
        <w:t>ti</w:t>
      </w:r>
      <w:r w:rsidR="00900481">
        <w:t xml:space="preserve"> geresn</w:t>
      </w:r>
      <w:r w:rsidR="000A51C5">
        <w:t>ę</w:t>
      </w:r>
      <w:r w:rsidR="00900481">
        <w:t xml:space="preserve"> kokyb</w:t>
      </w:r>
      <w:r w:rsidR="000A51C5">
        <w:t>ę</w:t>
      </w:r>
      <w:r w:rsidR="00900481">
        <w:t xml:space="preserve"> maže</w:t>
      </w:r>
      <w:r w:rsidR="00900481">
        <w:t>s</w:t>
      </w:r>
      <w:r w:rsidR="00900481">
        <w:t>niais kaštais.</w:t>
      </w:r>
    </w:p>
    <w:p w:rsidR="00895F5C" w:rsidRPr="001D1438" w:rsidRDefault="00895F5C" w:rsidP="005B524E">
      <w:pPr>
        <w:numPr>
          <w:ilvl w:val="0"/>
          <w:numId w:val="22"/>
        </w:numPr>
        <w:suppressAutoHyphens w:val="0"/>
      </w:pPr>
      <w:r w:rsidRPr="007D4567">
        <w:rPr>
          <w:b/>
        </w:rPr>
        <w:t>veiklos paslaug</w:t>
      </w:r>
      <w:r w:rsidR="007D4567" w:rsidRPr="007D4567">
        <w:rPr>
          <w:b/>
        </w:rPr>
        <w:t>ų sutartis</w:t>
      </w:r>
      <w:r w:rsidR="007D4567">
        <w:t xml:space="preserve"> (</w:t>
      </w:r>
      <w:r w:rsidR="007D4567" w:rsidRPr="007D4567">
        <w:rPr>
          <w:i/>
        </w:rPr>
        <w:t xml:space="preserve">angl. </w:t>
      </w:r>
      <w:r w:rsidR="007D4567" w:rsidRPr="007E24CF">
        <w:rPr>
          <w:i/>
          <w:lang w:val="en-US"/>
        </w:rPr>
        <w:t>operational services</w:t>
      </w:r>
      <w:r w:rsidR="007D4567">
        <w:t xml:space="preserve">) – </w:t>
      </w:r>
      <w:r w:rsidR="000A51C5">
        <w:t xml:space="preserve">tai sutarties </w:t>
      </w:r>
      <w:r w:rsidR="007D4567">
        <w:t>tipas, kai privatus sektorius perima ne tik įstaigos valdymą, bet ir vis</w:t>
      </w:r>
      <w:r w:rsidR="00C77B05">
        <w:t xml:space="preserve">as kitas susijusias </w:t>
      </w:r>
      <w:r w:rsidR="007D4567">
        <w:t>veikl</w:t>
      </w:r>
      <w:r w:rsidR="00C77B05">
        <w:t>as</w:t>
      </w:r>
      <w:r w:rsidR="005C5766">
        <w:t xml:space="preserve"> (</w:t>
      </w:r>
      <w:r w:rsidR="00082F82">
        <w:t>Pasaulio Bankas</w:t>
      </w:r>
      <w:r w:rsidR="00A56E42">
        <w:t>,</w:t>
      </w:r>
      <w:r w:rsidR="005C5766" w:rsidRPr="005C5766">
        <w:t xml:space="preserve"> 2006</w:t>
      </w:r>
      <w:r w:rsidR="005C5766">
        <w:rPr>
          <w:rFonts w:ascii="Minion-Regular" w:eastAsia="Times New Roman" w:hAnsi="Minion-Regular" w:cs="Minion-Regular"/>
          <w:kern w:val="0"/>
          <w:sz w:val="20"/>
          <w:szCs w:val="20"/>
        </w:rPr>
        <w:t>)</w:t>
      </w:r>
      <w:r w:rsidR="007D4567">
        <w:t xml:space="preserve">. </w:t>
      </w:r>
    </w:p>
    <w:p w:rsidR="00895F5C" w:rsidRPr="001D1438" w:rsidRDefault="00895F5C" w:rsidP="005B524E">
      <w:pPr>
        <w:numPr>
          <w:ilvl w:val="0"/>
          <w:numId w:val="22"/>
        </w:numPr>
        <w:suppressAutoHyphens w:val="0"/>
      </w:pPr>
      <w:r w:rsidRPr="00A739C6">
        <w:rPr>
          <w:b/>
        </w:rPr>
        <w:t>švietimo paslaug</w:t>
      </w:r>
      <w:r w:rsidR="00A739C6" w:rsidRPr="00A739C6">
        <w:rPr>
          <w:b/>
        </w:rPr>
        <w:t>ų sutartis</w:t>
      </w:r>
      <w:r w:rsidR="00A739C6">
        <w:t xml:space="preserve"> (</w:t>
      </w:r>
      <w:r w:rsidR="00A739C6" w:rsidRPr="00A739C6">
        <w:rPr>
          <w:i/>
        </w:rPr>
        <w:t xml:space="preserve">angl. </w:t>
      </w:r>
      <w:r w:rsidR="00A739C6" w:rsidRPr="007E24CF">
        <w:rPr>
          <w:i/>
          <w:lang w:val="en-US"/>
        </w:rPr>
        <w:t>education services</w:t>
      </w:r>
      <w:r w:rsidR="00A739C6">
        <w:t>)</w:t>
      </w:r>
      <w:r w:rsidR="00E95BF6">
        <w:t xml:space="preserve"> – </w:t>
      </w:r>
      <w:r w:rsidR="000A51C5">
        <w:t xml:space="preserve">tai </w:t>
      </w:r>
      <w:r w:rsidR="00E95BF6">
        <w:t xml:space="preserve">sutarties tipas, kai privatus sektorius vietoje studento sumoka dalį ar visą mokymo(si) išlaidų sumą. Šis sutarčių tipas yra aktualus </w:t>
      </w:r>
      <w:r w:rsidR="00E95BF6" w:rsidRPr="00E95BF6">
        <w:t>mažai pasiturinti</w:t>
      </w:r>
      <w:r w:rsidR="00E95BF6">
        <w:t>em</w:t>
      </w:r>
      <w:r w:rsidR="00E95BF6" w:rsidRPr="00E95BF6">
        <w:t>s</w:t>
      </w:r>
      <w:r w:rsidR="00E95BF6">
        <w:t xml:space="preserve">, neįgaliems ir kitiems </w:t>
      </w:r>
      <w:r w:rsidR="00E95BF6" w:rsidRPr="00CD0C3B">
        <w:t>„</w:t>
      </w:r>
      <w:r w:rsidR="00E95BF6">
        <w:t>sunkiems</w:t>
      </w:r>
      <w:r w:rsidR="00E95BF6" w:rsidRPr="001D1438">
        <w:t>“</w:t>
      </w:r>
      <w:r w:rsidR="00E95BF6">
        <w:t xml:space="preserve"> studentams, nes da</w:t>
      </w:r>
      <w:r w:rsidR="00E95BF6">
        <w:t>ž</w:t>
      </w:r>
      <w:r w:rsidR="00E95BF6">
        <w:t xml:space="preserve">nai pati švietimo įstaiga neturi galimybės paremti </w:t>
      </w:r>
      <w:r w:rsidR="000A51C5">
        <w:t>tokių</w:t>
      </w:r>
      <w:r w:rsidR="00E95BF6">
        <w:t xml:space="preserve"> student</w:t>
      </w:r>
      <w:r w:rsidR="000A51C5">
        <w:t>ų</w:t>
      </w:r>
      <w:r w:rsidR="00E95BF6">
        <w:t>.</w:t>
      </w:r>
    </w:p>
    <w:p w:rsidR="00F632AC" w:rsidRDefault="00895F5C" w:rsidP="005B524E">
      <w:pPr>
        <w:numPr>
          <w:ilvl w:val="0"/>
          <w:numId w:val="22"/>
        </w:numPr>
        <w:suppressAutoHyphens w:val="0"/>
      </w:pPr>
      <w:r w:rsidRPr="00B76B90">
        <w:rPr>
          <w:b/>
        </w:rPr>
        <w:t>įrangos suteikimo paslaug</w:t>
      </w:r>
      <w:r w:rsidR="00B76B90" w:rsidRPr="00B76B90">
        <w:rPr>
          <w:b/>
        </w:rPr>
        <w:t>ų sutartis</w:t>
      </w:r>
      <w:r w:rsidR="00B76B90">
        <w:t xml:space="preserve"> (</w:t>
      </w:r>
      <w:r w:rsidR="00B76B90" w:rsidRPr="00B76B90">
        <w:rPr>
          <w:i/>
        </w:rPr>
        <w:t xml:space="preserve">angl. </w:t>
      </w:r>
      <w:r w:rsidR="00B76B90" w:rsidRPr="007E24CF">
        <w:rPr>
          <w:i/>
          <w:lang w:val="en-US"/>
        </w:rPr>
        <w:t>facility availability</w:t>
      </w:r>
      <w:r w:rsidR="00B76B90">
        <w:t>)</w:t>
      </w:r>
      <w:r w:rsidR="00A54067">
        <w:t xml:space="preserve"> </w:t>
      </w:r>
      <w:r w:rsidR="00141253">
        <w:t>–</w:t>
      </w:r>
      <w:r w:rsidR="00A54067">
        <w:t xml:space="preserve"> </w:t>
      </w:r>
      <w:r w:rsidR="000A51C5">
        <w:t xml:space="preserve">tai </w:t>
      </w:r>
      <w:r w:rsidR="00141253">
        <w:t>sutartis</w:t>
      </w:r>
      <w:r w:rsidR="000A51C5">
        <w:t>, kurios o</w:t>
      </w:r>
      <w:r w:rsidR="000A51C5">
        <w:t>b</w:t>
      </w:r>
      <w:r w:rsidR="000A51C5">
        <w:t xml:space="preserve">jektas yra </w:t>
      </w:r>
      <w:r w:rsidR="00141253">
        <w:t xml:space="preserve">įrangos nuoma ar </w:t>
      </w:r>
      <w:r w:rsidR="000A51C5">
        <w:t xml:space="preserve">jos </w:t>
      </w:r>
      <w:r w:rsidR="00141253">
        <w:t>nemokam</w:t>
      </w:r>
      <w:r w:rsidR="00F632AC">
        <w:t>as</w:t>
      </w:r>
      <w:r w:rsidR="00141253">
        <w:t xml:space="preserve"> suteikimas švietimo ir mokslo įstaigoms.</w:t>
      </w:r>
      <w:r w:rsidRPr="001D1438">
        <w:t xml:space="preserve"> </w:t>
      </w:r>
    </w:p>
    <w:p w:rsidR="00BF2601" w:rsidRPr="00F632AC" w:rsidRDefault="00895F5C" w:rsidP="005B524E">
      <w:pPr>
        <w:numPr>
          <w:ilvl w:val="0"/>
          <w:numId w:val="22"/>
        </w:numPr>
        <w:suppressAutoHyphens w:val="0"/>
      </w:pPr>
      <w:r w:rsidRPr="00F632AC">
        <w:rPr>
          <w:b/>
        </w:rPr>
        <w:t>kombinuot</w:t>
      </w:r>
      <w:r w:rsidR="00F632AC" w:rsidRPr="00F632AC">
        <w:rPr>
          <w:b/>
        </w:rPr>
        <w:t>a</w:t>
      </w:r>
      <w:r w:rsidRPr="00F632AC">
        <w:rPr>
          <w:b/>
        </w:rPr>
        <w:t xml:space="preserve"> įrango</w:t>
      </w:r>
      <w:r w:rsidR="00F632AC" w:rsidRPr="00F632AC">
        <w:rPr>
          <w:b/>
        </w:rPr>
        <w:t>s suteikimo ir švietimo paslaugų sutartis</w:t>
      </w:r>
      <w:r w:rsidR="00F632AC">
        <w:t xml:space="preserve"> </w:t>
      </w:r>
      <w:r w:rsidR="00F632AC" w:rsidRPr="00F632AC">
        <w:t>(</w:t>
      </w:r>
      <w:r w:rsidR="00F632AC" w:rsidRPr="009C1AB8">
        <w:rPr>
          <w:i/>
        </w:rPr>
        <w:t xml:space="preserve">angl. </w:t>
      </w:r>
      <w:r w:rsidR="009C1AB8" w:rsidRPr="007E24CF">
        <w:rPr>
          <w:i/>
          <w:lang w:val="en-US"/>
        </w:rPr>
        <w:t>b</w:t>
      </w:r>
      <w:r w:rsidR="00F632AC" w:rsidRPr="007E24CF">
        <w:rPr>
          <w:i/>
          <w:lang w:val="en-US"/>
        </w:rPr>
        <w:t>oth facility avai</w:t>
      </w:r>
      <w:r w:rsidR="00F632AC" w:rsidRPr="007E24CF">
        <w:rPr>
          <w:i/>
          <w:lang w:val="en-US"/>
        </w:rPr>
        <w:t>l</w:t>
      </w:r>
      <w:r w:rsidR="00F632AC" w:rsidRPr="007E24CF">
        <w:rPr>
          <w:i/>
          <w:lang w:val="en-US"/>
        </w:rPr>
        <w:t>ability and education services</w:t>
      </w:r>
      <w:r w:rsidR="00F632AC" w:rsidRPr="007E24CF">
        <w:rPr>
          <w:lang w:val="en-US"/>
        </w:rPr>
        <w:t>)</w:t>
      </w:r>
      <w:r w:rsidR="00CB0117" w:rsidRPr="007E24CF">
        <w:rPr>
          <w:lang w:val="en-US"/>
        </w:rPr>
        <w:t>.</w:t>
      </w:r>
    </w:p>
    <w:p w:rsidR="00BF2601" w:rsidRPr="004B34AF" w:rsidRDefault="004B34AF" w:rsidP="005B524E">
      <w:pPr>
        <w:pStyle w:val="Heading2"/>
        <w:suppressAutoHyphens w:val="0"/>
      </w:pPr>
      <w:bookmarkStart w:id="27" w:name="_Toc248687465"/>
      <w:bookmarkStart w:id="28" w:name="_Toc251011254"/>
      <w:r w:rsidRPr="004B34AF">
        <w:t>Viešojo ir privataus sektorių</w:t>
      </w:r>
      <w:r w:rsidR="00BF2601" w:rsidRPr="004B34AF">
        <w:t xml:space="preserve"> partnerystė Lietuvoje ir jos poreikis</w:t>
      </w:r>
      <w:bookmarkEnd w:id="27"/>
      <w:bookmarkEnd w:id="28"/>
    </w:p>
    <w:p w:rsidR="00BF2601" w:rsidRDefault="00BF2601" w:rsidP="005B524E">
      <w:pPr>
        <w:suppressAutoHyphens w:val="0"/>
      </w:pPr>
      <w:r w:rsidRPr="00CD0C3B">
        <w:t>Poreikis vykdyti projektus, kuriuose viešasis sektor</w:t>
      </w:r>
      <w:r>
        <w:t>ius bendradarbiauja su privačiu</w:t>
      </w:r>
      <w:r w:rsidR="000A51C5">
        <w:t>,</w:t>
      </w:r>
      <w:r w:rsidRPr="00CD0C3B">
        <w:t xml:space="preserve"> yra aktualus ir reikšmingas Lietuvos valstybei, jos centrinės vykdomosios valdžios ir savival</w:t>
      </w:r>
      <w:r>
        <w:t>dos institucijoms, piliečiams, t</w:t>
      </w:r>
      <w:r w:rsidRPr="00CD0C3B">
        <w:t xml:space="preserve">ačiau šis procesas Lietuvoje </w:t>
      </w:r>
      <w:r>
        <w:t>yra nepakankamai reglamentuotas</w:t>
      </w:r>
      <w:r w:rsidRPr="00CD0C3B">
        <w:t xml:space="preserve"> </w:t>
      </w:r>
      <w:r w:rsidRPr="001D1438">
        <w:t>(LR Valstybinis auditas, 2008)</w:t>
      </w:r>
      <w:r w:rsidRPr="0033482C">
        <w:t>.</w:t>
      </w:r>
      <w:r>
        <w:t xml:space="preserve"> </w:t>
      </w:r>
      <w:r w:rsidRPr="00CD0C3B">
        <w:t>Viešajam sektoriui neleidžia</w:t>
      </w:r>
      <w:r w:rsidR="000A51C5">
        <w:t>ma</w:t>
      </w:r>
      <w:r w:rsidRPr="00CD0C3B">
        <w:t xml:space="preserve"> įgyvendinti svarbių valstybei ir visuomenei projektų, o </w:t>
      </w:r>
      <w:r w:rsidR="00E95BF6" w:rsidRPr="00CD0C3B">
        <w:t>„</w:t>
      </w:r>
      <w:r w:rsidRPr="00CD0C3B">
        <w:t>ga</w:t>
      </w:r>
      <w:r w:rsidRPr="00CD0C3B">
        <w:t>u</w:t>
      </w:r>
      <w:r w:rsidRPr="00CD0C3B">
        <w:t>siausia VPSP projektų inicijavimu suinteresuota subjektų grupė – savivaldybės – tiksliai nežino, kokie projektai priskirtini VPSP</w:t>
      </w:r>
      <w:r w:rsidRPr="001D1438">
        <w:t xml:space="preserve">“ </w:t>
      </w:r>
      <w:r>
        <w:t>(</w:t>
      </w:r>
      <w:r w:rsidRPr="00277CAE">
        <w:t>Paunksnis</w:t>
      </w:r>
      <w:r>
        <w:t xml:space="preserve">, 2004) </w:t>
      </w:r>
      <w:r w:rsidRPr="00CD0C3B">
        <w:t>.</w:t>
      </w:r>
    </w:p>
    <w:p w:rsidR="00BF2601" w:rsidRPr="00CD0C3B" w:rsidRDefault="00E95BF6" w:rsidP="005B524E">
      <w:pPr>
        <w:suppressAutoHyphens w:val="0"/>
      </w:pPr>
      <w:r w:rsidRPr="00CD0C3B">
        <w:t>„</w:t>
      </w:r>
      <w:r w:rsidR="00BF2601" w:rsidRPr="0033482C">
        <w:t>Viešojo ir privataus sektorių partnerystės projektai, kurie apimtų tam tikrą sektorių valstybės mastu ir kuriuose viešajam sektoriui atstovautų centrinės vykdomosios valdžios institucijos, o pagri</w:t>
      </w:r>
      <w:r w:rsidR="00BF2601" w:rsidRPr="0033482C">
        <w:t>n</w:t>
      </w:r>
      <w:r w:rsidR="00BF2601" w:rsidRPr="0033482C">
        <w:t>dines privataus sektoriaus pajamas juose sudarytų viešojo subjekto mokėjimai</w:t>
      </w:r>
      <w:r w:rsidR="00BF2601">
        <w:t xml:space="preserve"> </w:t>
      </w:r>
      <w:r w:rsidR="00BF2601" w:rsidRPr="0033482C">
        <w:t xml:space="preserve">Lietuvoje iki šiol nėra </w:t>
      </w:r>
      <w:r w:rsidR="00BF2601" w:rsidRPr="0033482C">
        <w:lastRenderedPageBreak/>
        <w:t>vykdomi</w:t>
      </w:r>
      <w:r w:rsidR="00BF2601" w:rsidRPr="001D1438">
        <w:t>“</w:t>
      </w:r>
      <w:r w:rsidR="00BF2601">
        <w:t xml:space="preserve"> </w:t>
      </w:r>
      <w:r w:rsidR="00BF2601" w:rsidRPr="001D1438">
        <w:t>(LR Valstybinis auditas, 2008)</w:t>
      </w:r>
      <w:r w:rsidR="00BF2601">
        <w:t>, todėl</w:t>
      </w:r>
      <w:r w:rsidR="000A51C5">
        <w:t>,</w:t>
      </w:r>
      <w:r w:rsidR="00BF2601">
        <w:t xml:space="preserve"> s</w:t>
      </w:r>
      <w:r w:rsidR="00BF2601" w:rsidRPr="00CD0C3B">
        <w:t>iekiant skatinti bendrą partnerystės strategiją ir politiką, centrinės valdžios lygiu centralizuoti VPSP plėtros proceso priežiūrą ir paramą, Finansų ministerijos Valstybės iždo departamente įsteigtas Viešojo ir privataus sektorių partnerystės projektų valdymo ir koordinavimo skyrius parengė Vyriausybės nutarimo „Dėl Viešojo ir privataus sektorių partnerystės vystymo Lietuvoje koncepcijos“ projektą, kuriame pateikė VPSP apibrėžimą ir esminius partnerystės požymius bei pasiūlė sukurti VPSP procesą reglamentuojančią teisinę bazę. Šį projektą Finansų ministerija 2005</w:t>
      </w:r>
      <w:r w:rsidR="00BF2601">
        <w:t xml:space="preserve"> m. rugsėjo 12 d. </w:t>
      </w:r>
      <w:r w:rsidR="00BF2601" w:rsidRPr="00CD0C3B">
        <w:t>raštu pateikė derinimui valstybės institucijoms bei asociju</w:t>
      </w:r>
      <w:r w:rsidR="00BF2601" w:rsidRPr="00CD0C3B">
        <w:t>o</w:t>
      </w:r>
      <w:r w:rsidR="00BF2601" w:rsidRPr="00CD0C3B">
        <w:t>tiems nariams (tarp jų – Vyriausybės kanceliarijai). Praėjus daugiau kaip dvejiems metams minėtas projektas n</w:t>
      </w:r>
      <w:r w:rsidR="00BF2601">
        <w:t xml:space="preserve">ebuvo priimtas, o vėliau skyrius buvo panaikintas, o skyriaus veikla perduota kitoms institucijoms (pvz. </w:t>
      </w:r>
      <w:r w:rsidR="00BF2601" w:rsidRPr="00044CB9">
        <w:t>Centrin</w:t>
      </w:r>
      <w:r w:rsidR="000A51C5">
        <w:t>ei</w:t>
      </w:r>
      <w:r w:rsidR="00BF2601" w:rsidRPr="00044CB9">
        <w:t xml:space="preserve"> projektų valdymo agentūra</w:t>
      </w:r>
      <w:r w:rsidR="00BF2601">
        <w:t>i)</w:t>
      </w:r>
      <w:r w:rsidR="000A51C5">
        <w:t>.</w:t>
      </w:r>
    </w:p>
    <w:p w:rsidR="009A7DAF" w:rsidRDefault="00BF2601" w:rsidP="005B524E">
      <w:pPr>
        <w:suppressAutoHyphens w:val="0"/>
      </w:pPr>
      <w:r w:rsidRPr="00CD0C3B">
        <w:t>Atsižvelgdama į esamus poreikius papildomai reglamentuoti</w:t>
      </w:r>
      <w:r>
        <w:t xml:space="preserve"> VPSP, Finansų ministerija 2007 m. sausio 1</w:t>
      </w:r>
      <w:r w:rsidRPr="00CD0C3B">
        <w:t>8</w:t>
      </w:r>
      <w:r>
        <w:t xml:space="preserve"> d.</w:t>
      </w:r>
      <w:r w:rsidRPr="00CD0C3B">
        <w:t xml:space="preserve"> pateikė valstybės institucijoms derinti Investicijų įstatymo pakeitimo ir papildym</w:t>
      </w:r>
      <w:r>
        <w:t>o įstat</w:t>
      </w:r>
      <w:r>
        <w:t>y</w:t>
      </w:r>
      <w:r>
        <w:t>mo, o vėliau (2007 m. liepos 28 d.</w:t>
      </w:r>
      <w:r w:rsidRPr="00CD0C3B">
        <w:t>) – Investicijų, Vietos savivaldos ir Žemės įstatymų pakeitimų įstatymų projektus. Investicijų įstatymo pakeitimo tikslas – reglamentuoti naują VPSP formą, kai privataus sektoriaus subjektas investuoja į valdžios sektoriaus funkcijoms priskirtas veiklos sritis ir vykdo tose srityse veiklą, už kurią jam atlyginimą moka valdžios sektoriaus subjektas.</w:t>
      </w:r>
      <w:r w:rsidR="009A7DAF">
        <w:t xml:space="preserve"> </w:t>
      </w:r>
      <w:r w:rsidR="00583633">
        <w:t>Nuo 2010 m. sausio mėn. šie pakeitimai įsigalios LR teisės aktuose.</w:t>
      </w:r>
    </w:p>
    <w:p w:rsidR="006C4D6A" w:rsidRDefault="009A7DAF" w:rsidP="005B524E">
      <w:pPr>
        <w:suppressAutoHyphens w:val="0"/>
      </w:pPr>
      <w:r w:rsidRPr="009A7DAF">
        <w:t xml:space="preserve">Tarptautiniai auditoriai PricewaterhouseCoopers (2008) savo </w:t>
      </w:r>
      <w:r w:rsidR="00B96EE7">
        <w:t>išvad</w:t>
      </w:r>
      <w:r w:rsidRPr="009A7DAF">
        <w:t>ose pabrėžia</w:t>
      </w:r>
      <w:r w:rsidR="00B96EE7">
        <w:t>, kad Lietuvoje šiuo metu tik diskutuojamos VPSP galimybės. Kaip prio</w:t>
      </w:r>
      <w:r w:rsidR="00F15E75">
        <w:t>rite</w:t>
      </w:r>
      <w:r w:rsidR="00B96EE7">
        <w:t xml:space="preserve">tinės kryptys yra </w:t>
      </w:r>
      <w:r w:rsidR="00F15E75">
        <w:t>nurodamos</w:t>
      </w:r>
      <w:r w:rsidR="00B96EE7">
        <w:t xml:space="preserve">: geležinkelio, vandens komunikacijų ir atliekų tvarkymo, švietimo, sporto bei sveikatos apsaugos projektai (žr. </w:t>
      </w:r>
      <w:r w:rsidR="00B96EE7" w:rsidRPr="00583633">
        <w:rPr>
          <w:b/>
        </w:rPr>
        <w:t xml:space="preserve">Lentelė </w:t>
      </w:r>
      <w:r w:rsidR="00583633" w:rsidRPr="00583633">
        <w:rPr>
          <w:b/>
        </w:rPr>
        <w:t>3</w:t>
      </w:r>
      <w:r w:rsidR="00B96EE7">
        <w:t xml:space="preserve">). </w:t>
      </w:r>
    </w:p>
    <w:p w:rsidR="000D43A3" w:rsidRDefault="000D43A3" w:rsidP="005B524E">
      <w:pPr>
        <w:suppressAutoHyphens w:val="0"/>
      </w:pPr>
      <w:r>
        <w:t xml:space="preserve">Būtina pažymėti, kad keičiasi ne tik </w:t>
      </w:r>
      <w:r w:rsidRPr="00CD0C3B">
        <w:t>VPSP reglamentuojančią teisinę bazę</w:t>
      </w:r>
      <w:r>
        <w:t>, bet ir švietimo ir mokslo sistemą reglamentuojantys įstatymai. Nauji įstatymai sudaro prielaidas švietimo ir mokslo rinkos kūrimuisi. Iki 2011 m. gruodžio 31 d.</w:t>
      </w:r>
      <w:r w:rsidRPr="00CC1A00">
        <w:t xml:space="preserve"> </w:t>
      </w:r>
      <w:r w:rsidRPr="008A30B7">
        <w:t>Mokslo ir studijų įstatymas</w:t>
      </w:r>
      <w:r>
        <w:t xml:space="preserve"> (</w:t>
      </w:r>
      <w:proofErr w:type="spellStart"/>
      <w:r>
        <w:t>Žin</w:t>
      </w:r>
      <w:proofErr w:type="spellEnd"/>
      <w:r>
        <w:t>.,</w:t>
      </w:r>
      <w:r w:rsidRPr="008A30B7">
        <w:t xml:space="preserve"> 2009-05-12, Nr. 54-2140</w:t>
      </w:r>
      <w:r>
        <w:t>)</w:t>
      </w:r>
      <w:r w:rsidRPr="00CC1A00">
        <w:t xml:space="preserve"> numato</w:t>
      </w:r>
      <w:r>
        <w:t xml:space="preserve"> </w:t>
      </w:r>
      <w:r w:rsidRPr="00CC1A00">
        <w:t>ir aukštųjų mokyklų valdymo kaitą</w:t>
      </w:r>
      <w:r>
        <w:t xml:space="preserve"> – </w:t>
      </w:r>
      <w:r w:rsidRPr="00CC1A00">
        <w:t xml:space="preserve">universitetų valdymą iš Senato ketinama atiduoti iš aukštosios mokyklos tarybai. Aukštosioms mokykloms suteikiama </w:t>
      </w:r>
      <w:r>
        <w:t xml:space="preserve">dar didesnė </w:t>
      </w:r>
      <w:r w:rsidRPr="00CC1A00">
        <w:t>autonomija – iš biudž</w:t>
      </w:r>
      <w:r w:rsidRPr="00CC1A00">
        <w:t>e</w:t>
      </w:r>
      <w:r w:rsidRPr="00CC1A00">
        <w:t>tinių jos taps viešosiomis įstaigomis.</w:t>
      </w:r>
      <w:r>
        <w:t xml:space="preserve"> </w:t>
      </w:r>
      <w:r w:rsidRPr="00CC1A00">
        <w:t>Ši autonomija apims laisvę pačioms aukštosioms mokykloms nusistatyti studijų programas ir studijų turinį, mokslo veiklos kryptis, vidaus struktūrą, personalo politiką, taip pat teisę disponuoti įsigytu ir va</w:t>
      </w:r>
      <w:r>
        <w:t>lstybės patikėtu turtu bei laisvę pasirinkti partnerius tiek iš viešojo sektoriaus, tiek iš privataus.</w:t>
      </w:r>
    </w:p>
    <w:p w:rsidR="000D43A3" w:rsidRDefault="000D43A3" w:rsidP="005B524E">
      <w:pPr>
        <w:suppressAutoHyphens w:val="0"/>
        <w:ind w:firstLine="432"/>
      </w:pPr>
      <w:r>
        <w:t xml:space="preserve">Anot </w:t>
      </w:r>
      <w:r w:rsidRPr="002670C8">
        <w:rPr>
          <w:rFonts w:eastAsia="Times New Roman" w:cs="TimesLT"/>
          <w:bCs/>
          <w:kern w:val="0"/>
          <w:lang w:bidi="en-US"/>
        </w:rPr>
        <w:t>Gudelio ir</w:t>
      </w:r>
      <w:r w:rsidRPr="001D1438">
        <w:rPr>
          <w:rFonts w:eastAsia="Times New Roman" w:cs="TimesLT"/>
          <w:bCs/>
          <w:kern w:val="0"/>
          <w:lang w:bidi="en-US"/>
        </w:rPr>
        <w:t xml:space="preserve"> </w:t>
      </w:r>
      <w:r w:rsidRPr="002670C8">
        <w:rPr>
          <w:rFonts w:eastAsia="Times New Roman" w:cs="TimesLT"/>
          <w:bCs/>
          <w:kern w:val="0"/>
          <w:lang w:bidi="en-US"/>
        </w:rPr>
        <w:t>Rozenbergait</w:t>
      </w:r>
      <w:r>
        <w:rPr>
          <w:rFonts w:eastAsia="Times New Roman" w:cs="TimesLT"/>
          <w:bCs/>
          <w:kern w:val="0"/>
          <w:lang w:bidi="en-US"/>
        </w:rPr>
        <w:t>ės</w:t>
      </w:r>
      <w:r w:rsidRPr="008D5D55">
        <w:rPr>
          <w:rFonts w:eastAsia="Times New Roman" w:cs="TimesLT"/>
          <w:bCs/>
          <w:kern w:val="0"/>
          <w:lang w:bidi="en-US"/>
        </w:rPr>
        <w:t xml:space="preserve"> (</w:t>
      </w:r>
      <w:r w:rsidRPr="001D1438">
        <w:rPr>
          <w:rFonts w:eastAsia="Times New Roman" w:cs="TimesLT"/>
          <w:bCs/>
          <w:kern w:val="0"/>
          <w:lang w:bidi="en-US"/>
        </w:rPr>
        <w:t>200</w:t>
      </w:r>
      <w:r w:rsidRPr="008D5D55">
        <w:rPr>
          <w:rFonts w:eastAsia="Times New Roman" w:cs="TimesLT"/>
          <w:bCs/>
          <w:kern w:val="0"/>
          <w:lang w:bidi="en-US"/>
        </w:rPr>
        <w:t>4)</w:t>
      </w:r>
      <w:r>
        <w:rPr>
          <w:rFonts w:eastAsia="Times New Roman" w:cs="TimesLT"/>
          <w:bCs/>
          <w:kern w:val="0"/>
          <w:lang w:bidi="en-US"/>
        </w:rPr>
        <w:t xml:space="preserve">, </w:t>
      </w:r>
      <w:r>
        <w:t>Lietuvoje viešojo ir privataus sektorių partnerystės gal</w:t>
      </w:r>
      <w:r>
        <w:t>i</w:t>
      </w:r>
      <w:r>
        <w:t>mybės būtų panaudojamos geriau, jeigu „Lietuvos Vyriausybė formuotų ir įgyvendintų nuoseklią viešojo ir privataus sektorių partnerystės plėtros politiką: kurtų viešojo ir privataus sektorių partnery</w:t>
      </w:r>
      <w:r>
        <w:t>s</w:t>
      </w:r>
      <w:r>
        <w:t xml:space="preserve">tei palankią teisinę aplinką, konsultuotų pavaldžias institucijas ir savivaldybes apie viešojo ir privataus </w:t>
      </w:r>
      <w:r>
        <w:lastRenderedPageBreak/>
        <w:t>sektorių partnerystės galimybes, sukurtų partnerystės projektų efektyvumo ir veiksmingumo įvertinimo mechanizmus“.</w:t>
      </w:r>
    </w:p>
    <w:p w:rsidR="00B96EE7" w:rsidRPr="00F91B0F" w:rsidRDefault="00B96EE7" w:rsidP="005B524E">
      <w:pPr>
        <w:pStyle w:val="Caption"/>
        <w:suppressAutoHyphens w:val="0"/>
      </w:pPr>
      <w:bookmarkStart w:id="29" w:name="_Toc119509738"/>
      <w:bookmarkStart w:id="30" w:name="_Toc248866371"/>
      <w:r w:rsidRPr="00F91B0F">
        <w:t xml:space="preserve">Lentelė </w:t>
      </w:r>
      <w:r w:rsidR="009A186D" w:rsidRPr="00F91B0F">
        <w:fldChar w:fldCharType="begin"/>
      </w:r>
      <w:r w:rsidRPr="00F91B0F">
        <w:instrText xml:space="preserve"> SEQ Lentelė \* ARABIC </w:instrText>
      </w:r>
      <w:r w:rsidR="009A186D" w:rsidRPr="00F91B0F">
        <w:fldChar w:fldCharType="separate"/>
      </w:r>
      <w:r w:rsidR="00E32C21">
        <w:rPr>
          <w:noProof/>
        </w:rPr>
        <w:t>3</w:t>
      </w:r>
      <w:r w:rsidR="009A186D" w:rsidRPr="00F91B0F">
        <w:fldChar w:fldCharType="end"/>
      </w:r>
      <w:r w:rsidRPr="00F91B0F">
        <w:t xml:space="preserve"> VPSP būsena ir aktyvumas pagal šalį ir sektorių</w:t>
      </w:r>
      <w:bookmarkEnd w:id="29"/>
      <w:bookmarkEnd w:id="30"/>
    </w:p>
    <w:tbl>
      <w:tblPr>
        <w:tblStyle w:val="TableGrid"/>
        <w:tblW w:w="5000" w:type="pct"/>
        <w:tblLook w:val="00BF"/>
      </w:tblPr>
      <w:tblGrid>
        <w:gridCol w:w="1431"/>
        <w:gridCol w:w="659"/>
        <w:gridCol w:w="659"/>
        <w:gridCol w:w="790"/>
        <w:gridCol w:w="659"/>
        <w:gridCol w:w="660"/>
        <w:gridCol w:w="660"/>
        <w:gridCol w:w="660"/>
        <w:gridCol w:w="660"/>
        <w:gridCol w:w="660"/>
        <w:gridCol w:w="660"/>
        <w:gridCol w:w="660"/>
        <w:gridCol w:w="660"/>
        <w:gridCol w:w="658"/>
      </w:tblGrid>
      <w:tr w:rsidR="00F850C8" w:rsidRPr="0042021D">
        <w:trPr>
          <w:cantSplit/>
          <w:trHeight w:val="1710"/>
        </w:trPr>
        <w:tc>
          <w:tcPr>
            <w:tcW w:w="711"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p>
        </w:tc>
        <w:tc>
          <w:tcPr>
            <w:tcW w:w="330" w:type="pct"/>
            <w:tcBorders>
              <w:bottom w:val="single" w:sz="4" w:space="0" w:color="000000"/>
            </w:tcBorders>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Keliai</w:t>
            </w:r>
          </w:p>
        </w:tc>
        <w:tc>
          <w:tcPr>
            <w:tcW w:w="330"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Geležinkeliai</w:t>
            </w:r>
          </w:p>
        </w:tc>
        <w:tc>
          <w:tcPr>
            <w:tcW w:w="330"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 xml:space="preserve">Miesto </w:t>
            </w:r>
            <w:r w:rsidR="005557AA">
              <w:rPr>
                <w:b/>
                <w:color w:val="FFFFFF" w:themeColor="background1"/>
              </w:rPr>
              <w:br/>
            </w:r>
            <w:r w:rsidRPr="009C1A6C">
              <w:rPr>
                <w:b/>
                <w:color w:val="FFFFFF" w:themeColor="background1"/>
              </w:rPr>
              <w:t>geležinkeliai</w:t>
            </w:r>
          </w:p>
        </w:tc>
        <w:tc>
          <w:tcPr>
            <w:tcW w:w="330"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Oro uostai</w:t>
            </w:r>
          </w:p>
        </w:tc>
        <w:tc>
          <w:tcPr>
            <w:tcW w:w="330"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Uostai</w:t>
            </w:r>
          </w:p>
        </w:tc>
        <w:tc>
          <w:tcPr>
            <w:tcW w:w="330"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Vanduo ir atliekos</w:t>
            </w:r>
          </w:p>
        </w:tc>
        <w:tc>
          <w:tcPr>
            <w:tcW w:w="330"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Gyvenamieji namai</w:t>
            </w:r>
          </w:p>
        </w:tc>
        <w:tc>
          <w:tcPr>
            <w:tcW w:w="330"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Apgyvend</w:t>
            </w:r>
            <w:r w:rsidRPr="009C1A6C">
              <w:rPr>
                <w:b/>
                <w:color w:val="FFFFFF" w:themeColor="background1"/>
              </w:rPr>
              <w:t>i</w:t>
            </w:r>
            <w:r w:rsidRPr="009C1A6C">
              <w:rPr>
                <w:b/>
                <w:color w:val="FFFFFF" w:themeColor="background1"/>
              </w:rPr>
              <w:t>nimas</w:t>
            </w:r>
          </w:p>
        </w:tc>
        <w:tc>
          <w:tcPr>
            <w:tcW w:w="330"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Krašto a</w:t>
            </w:r>
            <w:r w:rsidRPr="009C1A6C">
              <w:rPr>
                <w:b/>
                <w:color w:val="FFFFFF" w:themeColor="background1"/>
              </w:rPr>
              <w:t>p</w:t>
            </w:r>
            <w:r w:rsidRPr="009C1A6C">
              <w:rPr>
                <w:b/>
                <w:color w:val="FFFFFF" w:themeColor="background1"/>
              </w:rPr>
              <w:t>sauga</w:t>
            </w:r>
          </w:p>
        </w:tc>
        <w:tc>
          <w:tcPr>
            <w:tcW w:w="330"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Sveikatos apsauga</w:t>
            </w:r>
          </w:p>
        </w:tc>
        <w:tc>
          <w:tcPr>
            <w:tcW w:w="330" w:type="pct"/>
            <w:shd w:val="clear" w:color="auto" w:fill="1F497D" w:themeFill="text2"/>
            <w:textDirection w:val="btLr"/>
            <w:vAlign w:val="center"/>
          </w:tcPr>
          <w:p w:rsidR="007F45C8" w:rsidRPr="009C1A6C" w:rsidRDefault="0042021D" w:rsidP="005B524E">
            <w:pPr>
              <w:suppressAutoHyphens w:val="0"/>
              <w:spacing w:line="240" w:lineRule="auto"/>
              <w:ind w:left="113" w:right="113" w:firstLine="0"/>
              <w:jc w:val="center"/>
              <w:rPr>
                <w:b/>
                <w:color w:val="FFFFFF" w:themeColor="background1"/>
              </w:rPr>
            </w:pPr>
            <w:r w:rsidRPr="009C1A6C">
              <w:rPr>
                <w:b/>
                <w:color w:val="FFFFFF" w:themeColor="background1"/>
              </w:rPr>
              <w:t>Kalėjimai</w:t>
            </w:r>
          </w:p>
        </w:tc>
        <w:tc>
          <w:tcPr>
            <w:tcW w:w="330"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Švietimas</w:t>
            </w:r>
          </w:p>
        </w:tc>
        <w:tc>
          <w:tcPr>
            <w:tcW w:w="329" w:type="pct"/>
            <w:shd w:val="clear" w:color="auto" w:fill="1F497D" w:themeFill="text2"/>
            <w:textDirection w:val="btLr"/>
            <w:vAlign w:val="center"/>
          </w:tcPr>
          <w:p w:rsidR="007F45C8" w:rsidRPr="009C1A6C" w:rsidRDefault="007F45C8" w:rsidP="005B524E">
            <w:pPr>
              <w:suppressAutoHyphens w:val="0"/>
              <w:spacing w:line="240" w:lineRule="auto"/>
              <w:ind w:left="113" w:right="113" w:firstLine="0"/>
              <w:jc w:val="center"/>
              <w:rPr>
                <w:b/>
                <w:color w:val="FFFFFF" w:themeColor="background1"/>
              </w:rPr>
            </w:pPr>
            <w:r w:rsidRPr="009C1A6C">
              <w:rPr>
                <w:b/>
                <w:color w:val="FFFFFF" w:themeColor="background1"/>
              </w:rPr>
              <w:t>Sportas ir laisvalaikis</w:t>
            </w:r>
          </w:p>
        </w:tc>
      </w:tr>
      <w:tr w:rsidR="007F45C8" w:rsidRPr="0042021D">
        <w:trPr>
          <w:trHeight w:val="248"/>
        </w:trPr>
        <w:tc>
          <w:tcPr>
            <w:tcW w:w="711" w:type="pct"/>
          </w:tcPr>
          <w:p w:rsidR="007F45C8" w:rsidRPr="009C1A6C" w:rsidRDefault="007F45C8" w:rsidP="005B524E">
            <w:pPr>
              <w:suppressAutoHyphens w:val="0"/>
              <w:ind w:firstLine="0"/>
            </w:pPr>
            <w:r w:rsidRPr="009C1A6C">
              <w:t>Bulgarija</w:t>
            </w:r>
          </w:p>
        </w:tc>
        <w:tc>
          <w:tcPr>
            <w:tcW w:w="330" w:type="pct"/>
            <w:shd w:val="clear" w:color="auto" w:fill="548DD4" w:themeFill="text2" w:themeFillTint="99"/>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shd w:val="clear" w:color="auto" w:fill="auto"/>
          </w:tcPr>
          <w:p w:rsidR="007F45C8" w:rsidRPr="009C1A6C" w:rsidRDefault="007F45C8" w:rsidP="005B524E">
            <w:pPr>
              <w:suppressAutoHyphens w:val="0"/>
              <w:jc w:val="center"/>
            </w:pPr>
          </w:p>
        </w:tc>
        <w:tc>
          <w:tcPr>
            <w:tcW w:w="330" w:type="pct"/>
            <w:shd w:val="clear" w:color="auto" w:fill="008000"/>
            <w:vAlign w:val="center"/>
          </w:tcPr>
          <w:p w:rsidR="007F45C8" w:rsidRPr="009C1A6C" w:rsidRDefault="007F45C8" w:rsidP="005B524E">
            <w:pPr>
              <w:suppressAutoHyphens w:val="0"/>
              <w:jc w:val="center"/>
            </w:pPr>
          </w:p>
        </w:tc>
        <w:tc>
          <w:tcPr>
            <w:tcW w:w="330" w:type="pct"/>
            <w:shd w:val="clear" w:color="auto" w:fill="548DD4" w:themeFill="text2" w:themeFillTint="99"/>
            <w:vAlign w:val="center"/>
          </w:tcPr>
          <w:p w:rsidR="007F45C8" w:rsidRPr="009C1A6C" w:rsidRDefault="007F45C8" w:rsidP="005B524E">
            <w:pPr>
              <w:suppressAutoHyphens w:val="0"/>
              <w:jc w:val="center"/>
            </w:pPr>
          </w:p>
        </w:tc>
        <w:tc>
          <w:tcPr>
            <w:tcW w:w="330" w:type="pct"/>
            <w:shd w:val="clear" w:color="auto" w:fill="008000"/>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29" w:type="pct"/>
            <w:vAlign w:val="center"/>
          </w:tcPr>
          <w:p w:rsidR="007F45C8" w:rsidRPr="009C1A6C" w:rsidRDefault="007F45C8" w:rsidP="005B524E">
            <w:pPr>
              <w:suppressAutoHyphens w:val="0"/>
              <w:jc w:val="center"/>
            </w:pPr>
          </w:p>
        </w:tc>
      </w:tr>
      <w:tr w:rsidR="007F45C8" w:rsidRPr="0042021D">
        <w:trPr>
          <w:trHeight w:val="96"/>
        </w:trPr>
        <w:tc>
          <w:tcPr>
            <w:tcW w:w="711" w:type="pct"/>
          </w:tcPr>
          <w:p w:rsidR="007F45C8" w:rsidRPr="009C1A6C" w:rsidRDefault="007F45C8" w:rsidP="005B524E">
            <w:pPr>
              <w:suppressAutoHyphens w:val="0"/>
              <w:ind w:firstLine="0"/>
            </w:pPr>
            <w:r w:rsidRPr="009C1A6C">
              <w:t>Čekija</w:t>
            </w:r>
          </w:p>
        </w:tc>
        <w:tc>
          <w:tcPr>
            <w:tcW w:w="330" w:type="pct"/>
            <w:shd w:val="clear" w:color="auto" w:fill="548DD4" w:themeFill="text2" w:themeFillTint="99"/>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FFFF00"/>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shd w:val="clear" w:color="auto" w:fill="548DD4" w:themeFill="text2" w:themeFillTint="99"/>
            <w:vAlign w:val="center"/>
          </w:tcPr>
          <w:p w:rsidR="007F45C8" w:rsidRPr="009C1A6C" w:rsidRDefault="007F45C8" w:rsidP="005B524E">
            <w:pPr>
              <w:suppressAutoHyphens w:val="0"/>
              <w:jc w:val="center"/>
            </w:pPr>
          </w:p>
        </w:tc>
        <w:tc>
          <w:tcPr>
            <w:tcW w:w="330" w:type="pct"/>
            <w:shd w:val="clear" w:color="auto" w:fill="548DD4" w:themeFill="text2" w:themeFillTint="99"/>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548DD4" w:themeFill="text2" w:themeFillTint="99"/>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29" w:type="pct"/>
            <w:shd w:val="clear" w:color="auto" w:fill="548DD4" w:themeFill="text2" w:themeFillTint="99"/>
            <w:vAlign w:val="center"/>
          </w:tcPr>
          <w:p w:rsidR="007F45C8" w:rsidRPr="009C1A6C" w:rsidRDefault="007F45C8" w:rsidP="005B524E">
            <w:pPr>
              <w:suppressAutoHyphens w:val="0"/>
              <w:jc w:val="center"/>
            </w:pPr>
          </w:p>
        </w:tc>
      </w:tr>
      <w:tr w:rsidR="007F45C8" w:rsidRPr="0042021D">
        <w:trPr>
          <w:trHeight w:val="86"/>
        </w:trPr>
        <w:tc>
          <w:tcPr>
            <w:tcW w:w="711" w:type="pct"/>
          </w:tcPr>
          <w:p w:rsidR="007F45C8" w:rsidRPr="009C1A6C" w:rsidRDefault="007F45C8" w:rsidP="005B524E">
            <w:pPr>
              <w:suppressAutoHyphens w:val="0"/>
              <w:ind w:firstLine="0"/>
            </w:pPr>
            <w:r w:rsidRPr="009C1A6C">
              <w:t>Estija</w:t>
            </w: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shd w:val="clear" w:color="auto" w:fill="FFFF00"/>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shd w:val="clear" w:color="auto" w:fill="008000"/>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shd w:val="clear" w:color="auto" w:fill="008000"/>
            <w:vAlign w:val="center"/>
          </w:tcPr>
          <w:p w:rsidR="007F45C8" w:rsidRPr="009C1A6C" w:rsidRDefault="007F45C8" w:rsidP="005B524E">
            <w:pPr>
              <w:suppressAutoHyphens w:val="0"/>
              <w:jc w:val="center"/>
            </w:pPr>
          </w:p>
        </w:tc>
        <w:tc>
          <w:tcPr>
            <w:tcW w:w="329" w:type="pct"/>
            <w:vAlign w:val="center"/>
          </w:tcPr>
          <w:p w:rsidR="007F45C8" w:rsidRPr="009C1A6C" w:rsidRDefault="007F45C8" w:rsidP="005B524E">
            <w:pPr>
              <w:suppressAutoHyphens w:val="0"/>
              <w:jc w:val="center"/>
            </w:pPr>
          </w:p>
        </w:tc>
      </w:tr>
      <w:tr w:rsidR="007F45C8" w:rsidRPr="0042021D">
        <w:trPr>
          <w:trHeight w:val="232"/>
        </w:trPr>
        <w:tc>
          <w:tcPr>
            <w:tcW w:w="711" w:type="pct"/>
          </w:tcPr>
          <w:p w:rsidR="007F45C8" w:rsidRPr="009C1A6C" w:rsidRDefault="007F45C8" w:rsidP="005B524E">
            <w:pPr>
              <w:suppressAutoHyphens w:val="0"/>
              <w:ind w:firstLine="0"/>
            </w:pPr>
            <w:r w:rsidRPr="009C1A6C">
              <w:t>Vengrija</w:t>
            </w:r>
          </w:p>
        </w:tc>
        <w:tc>
          <w:tcPr>
            <w:tcW w:w="330" w:type="pct"/>
            <w:tcBorders>
              <w:bottom w:val="single" w:sz="4" w:space="0" w:color="000000"/>
            </w:tcBorders>
            <w:shd w:val="clear" w:color="auto" w:fill="008000"/>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shd w:val="clear" w:color="auto" w:fill="FFFF00"/>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shd w:val="clear" w:color="auto" w:fill="008000"/>
            <w:vAlign w:val="center"/>
          </w:tcPr>
          <w:p w:rsidR="007F45C8" w:rsidRPr="009C1A6C" w:rsidRDefault="007F45C8" w:rsidP="005B524E">
            <w:pPr>
              <w:suppressAutoHyphens w:val="0"/>
              <w:jc w:val="center"/>
            </w:pPr>
          </w:p>
        </w:tc>
        <w:tc>
          <w:tcPr>
            <w:tcW w:w="330" w:type="pct"/>
            <w:shd w:val="clear" w:color="auto" w:fill="008000"/>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shd w:val="clear" w:color="auto" w:fill="548DD4" w:themeFill="text2" w:themeFillTint="99"/>
            <w:vAlign w:val="center"/>
          </w:tcPr>
          <w:p w:rsidR="007F45C8" w:rsidRPr="009C1A6C" w:rsidRDefault="007F45C8" w:rsidP="005B524E">
            <w:pPr>
              <w:suppressAutoHyphens w:val="0"/>
              <w:jc w:val="center"/>
            </w:pPr>
          </w:p>
        </w:tc>
        <w:tc>
          <w:tcPr>
            <w:tcW w:w="330" w:type="pct"/>
            <w:shd w:val="clear" w:color="auto" w:fill="008000"/>
            <w:vAlign w:val="center"/>
          </w:tcPr>
          <w:p w:rsidR="007F45C8" w:rsidRPr="009C1A6C" w:rsidRDefault="007F45C8" w:rsidP="005B524E">
            <w:pPr>
              <w:suppressAutoHyphens w:val="0"/>
              <w:jc w:val="center"/>
            </w:pPr>
          </w:p>
        </w:tc>
        <w:tc>
          <w:tcPr>
            <w:tcW w:w="330" w:type="pct"/>
            <w:shd w:val="clear" w:color="auto" w:fill="008000"/>
            <w:vAlign w:val="center"/>
          </w:tcPr>
          <w:p w:rsidR="007F45C8" w:rsidRPr="009C1A6C" w:rsidRDefault="007F45C8" w:rsidP="005B524E">
            <w:pPr>
              <w:suppressAutoHyphens w:val="0"/>
              <w:jc w:val="center"/>
            </w:pPr>
          </w:p>
        </w:tc>
        <w:tc>
          <w:tcPr>
            <w:tcW w:w="329" w:type="pct"/>
            <w:shd w:val="clear" w:color="auto" w:fill="548DD4" w:themeFill="text2" w:themeFillTint="99"/>
            <w:vAlign w:val="center"/>
          </w:tcPr>
          <w:p w:rsidR="007F45C8" w:rsidRPr="009C1A6C" w:rsidRDefault="007F45C8" w:rsidP="005B524E">
            <w:pPr>
              <w:suppressAutoHyphens w:val="0"/>
              <w:jc w:val="center"/>
            </w:pPr>
          </w:p>
        </w:tc>
      </w:tr>
      <w:tr w:rsidR="007F45C8" w:rsidRPr="0042021D">
        <w:trPr>
          <w:trHeight w:val="347"/>
        </w:trPr>
        <w:tc>
          <w:tcPr>
            <w:tcW w:w="711" w:type="pct"/>
            <w:tcBorders>
              <w:bottom w:val="single" w:sz="12" w:space="0" w:color="000000"/>
            </w:tcBorders>
          </w:tcPr>
          <w:p w:rsidR="007F45C8" w:rsidRPr="009C1A6C" w:rsidRDefault="007F45C8" w:rsidP="005B524E">
            <w:pPr>
              <w:suppressAutoHyphens w:val="0"/>
              <w:ind w:firstLine="0"/>
            </w:pPr>
            <w:r w:rsidRPr="009C1A6C">
              <w:t>Latvija</w:t>
            </w:r>
          </w:p>
        </w:tc>
        <w:tc>
          <w:tcPr>
            <w:tcW w:w="330" w:type="pct"/>
            <w:tcBorders>
              <w:bottom w:val="single" w:sz="12" w:space="0" w:color="000000"/>
            </w:tcBorders>
            <w:shd w:val="clear" w:color="auto" w:fill="548DD4" w:themeFill="text2" w:themeFillTint="99"/>
            <w:vAlign w:val="center"/>
          </w:tcPr>
          <w:p w:rsidR="007F45C8" w:rsidRPr="009C1A6C" w:rsidRDefault="007F45C8" w:rsidP="005B524E">
            <w:pPr>
              <w:suppressAutoHyphens w:val="0"/>
              <w:jc w:val="center"/>
            </w:pPr>
          </w:p>
        </w:tc>
        <w:tc>
          <w:tcPr>
            <w:tcW w:w="330" w:type="pct"/>
            <w:tcBorders>
              <w:bottom w:val="single" w:sz="12" w:space="0" w:color="000000"/>
            </w:tcBorders>
            <w:shd w:val="clear" w:color="auto" w:fill="auto"/>
            <w:vAlign w:val="center"/>
          </w:tcPr>
          <w:p w:rsidR="007F45C8" w:rsidRPr="009C1A6C" w:rsidRDefault="007F45C8" w:rsidP="005B524E">
            <w:pPr>
              <w:suppressAutoHyphens w:val="0"/>
              <w:jc w:val="center"/>
            </w:pPr>
          </w:p>
        </w:tc>
        <w:tc>
          <w:tcPr>
            <w:tcW w:w="330" w:type="pct"/>
            <w:tcBorders>
              <w:bottom w:val="single" w:sz="12" w:space="0" w:color="000000"/>
            </w:tcBorders>
            <w:shd w:val="clear" w:color="auto" w:fill="auto"/>
          </w:tcPr>
          <w:p w:rsidR="007F45C8" w:rsidRPr="009C1A6C" w:rsidRDefault="007F45C8" w:rsidP="005B524E">
            <w:pPr>
              <w:suppressAutoHyphens w:val="0"/>
              <w:jc w:val="center"/>
            </w:pPr>
          </w:p>
        </w:tc>
        <w:tc>
          <w:tcPr>
            <w:tcW w:w="330" w:type="pct"/>
            <w:tcBorders>
              <w:bottom w:val="single" w:sz="12" w:space="0" w:color="000000"/>
            </w:tcBorders>
            <w:vAlign w:val="center"/>
          </w:tcPr>
          <w:p w:rsidR="007F45C8" w:rsidRPr="009C1A6C" w:rsidRDefault="007F45C8" w:rsidP="005B524E">
            <w:pPr>
              <w:suppressAutoHyphens w:val="0"/>
              <w:jc w:val="center"/>
            </w:pPr>
          </w:p>
        </w:tc>
        <w:tc>
          <w:tcPr>
            <w:tcW w:w="330" w:type="pct"/>
            <w:tcBorders>
              <w:bottom w:val="single" w:sz="12" w:space="0" w:color="000000"/>
            </w:tcBorders>
            <w:shd w:val="clear" w:color="auto" w:fill="auto"/>
            <w:vAlign w:val="center"/>
          </w:tcPr>
          <w:p w:rsidR="007F45C8" w:rsidRPr="009C1A6C" w:rsidRDefault="007F45C8" w:rsidP="005B524E">
            <w:pPr>
              <w:suppressAutoHyphens w:val="0"/>
              <w:jc w:val="center"/>
            </w:pPr>
          </w:p>
        </w:tc>
        <w:tc>
          <w:tcPr>
            <w:tcW w:w="330" w:type="pct"/>
            <w:tcBorders>
              <w:bottom w:val="single" w:sz="12" w:space="0" w:color="000000"/>
            </w:tcBorders>
            <w:shd w:val="clear" w:color="auto" w:fill="FFFF00"/>
            <w:vAlign w:val="center"/>
          </w:tcPr>
          <w:p w:rsidR="007F45C8" w:rsidRPr="009C1A6C" w:rsidRDefault="007F45C8" w:rsidP="005B524E">
            <w:pPr>
              <w:suppressAutoHyphens w:val="0"/>
              <w:jc w:val="center"/>
            </w:pPr>
          </w:p>
        </w:tc>
        <w:tc>
          <w:tcPr>
            <w:tcW w:w="330" w:type="pct"/>
            <w:tcBorders>
              <w:bottom w:val="single" w:sz="12" w:space="0" w:color="000000"/>
            </w:tcBorders>
            <w:shd w:val="clear" w:color="auto" w:fill="008000"/>
            <w:vAlign w:val="center"/>
          </w:tcPr>
          <w:p w:rsidR="007F45C8" w:rsidRPr="009C1A6C" w:rsidRDefault="007F45C8" w:rsidP="005B524E">
            <w:pPr>
              <w:suppressAutoHyphens w:val="0"/>
              <w:jc w:val="center"/>
            </w:pPr>
          </w:p>
        </w:tc>
        <w:tc>
          <w:tcPr>
            <w:tcW w:w="330" w:type="pct"/>
            <w:tcBorders>
              <w:bottom w:val="single" w:sz="12" w:space="0" w:color="000000"/>
            </w:tcBorders>
            <w:shd w:val="clear" w:color="auto" w:fill="FFFF00"/>
            <w:vAlign w:val="center"/>
          </w:tcPr>
          <w:p w:rsidR="007F45C8" w:rsidRPr="009C1A6C" w:rsidRDefault="007F45C8" w:rsidP="005B524E">
            <w:pPr>
              <w:suppressAutoHyphens w:val="0"/>
              <w:jc w:val="center"/>
            </w:pPr>
          </w:p>
        </w:tc>
        <w:tc>
          <w:tcPr>
            <w:tcW w:w="330" w:type="pct"/>
            <w:tcBorders>
              <w:bottom w:val="single" w:sz="12" w:space="0" w:color="000000"/>
            </w:tcBorders>
            <w:vAlign w:val="center"/>
          </w:tcPr>
          <w:p w:rsidR="007F45C8" w:rsidRPr="009C1A6C" w:rsidRDefault="007F45C8" w:rsidP="005B524E">
            <w:pPr>
              <w:suppressAutoHyphens w:val="0"/>
              <w:jc w:val="center"/>
            </w:pPr>
          </w:p>
        </w:tc>
        <w:tc>
          <w:tcPr>
            <w:tcW w:w="330" w:type="pct"/>
            <w:tcBorders>
              <w:bottom w:val="single" w:sz="12" w:space="0" w:color="000000"/>
            </w:tcBorders>
            <w:shd w:val="clear" w:color="auto" w:fill="FFFF00"/>
            <w:vAlign w:val="center"/>
          </w:tcPr>
          <w:p w:rsidR="007F45C8" w:rsidRPr="009C1A6C" w:rsidRDefault="007F45C8" w:rsidP="005B524E">
            <w:pPr>
              <w:suppressAutoHyphens w:val="0"/>
              <w:jc w:val="center"/>
            </w:pPr>
          </w:p>
        </w:tc>
        <w:tc>
          <w:tcPr>
            <w:tcW w:w="330" w:type="pct"/>
            <w:tcBorders>
              <w:bottom w:val="single" w:sz="12" w:space="0" w:color="000000"/>
            </w:tcBorders>
            <w:shd w:val="clear" w:color="auto" w:fill="FFFF00"/>
            <w:vAlign w:val="center"/>
          </w:tcPr>
          <w:p w:rsidR="007F45C8" w:rsidRPr="009C1A6C" w:rsidRDefault="007F45C8" w:rsidP="005B524E">
            <w:pPr>
              <w:suppressAutoHyphens w:val="0"/>
              <w:jc w:val="center"/>
            </w:pPr>
          </w:p>
        </w:tc>
        <w:tc>
          <w:tcPr>
            <w:tcW w:w="330" w:type="pct"/>
            <w:tcBorders>
              <w:bottom w:val="single" w:sz="12" w:space="0" w:color="000000"/>
            </w:tcBorders>
            <w:shd w:val="clear" w:color="auto" w:fill="FFFF00"/>
            <w:vAlign w:val="center"/>
          </w:tcPr>
          <w:p w:rsidR="007F45C8" w:rsidRPr="009C1A6C" w:rsidRDefault="007F45C8" w:rsidP="005B524E">
            <w:pPr>
              <w:suppressAutoHyphens w:val="0"/>
              <w:jc w:val="center"/>
            </w:pPr>
          </w:p>
        </w:tc>
        <w:tc>
          <w:tcPr>
            <w:tcW w:w="329" w:type="pct"/>
            <w:tcBorders>
              <w:bottom w:val="single" w:sz="12" w:space="0" w:color="000000"/>
            </w:tcBorders>
            <w:vAlign w:val="center"/>
          </w:tcPr>
          <w:p w:rsidR="007F45C8" w:rsidRPr="009C1A6C" w:rsidRDefault="007F45C8" w:rsidP="005B524E">
            <w:pPr>
              <w:suppressAutoHyphens w:val="0"/>
              <w:jc w:val="center"/>
            </w:pPr>
          </w:p>
        </w:tc>
      </w:tr>
      <w:tr w:rsidR="007F45C8" w:rsidRPr="0042021D">
        <w:trPr>
          <w:trHeight w:val="346"/>
        </w:trPr>
        <w:tc>
          <w:tcPr>
            <w:tcW w:w="711" w:type="pct"/>
            <w:tcBorders>
              <w:top w:val="single" w:sz="12" w:space="0" w:color="000000"/>
              <w:left w:val="single" w:sz="8" w:space="0" w:color="000000"/>
              <w:bottom w:val="single" w:sz="12" w:space="0" w:color="000000"/>
              <w:right w:val="single" w:sz="8" w:space="0" w:color="000000"/>
            </w:tcBorders>
            <w:shd w:val="clear" w:color="auto" w:fill="FFFFFF"/>
          </w:tcPr>
          <w:p w:rsidR="007F45C8" w:rsidRPr="009C1A6C" w:rsidRDefault="007F45C8" w:rsidP="005B524E">
            <w:pPr>
              <w:suppressAutoHyphens w:val="0"/>
              <w:ind w:firstLine="0"/>
              <w:rPr>
                <w:b/>
              </w:rPr>
            </w:pPr>
            <w:r w:rsidRPr="009C1A6C">
              <w:rPr>
                <w:b/>
              </w:rPr>
              <w:t>Lietuva</w:t>
            </w:r>
          </w:p>
        </w:tc>
        <w:tc>
          <w:tcPr>
            <w:tcW w:w="330" w:type="pct"/>
            <w:tcBorders>
              <w:top w:val="single" w:sz="12" w:space="0" w:color="000000"/>
              <w:left w:val="single" w:sz="8" w:space="0" w:color="000000"/>
              <w:bottom w:val="single" w:sz="12" w:space="0" w:color="000000"/>
              <w:right w:val="single" w:sz="8" w:space="0" w:color="000000"/>
            </w:tcBorders>
            <w:shd w:val="clear" w:color="auto" w:fill="FFFFFF"/>
            <w:vAlign w:val="center"/>
          </w:tcPr>
          <w:p w:rsidR="007F45C8" w:rsidRPr="009C1A6C" w:rsidRDefault="007F45C8" w:rsidP="005B524E">
            <w:pPr>
              <w:suppressAutoHyphens w:val="0"/>
              <w:jc w:val="center"/>
            </w:pPr>
          </w:p>
        </w:tc>
        <w:tc>
          <w:tcPr>
            <w:tcW w:w="330" w:type="pct"/>
            <w:tcBorders>
              <w:top w:val="single" w:sz="12" w:space="0" w:color="000000"/>
              <w:left w:val="single" w:sz="8" w:space="0" w:color="000000"/>
              <w:bottom w:val="single" w:sz="12" w:space="0" w:color="000000"/>
              <w:right w:val="single" w:sz="8" w:space="0" w:color="000000"/>
            </w:tcBorders>
            <w:shd w:val="clear" w:color="auto" w:fill="FFFF00"/>
            <w:vAlign w:val="center"/>
          </w:tcPr>
          <w:p w:rsidR="007F45C8" w:rsidRPr="009C1A6C" w:rsidRDefault="007F45C8" w:rsidP="005B524E">
            <w:pPr>
              <w:suppressAutoHyphens w:val="0"/>
              <w:jc w:val="center"/>
            </w:pPr>
          </w:p>
        </w:tc>
        <w:tc>
          <w:tcPr>
            <w:tcW w:w="330" w:type="pct"/>
            <w:tcBorders>
              <w:top w:val="single" w:sz="12" w:space="0" w:color="000000"/>
              <w:left w:val="single" w:sz="8" w:space="0" w:color="000000"/>
              <w:bottom w:val="single" w:sz="12" w:space="0" w:color="000000"/>
              <w:right w:val="single" w:sz="8" w:space="0" w:color="000000"/>
            </w:tcBorders>
            <w:shd w:val="clear" w:color="auto" w:fill="FFFF00"/>
          </w:tcPr>
          <w:p w:rsidR="007F45C8" w:rsidRPr="009C1A6C" w:rsidRDefault="007F45C8" w:rsidP="005B524E">
            <w:pPr>
              <w:suppressAutoHyphens w:val="0"/>
              <w:jc w:val="center"/>
            </w:pPr>
          </w:p>
        </w:tc>
        <w:tc>
          <w:tcPr>
            <w:tcW w:w="330" w:type="pct"/>
            <w:tcBorders>
              <w:top w:val="single" w:sz="12" w:space="0" w:color="000000"/>
              <w:left w:val="single" w:sz="8" w:space="0" w:color="000000"/>
              <w:bottom w:val="single" w:sz="12" w:space="0" w:color="000000"/>
              <w:right w:val="single" w:sz="8" w:space="0" w:color="000000"/>
            </w:tcBorders>
            <w:shd w:val="clear" w:color="auto" w:fill="FFFFFF"/>
            <w:vAlign w:val="center"/>
          </w:tcPr>
          <w:p w:rsidR="007F45C8" w:rsidRPr="009C1A6C" w:rsidRDefault="007F45C8" w:rsidP="005B524E">
            <w:pPr>
              <w:suppressAutoHyphens w:val="0"/>
              <w:jc w:val="center"/>
            </w:pPr>
          </w:p>
        </w:tc>
        <w:tc>
          <w:tcPr>
            <w:tcW w:w="330" w:type="pct"/>
            <w:tcBorders>
              <w:top w:val="single" w:sz="12" w:space="0" w:color="000000"/>
              <w:left w:val="single" w:sz="8" w:space="0" w:color="000000"/>
              <w:bottom w:val="single" w:sz="12" w:space="0" w:color="000000"/>
              <w:right w:val="single" w:sz="8" w:space="0" w:color="000000"/>
            </w:tcBorders>
            <w:shd w:val="clear" w:color="auto" w:fill="auto"/>
            <w:vAlign w:val="center"/>
          </w:tcPr>
          <w:p w:rsidR="007F45C8" w:rsidRPr="009C1A6C" w:rsidRDefault="007F45C8" w:rsidP="005B524E">
            <w:pPr>
              <w:suppressAutoHyphens w:val="0"/>
              <w:jc w:val="center"/>
            </w:pPr>
          </w:p>
        </w:tc>
        <w:tc>
          <w:tcPr>
            <w:tcW w:w="330" w:type="pct"/>
            <w:tcBorders>
              <w:top w:val="single" w:sz="12" w:space="0" w:color="000000"/>
              <w:left w:val="single" w:sz="8" w:space="0" w:color="000000"/>
              <w:bottom w:val="single" w:sz="12" w:space="0" w:color="000000"/>
              <w:right w:val="single" w:sz="8" w:space="0" w:color="000000"/>
            </w:tcBorders>
            <w:shd w:val="clear" w:color="auto" w:fill="FFFF00"/>
            <w:vAlign w:val="center"/>
          </w:tcPr>
          <w:p w:rsidR="007F45C8" w:rsidRPr="009C1A6C" w:rsidRDefault="007F45C8" w:rsidP="005B524E">
            <w:pPr>
              <w:suppressAutoHyphens w:val="0"/>
              <w:jc w:val="center"/>
            </w:pPr>
          </w:p>
        </w:tc>
        <w:tc>
          <w:tcPr>
            <w:tcW w:w="330" w:type="pct"/>
            <w:tcBorders>
              <w:top w:val="single" w:sz="12" w:space="0" w:color="000000"/>
              <w:left w:val="single" w:sz="8" w:space="0" w:color="000000"/>
              <w:bottom w:val="single" w:sz="12" w:space="0" w:color="000000"/>
              <w:right w:val="single" w:sz="8" w:space="0" w:color="000000"/>
            </w:tcBorders>
            <w:shd w:val="clear" w:color="auto" w:fill="FFFFFF"/>
            <w:vAlign w:val="center"/>
          </w:tcPr>
          <w:p w:rsidR="007F45C8" w:rsidRPr="009C1A6C" w:rsidRDefault="007F45C8" w:rsidP="005B524E">
            <w:pPr>
              <w:suppressAutoHyphens w:val="0"/>
              <w:jc w:val="center"/>
            </w:pPr>
          </w:p>
        </w:tc>
        <w:tc>
          <w:tcPr>
            <w:tcW w:w="330" w:type="pct"/>
            <w:tcBorders>
              <w:top w:val="single" w:sz="12" w:space="0" w:color="000000"/>
              <w:left w:val="single" w:sz="8" w:space="0" w:color="000000"/>
              <w:bottom w:val="single" w:sz="12" w:space="0" w:color="000000"/>
              <w:right w:val="single" w:sz="8" w:space="0" w:color="000000"/>
            </w:tcBorders>
            <w:shd w:val="clear" w:color="auto" w:fill="FFFFFF"/>
            <w:vAlign w:val="center"/>
          </w:tcPr>
          <w:p w:rsidR="007F45C8" w:rsidRPr="009C1A6C" w:rsidRDefault="007F45C8" w:rsidP="005B524E">
            <w:pPr>
              <w:suppressAutoHyphens w:val="0"/>
              <w:jc w:val="center"/>
            </w:pPr>
          </w:p>
        </w:tc>
        <w:tc>
          <w:tcPr>
            <w:tcW w:w="330" w:type="pct"/>
            <w:tcBorders>
              <w:top w:val="single" w:sz="12" w:space="0" w:color="000000"/>
              <w:left w:val="single" w:sz="8" w:space="0" w:color="000000"/>
              <w:bottom w:val="single" w:sz="12" w:space="0" w:color="000000"/>
              <w:right w:val="single" w:sz="8" w:space="0" w:color="000000"/>
            </w:tcBorders>
            <w:shd w:val="clear" w:color="auto" w:fill="FFFFFF"/>
            <w:vAlign w:val="center"/>
          </w:tcPr>
          <w:p w:rsidR="007F45C8" w:rsidRPr="009C1A6C" w:rsidRDefault="007F45C8" w:rsidP="005B524E">
            <w:pPr>
              <w:suppressAutoHyphens w:val="0"/>
              <w:jc w:val="center"/>
            </w:pPr>
          </w:p>
        </w:tc>
        <w:tc>
          <w:tcPr>
            <w:tcW w:w="330" w:type="pct"/>
            <w:tcBorders>
              <w:top w:val="single" w:sz="12" w:space="0" w:color="000000"/>
              <w:left w:val="single" w:sz="8" w:space="0" w:color="000000"/>
              <w:bottom w:val="single" w:sz="12" w:space="0" w:color="000000"/>
              <w:right w:val="single" w:sz="8" w:space="0" w:color="000000"/>
            </w:tcBorders>
            <w:shd w:val="clear" w:color="auto" w:fill="FFFF00"/>
            <w:vAlign w:val="center"/>
          </w:tcPr>
          <w:p w:rsidR="007F45C8" w:rsidRPr="009C1A6C" w:rsidRDefault="007F45C8" w:rsidP="005B524E">
            <w:pPr>
              <w:suppressAutoHyphens w:val="0"/>
              <w:jc w:val="center"/>
            </w:pPr>
          </w:p>
        </w:tc>
        <w:tc>
          <w:tcPr>
            <w:tcW w:w="330" w:type="pct"/>
            <w:tcBorders>
              <w:top w:val="single" w:sz="12" w:space="0" w:color="000000"/>
              <w:left w:val="single" w:sz="8" w:space="0" w:color="000000"/>
              <w:bottom w:val="single" w:sz="12" w:space="0" w:color="000000"/>
              <w:right w:val="single" w:sz="8" w:space="0" w:color="000000"/>
            </w:tcBorders>
            <w:shd w:val="clear" w:color="auto" w:fill="FFFFFF"/>
            <w:vAlign w:val="center"/>
          </w:tcPr>
          <w:p w:rsidR="007F45C8" w:rsidRPr="009C1A6C" w:rsidRDefault="007F45C8" w:rsidP="005B524E">
            <w:pPr>
              <w:suppressAutoHyphens w:val="0"/>
              <w:jc w:val="center"/>
            </w:pPr>
          </w:p>
        </w:tc>
        <w:tc>
          <w:tcPr>
            <w:tcW w:w="330" w:type="pct"/>
            <w:tcBorders>
              <w:top w:val="single" w:sz="12" w:space="0" w:color="000000"/>
              <w:left w:val="single" w:sz="8" w:space="0" w:color="000000"/>
              <w:bottom w:val="single" w:sz="12" w:space="0" w:color="000000"/>
              <w:right w:val="single" w:sz="8" w:space="0" w:color="000000"/>
            </w:tcBorders>
            <w:shd w:val="clear" w:color="auto" w:fill="FFFF00"/>
            <w:vAlign w:val="center"/>
          </w:tcPr>
          <w:p w:rsidR="007F45C8" w:rsidRPr="009C1A6C" w:rsidRDefault="007F45C8" w:rsidP="005B524E">
            <w:pPr>
              <w:suppressAutoHyphens w:val="0"/>
              <w:jc w:val="center"/>
            </w:pPr>
          </w:p>
        </w:tc>
        <w:tc>
          <w:tcPr>
            <w:tcW w:w="329" w:type="pct"/>
            <w:tcBorders>
              <w:top w:val="single" w:sz="12" w:space="0" w:color="000000"/>
              <w:left w:val="single" w:sz="8" w:space="0" w:color="000000"/>
              <w:bottom w:val="single" w:sz="12" w:space="0" w:color="000000"/>
              <w:right w:val="single" w:sz="8" w:space="0" w:color="000000"/>
            </w:tcBorders>
            <w:shd w:val="clear" w:color="auto" w:fill="548DD4" w:themeFill="text2" w:themeFillTint="99"/>
            <w:vAlign w:val="center"/>
          </w:tcPr>
          <w:p w:rsidR="007F45C8" w:rsidRPr="009C1A6C" w:rsidRDefault="007F45C8" w:rsidP="005B524E">
            <w:pPr>
              <w:suppressAutoHyphens w:val="0"/>
              <w:jc w:val="center"/>
            </w:pPr>
          </w:p>
        </w:tc>
      </w:tr>
      <w:tr w:rsidR="007F45C8" w:rsidRPr="0042021D">
        <w:trPr>
          <w:trHeight w:val="347"/>
        </w:trPr>
        <w:tc>
          <w:tcPr>
            <w:tcW w:w="711" w:type="pct"/>
            <w:tcBorders>
              <w:top w:val="single" w:sz="12" w:space="0" w:color="000000"/>
            </w:tcBorders>
          </w:tcPr>
          <w:p w:rsidR="007F45C8" w:rsidRPr="009C1A6C" w:rsidRDefault="007F45C8" w:rsidP="005B524E">
            <w:pPr>
              <w:suppressAutoHyphens w:val="0"/>
              <w:ind w:firstLine="0"/>
            </w:pPr>
            <w:r w:rsidRPr="009C1A6C">
              <w:t>Lenkija</w:t>
            </w:r>
          </w:p>
        </w:tc>
        <w:tc>
          <w:tcPr>
            <w:tcW w:w="330" w:type="pct"/>
            <w:tcBorders>
              <w:top w:val="single" w:sz="12" w:space="0" w:color="000000"/>
            </w:tcBorders>
            <w:vAlign w:val="center"/>
          </w:tcPr>
          <w:p w:rsidR="007F45C8" w:rsidRPr="009C1A6C" w:rsidRDefault="007F45C8" w:rsidP="005B524E">
            <w:pPr>
              <w:suppressAutoHyphens w:val="0"/>
              <w:jc w:val="center"/>
            </w:pPr>
          </w:p>
        </w:tc>
        <w:tc>
          <w:tcPr>
            <w:tcW w:w="330" w:type="pct"/>
            <w:tcBorders>
              <w:top w:val="single" w:sz="12" w:space="0" w:color="000000"/>
            </w:tcBorders>
            <w:shd w:val="clear" w:color="auto" w:fill="FFFF00"/>
            <w:vAlign w:val="center"/>
          </w:tcPr>
          <w:p w:rsidR="007F45C8" w:rsidRPr="009C1A6C" w:rsidRDefault="007F45C8" w:rsidP="005B524E">
            <w:pPr>
              <w:suppressAutoHyphens w:val="0"/>
              <w:jc w:val="center"/>
            </w:pPr>
          </w:p>
        </w:tc>
        <w:tc>
          <w:tcPr>
            <w:tcW w:w="330" w:type="pct"/>
            <w:tcBorders>
              <w:top w:val="single" w:sz="12" w:space="0" w:color="000000"/>
            </w:tcBorders>
            <w:shd w:val="clear" w:color="auto" w:fill="FFFF00"/>
          </w:tcPr>
          <w:p w:rsidR="007F45C8" w:rsidRPr="009C1A6C" w:rsidRDefault="007F45C8" w:rsidP="005B524E">
            <w:pPr>
              <w:suppressAutoHyphens w:val="0"/>
              <w:jc w:val="center"/>
            </w:pPr>
          </w:p>
        </w:tc>
        <w:tc>
          <w:tcPr>
            <w:tcW w:w="330" w:type="pct"/>
            <w:tcBorders>
              <w:top w:val="single" w:sz="12" w:space="0" w:color="000000"/>
            </w:tcBorders>
            <w:shd w:val="clear" w:color="auto" w:fill="FFFF00"/>
            <w:vAlign w:val="center"/>
          </w:tcPr>
          <w:p w:rsidR="007F45C8" w:rsidRPr="009C1A6C" w:rsidRDefault="007F45C8" w:rsidP="005B524E">
            <w:pPr>
              <w:suppressAutoHyphens w:val="0"/>
              <w:jc w:val="center"/>
            </w:pPr>
          </w:p>
        </w:tc>
        <w:tc>
          <w:tcPr>
            <w:tcW w:w="330" w:type="pct"/>
            <w:tcBorders>
              <w:top w:val="single" w:sz="12" w:space="0" w:color="000000"/>
            </w:tcBorders>
            <w:shd w:val="clear" w:color="auto" w:fill="auto"/>
            <w:vAlign w:val="center"/>
          </w:tcPr>
          <w:p w:rsidR="007F45C8" w:rsidRPr="009C1A6C" w:rsidRDefault="007F45C8" w:rsidP="005B524E">
            <w:pPr>
              <w:suppressAutoHyphens w:val="0"/>
              <w:jc w:val="center"/>
            </w:pPr>
          </w:p>
        </w:tc>
        <w:tc>
          <w:tcPr>
            <w:tcW w:w="330" w:type="pct"/>
            <w:tcBorders>
              <w:top w:val="single" w:sz="12" w:space="0" w:color="000000"/>
            </w:tcBorders>
            <w:vAlign w:val="center"/>
          </w:tcPr>
          <w:p w:rsidR="007F45C8" w:rsidRPr="009C1A6C" w:rsidRDefault="007F45C8" w:rsidP="005B524E">
            <w:pPr>
              <w:suppressAutoHyphens w:val="0"/>
              <w:jc w:val="center"/>
            </w:pPr>
          </w:p>
        </w:tc>
        <w:tc>
          <w:tcPr>
            <w:tcW w:w="330" w:type="pct"/>
            <w:tcBorders>
              <w:top w:val="single" w:sz="12" w:space="0" w:color="000000"/>
            </w:tcBorders>
            <w:shd w:val="clear" w:color="auto" w:fill="FFFF00"/>
            <w:vAlign w:val="center"/>
          </w:tcPr>
          <w:p w:rsidR="007F45C8" w:rsidRPr="009C1A6C" w:rsidRDefault="007F45C8" w:rsidP="005B524E">
            <w:pPr>
              <w:suppressAutoHyphens w:val="0"/>
              <w:jc w:val="center"/>
            </w:pPr>
          </w:p>
        </w:tc>
        <w:tc>
          <w:tcPr>
            <w:tcW w:w="330" w:type="pct"/>
            <w:tcBorders>
              <w:top w:val="single" w:sz="12" w:space="0" w:color="000000"/>
            </w:tcBorders>
            <w:shd w:val="clear" w:color="auto" w:fill="FFFF00"/>
            <w:vAlign w:val="center"/>
          </w:tcPr>
          <w:p w:rsidR="007F45C8" w:rsidRPr="009C1A6C" w:rsidRDefault="007F45C8" w:rsidP="005B524E">
            <w:pPr>
              <w:suppressAutoHyphens w:val="0"/>
              <w:jc w:val="center"/>
            </w:pPr>
          </w:p>
        </w:tc>
        <w:tc>
          <w:tcPr>
            <w:tcW w:w="330" w:type="pct"/>
            <w:tcBorders>
              <w:top w:val="single" w:sz="12" w:space="0" w:color="000000"/>
            </w:tcBorders>
            <w:vAlign w:val="center"/>
          </w:tcPr>
          <w:p w:rsidR="007F45C8" w:rsidRPr="009C1A6C" w:rsidRDefault="007F45C8" w:rsidP="005B524E">
            <w:pPr>
              <w:suppressAutoHyphens w:val="0"/>
              <w:jc w:val="center"/>
            </w:pPr>
          </w:p>
        </w:tc>
        <w:tc>
          <w:tcPr>
            <w:tcW w:w="330" w:type="pct"/>
            <w:tcBorders>
              <w:top w:val="single" w:sz="12" w:space="0" w:color="000000"/>
            </w:tcBorders>
            <w:shd w:val="clear" w:color="auto" w:fill="FFFF00"/>
            <w:vAlign w:val="center"/>
          </w:tcPr>
          <w:p w:rsidR="007F45C8" w:rsidRPr="009C1A6C" w:rsidRDefault="007F45C8" w:rsidP="005B524E">
            <w:pPr>
              <w:suppressAutoHyphens w:val="0"/>
              <w:jc w:val="center"/>
            </w:pPr>
          </w:p>
        </w:tc>
        <w:tc>
          <w:tcPr>
            <w:tcW w:w="330" w:type="pct"/>
            <w:tcBorders>
              <w:top w:val="single" w:sz="12" w:space="0" w:color="000000"/>
            </w:tcBorders>
            <w:shd w:val="clear" w:color="auto" w:fill="FFFF00"/>
            <w:vAlign w:val="center"/>
          </w:tcPr>
          <w:p w:rsidR="007F45C8" w:rsidRPr="009C1A6C" w:rsidRDefault="007F45C8" w:rsidP="005B524E">
            <w:pPr>
              <w:suppressAutoHyphens w:val="0"/>
              <w:jc w:val="center"/>
            </w:pPr>
          </w:p>
        </w:tc>
        <w:tc>
          <w:tcPr>
            <w:tcW w:w="330" w:type="pct"/>
            <w:tcBorders>
              <w:top w:val="single" w:sz="12" w:space="0" w:color="000000"/>
            </w:tcBorders>
            <w:shd w:val="clear" w:color="auto" w:fill="FFFF00"/>
            <w:vAlign w:val="center"/>
          </w:tcPr>
          <w:p w:rsidR="007F45C8" w:rsidRPr="009C1A6C" w:rsidRDefault="007F45C8" w:rsidP="005B524E">
            <w:pPr>
              <w:suppressAutoHyphens w:val="0"/>
              <w:jc w:val="center"/>
            </w:pPr>
          </w:p>
        </w:tc>
        <w:tc>
          <w:tcPr>
            <w:tcW w:w="329" w:type="pct"/>
            <w:tcBorders>
              <w:top w:val="single" w:sz="12" w:space="0" w:color="000000"/>
            </w:tcBorders>
            <w:shd w:val="clear" w:color="auto" w:fill="FFFF00"/>
            <w:vAlign w:val="center"/>
          </w:tcPr>
          <w:p w:rsidR="007F45C8" w:rsidRPr="009C1A6C" w:rsidRDefault="007F45C8" w:rsidP="005B524E">
            <w:pPr>
              <w:suppressAutoHyphens w:val="0"/>
              <w:jc w:val="center"/>
            </w:pPr>
          </w:p>
        </w:tc>
      </w:tr>
      <w:tr w:rsidR="007F45C8" w:rsidRPr="0042021D">
        <w:trPr>
          <w:trHeight w:val="347"/>
        </w:trPr>
        <w:tc>
          <w:tcPr>
            <w:tcW w:w="711" w:type="pct"/>
          </w:tcPr>
          <w:p w:rsidR="007F45C8" w:rsidRPr="009C1A6C" w:rsidRDefault="007F45C8" w:rsidP="005B524E">
            <w:pPr>
              <w:suppressAutoHyphens w:val="0"/>
              <w:ind w:firstLine="0"/>
            </w:pPr>
            <w:r w:rsidRPr="009C1A6C">
              <w:t>Rumunija</w:t>
            </w:r>
          </w:p>
        </w:tc>
        <w:tc>
          <w:tcPr>
            <w:tcW w:w="330" w:type="pct"/>
            <w:tcBorders>
              <w:bottom w:val="single" w:sz="4" w:space="0" w:color="000000"/>
            </w:tcBorders>
            <w:shd w:val="clear" w:color="auto" w:fill="008000"/>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shd w:val="clear" w:color="auto" w:fill="auto"/>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shd w:val="clear" w:color="auto" w:fill="008000"/>
            <w:vAlign w:val="center"/>
          </w:tcPr>
          <w:p w:rsidR="007F45C8" w:rsidRPr="009C1A6C" w:rsidRDefault="007F45C8" w:rsidP="005B524E">
            <w:pPr>
              <w:suppressAutoHyphens w:val="0"/>
              <w:jc w:val="center"/>
            </w:pPr>
          </w:p>
        </w:tc>
        <w:tc>
          <w:tcPr>
            <w:tcW w:w="330" w:type="pct"/>
            <w:shd w:val="clear" w:color="auto" w:fill="548DD4" w:themeFill="text2" w:themeFillTint="99"/>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shd w:val="clear" w:color="auto" w:fill="548DD4" w:themeFill="text2" w:themeFillTint="99"/>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29" w:type="pct"/>
            <w:shd w:val="clear" w:color="auto" w:fill="548DD4" w:themeFill="text2" w:themeFillTint="99"/>
            <w:vAlign w:val="center"/>
          </w:tcPr>
          <w:p w:rsidR="007F45C8" w:rsidRPr="009C1A6C" w:rsidRDefault="007F45C8" w:rsidP="005B524E">
            <w:pPr>
              <w:suppressAutoHyphens w:val="0"/>
              <w:jc w:val="center"/>
            </w:pPr>
          </w:p>
        </w:tc>
      </w:tr>
      <w:tr w:rsidR="007F45C8" w:rsidRPr="0042021D">
        <w:trPr>
          <w:trHeight w:val="346"/>
        </w:trPr>
        <w:tc>
          <w:tcPr>
            <w:tcW w:w="711" w:type="pct"/>
          </w:tcPr>
          <w:p w:rsidR="007F45C8" w:rsidRPr="009C1A6C" w:rsidRDefault="007F45C8" w:rsidP="005B524E">
            <w:pPr>
              <w:suppressAutoHyphens w:val="0"/>
              <w:ind w:firstLine="0"/>
            </w:pPr>
            <w:r w:rsidRPr="009C1A6C">
              <w:t>Slovakija</w:t>
            </w:r>
          </w:p>
        </w:tc>
        <w:tc>
          <w:tcPr>
            <w:tcW w:w="330" w:type="pct"/>
            <w:shd w:val="clear" w:color="auto" w:fill="548DD4" w:themeFill="text2" w:themeFillTint="99"/>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shd w:val="clear" w:color="auto" w:fill="auto"/>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29" w:type="pct"/>
            <w:shd w:val="clear" w:color="auto" w:fill="FFFF00"/>
            <w:vAlign w:val="center"/>
          </w:tcPr>
          <w:p w:rsidR="007F45C8" w:rsidRPr="009C1A6C" w:rsidRDefault="007F45C8" w:rsidP="005B524E">
            <w:pPr>
              <w:suppressAutoHyphens w:val="0"/>
              <w:jc w:val="center"/>
            </w:pPr>
          </w:p>
        </w:tc>
      </w:tr>
      <w:tr w:rsidR="007F45C8" w:rsidRPr="0042021D">
        <w:trPr>
          <w:trHeight w:val="347"/>
        </w:trPr>
        <w:tc>
          <w:tcPr>
            <w:tcW w:w="711" w:type="pct"/>
          </w:tcPr>
          <w:p w:rsidR="007F45C8" w:rsidRPr="009C1A6C" w:rsidRDefault="00F15E75" w:rsidP="005B524E">
            <w:pPr>
              <w:suppressAutoHyphens w:val="0"/>
              <w:ind w:firstLine="0"/>
            </w:pPr>
            <w:r w:rsidRPr="009C1A6C">
              <w:t>Slovėnija</w:t>
            </w:r>
          </w:p>
        </w:tc>
        <w:tc>
          <w:tcPr>
            <w:tcW w:w="330" w:type="pct"/>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shd w:val="clear" w:color="auto" w:fill="auto"/>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auto"/>
            <w:vAlign w:val="center"/>
          </w:tcPr>
          <w:p w:rsidR="007F45C8" w:rsidRPr="009C1A6C" w:rsidRDefault="007F45C8" w:rsidP="005B524E">
            <w:pPr>
              <w:suppressAutoHyphens w:val="0"/>
              <w:jc w:val="center"/>
            </w:pPr>
          </w:p>
        </w:tc>
        <w:tc>
          <w:tcPr>
            <w:tcW w:w="330" w:type="pct"/>
            <w:shd w:val="clear" w:color="auto" w:fill="008000"/>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29" w:type="pct"/>
            <w:vAlign w:val="center"/>
          </w:tcPr>
          <w:p w:rsidR="007F45C8" w:rsidRPr="009C1A6C" w:rsidRDefault="007F45C8" w:rsidP="005B524E">
            <w:pPr>
              <w:suppressAutoHyphens w:val="0"/>
              <w:jc w:val="center"/>
            </w:pPr>
          </w:p>
        </w:tc>
      </w:tr>
      <w:tr w:rsidR="007F45C8" w:rsidRPr="0042021D">
        <w:trPr>
          <w:trHeight w:val="347"/>
        </w:trPr>
        <w:tc>
          <w:tcPr>
            <w:tcW w:w="711" w:type="pct"/>
          </w:tcPr>
          <w:p w:rsidR="007F45C8" w:rsidRPr="009C1A6C" w:rsidRDefault="007F45C8" w:rsidP="005B524E">
            <w:pPr>
              <w:suppressAutoHyphens w:val="0"/>
              <w:ind w:firstLine="0"/>
            </w:pPr>
            <w:r w:rsidRPr="009C1A6C">
              <w:t>Ukraina</w:t>
            </w:r>
          </w:p>
        </w:tc>
        <w:tc>
          <w:tcPr>
            <w:tcW w:w="330" w:type="pct"/>
            <w:shd w:val="clear" w:color="auto" w:fill="548DD4" w:themeFill="text2" w:themeFillTint="99"/>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auto"/>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shd w:val="clear" w:color="auto" w:fill="FFFF00"/>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30" w:type="pct"/>
            <w:vAlign w:val="center"/>
          </w:tcPr>
          <w:p w:rsidR="007F45C8" w:rsidRPr="009C1A6C" w:rsidRDefault="007F45C8" w:rsidP="005B524E">
            <w:pPr>
              <w:suppressAutoHyphens w:val="0"/>
              <w:jc w:val="center"/>
            </w:pPr>
          </w:p>
        </w:tc>
        <w:tc>
          <w:tcPr>
            <w:tcW w:w="329" w:type="pct"/>
            <w:vAlign w:val="center"/>
          </w:tcPr>
          <w:p w:rsidR="007F45C8" w:rsidRPr="009C1A6C" w:rsidRDefault="007F45C8" w:rsidP="005B524E">
            <w:pPr>
              <w:suppressAutoHyphens w:val="0"/>
              <w:jc w:val="center"/>
            </w:pPr>
          </w:p>
        </w:tc>
      </w:tr>
    </w:tbl>
    <w:p w:rsidR="00275528" w:rsidRPr="00DF1C9A" w:rsidRDefault="007E24CF" w:rsidP="005B524E">
      <w:pPr>
        <w:suppressAutoHyphens w:val="0"/>
        <w:spacing w:before="120"/>
        <w:ind w:firstLine="0"/>
        <w:rPr>
          <w:sz w:val="20"/>
        </w:rPr>
      </w:pPr>
      <w:r>
        <w:rPr>
          <w:b/>
          <w:sz w:val="20"/>
        </w:rPr>
        <w:t>Žymėjimai</w:t>
      </w:r>
      <w:r w:rsidR="00275528">
        <w:rPr>
          <w:b/>
          <w:sz w:val="20"/>
        </w:rPr>
        <w:t xml:space="preserve">: </w:t>
      </w:r>
      <w:r w:rsidR="00183ADC" w:rsidRPr="00005992">
        <w:rPr>
          <w:b/>
          <w:color w:val="FFFF00"/>
          <w:sz w:val="28"/>
          <w:vertAlign w:val="subscript"/>
        </w:rPr>
        <w:t>▀</w:t>
      </w:r>
      <w:r w:rsidR="000E20F0">
        <w:rPr>
          <w:b/>
          <w:color w:val="FFFF00"/>
          <w:sz w:val="20"/>
          <w:vertAlign w:val="subscript"/>
        </w:rPr>
        <w:t xml:space="preserve"> </w:t>
      </w:r>
      <w:r w:rsidR="00DF1C9A">
        <w:rPr>
          <w:sz w:val="20"/>
        </w:rPr>
        <w:t xml:space="preserve">vyksta diskusijos, </w:t>
      </w:r>
      <w:r w:rsidR="00183ADC" w:rsidRPr="00005992">
        <w:rPr>
          <w:color w:val="548DD4" w:themeColor="text2" w:themeTint="99"/>
          <w:sz w:val="28"/>
          <w:vertAlign w:val="subscript"/>
        </w:rPr>
        <w:t>▀</w:t>
      </w:r>
      <w:r w:rsidR="00183ADC" w:rsidRPr="00183ADC">
        <w:rPr>
          <w:sz w:val="20"/>
        </w:rPr>
        <w:t xml:space="preserve"> </w:t>
      </w:r>
      <w:r w:rsidR="00DF1C9A">
        <w:rPr>
          <w:sz w:val="20"/>
        </w:rPr>
        <w:t xml:space="preserve">vykdomi projektai, </w:t>
      </w:r>
      <w:r w:rsidR="00183ADC" w:rsidRPr="00005992">
        <w:rPr>
          <w:color w:val="008000"/>
          <w:sz w:val="28"/>
          <w:vertAlign w:val="subscript"/>
        </w:rPr>
        <w:t>▀</w:t>
      </w:r>
      <w:r w:rsidR="00183ADC" w:rsidRPr="00183ADC">
        <w:rPr>
          <w:sz w:val="20"/>
        </w:rPr>
        <w:t xml:space="preserve"> </w:t>
      </w:r>
      <w:r w:rsidR="00DF1C9A">
        <w:rPr>
          <w:sz w:val="20"/>
        </w:rPr>
        <w:t>yra įvykdytų projektų</w:t>
      </w:r>
    </w:p>
    <w:p w:rsidR="00DF0626" w:rsidRDefault="00B96EE7" w:rsidP="005B524E">
      <w:pPr>
        <w:suppressAutoHyphens w:val="0"/>
        <w:spacing w:before="120"/>
        <w:ind w:firstLine="0"/>
        <w:rPr>
          <w:b/>
          <w:sz w:val="20"/>
        </w:rPr>
      </w:pPr>
      <w:r>
        <w:rPr>
          <w:b/>
          <w:sz w:val="20"/>
        </w:rPr>
        <w:t>Šaltinis</w:t>
      </w:r>
      <w:r w:rsidRPr="00B96EE7">
        <w:rPr>
          <w:b/>
          <w:sz w:val="20"/>
        </w:rPr>
        <w:t>: PricewaterhouseCoopers</w:t>
      </w:r>
      <w:r>
        <w:rPr>
          <w:b/>
          <w:sz w:val="20"/>
        </w:rPr>
        <w:t>,</w:t>
      </w:r>
      <w:r w:rsidRPr="00B96EE7">
        <w:rPr>
          <w:b/>
          <w:sz w:val="20"/>
        </w:rPr>
        <w:t xml:space="preserve"> 2008</w:t>
      </w:r>
    </w:p>
    <w:p w:rsidR="00676ABC" w:rsidRDefault="003D2A9B" w:rsidP="005B524E">
      <w:pPr>
        <w:suppressAutoHyphens w:val="0"/>
        <w:ind w:firstLine="432"/>
      </w:pPr>
      <w:r w:rsidRPr="00982139">
        <w:t>2008</w:t>
      </w:r>
      <w:r w:rsidR="00676ABC" w:rsidRPr="00676ABC">
        <w:t xml:space="preserve"> metų pabaigoje Valstybės kontrolės atliktas tyrimas parodė, kad didžiosios daugumos Liet</w:t>
      </w:r>
      <w:r w:rsidR="00676ABC" w:rsidRPr="00676ABC">
        <w:t>u</w:t>
      </w:r>
      <w:r w:rsidR="00676ABC" w:rsidRPr="00676ABC">
        <w:t>vos savivaldybių politikai ir valdininkai norėtų VPSP pagrindu plėtoti infrastruktūros projektus, tačiau n</w:t>
      </w:r>
      <w:r w:rsidR="00982139">
        <w:t>eturi žinių, kaip tai padaryti</w:t>
      </w:r>
      <w:r w:rsidR="00982139" w:rsidRPr="004A0E4C">
        <w:t>, nes</w:t>
      </w:r>
      <w:r w:rsidR="00676ABC" w:rsidRPr="00676ABC">
        <w:t xml:space="preserve"> trūksta administracinių gebėjimų, kompetencijos ir strateginio požiūrio.</w:t>
      </w:r>
    </w:p>
    <w:p w:rsidR="00895F5C" w:rsidRPr="0047406D" w:rsidRDefault="000278A7" w:rsidP="005B524E">
      <w:pPr>
        <w:pStyle w:val="Heading1"/>
        <w:suppressAutoHyphens w:val="0"/>
        <w:rPr>
          <w:rFonts w:cs="Arial"/>
        </w:rPr>
      </w:pPr>
      <w:bookmarkStart w:id="31" w:name="_Toc248687466"/>
      <w:bookmarkStart w:id="32" w:name="_Toc251011255"/>
      <w:r>
        <w:rPr>
          <w:rFonts w:cs="Arial"/>
        </w:rPr>
        <w:t>VIRTUALAUS</w:t>
      </w:r>
      <w:r w:rsidR="00DF0626" w:rsidRPr="0047406D">
        <w:rPr>
          <w:rFonts w:cs="Arial"/>
        </w:rPr>
        <w:t xml:space="preserve"> universiteto samprata, modeliai ir plėtros tendencijos</w:t>
      </w:r>
      <w:bookmarkEnd w:id="31"/>
      <w:bookmarkEnd w:id="32"/>
    </w:p>
    <w:p w:rsidR="00895F5C" w:rsidRPr="001D1438" w:rsidRDefault="000278A7" w:rsidP="005B524E">
      <w:pPr>
        <w:pStyle w:val="Heading2"/>
        <w:suppressAutoHyphens w:val="0"/>
        <w:rPr>
          <w:lang w:eastAsia="ar-SA"/>
        </w:rPr>
      </w:pPr>
      <w:bookmarkStart w:id="33" w:name="_Toc198967460"/>
      <w:bookmarkStart w:id="34" w:name="_Toc248687467"/>
      <w:bookmarkStart w:id="35" w:name="_Toc251011256"/>
      <w:r>
        <w:rPr>
          <w:lang w:eastAsia="ar-SA"/>
        </w:rPr>
        <w:t>Virtualaus u</w:t>
      </w:r>
      <w:r w:rsidR="00895F5C" w:rsidRPr="001D1438">
        <w:rPr>
          <w:lang w:eastAsia="ar-SA"/>
        </w:rPr>
        <w:t>niversiteto samprata ir modeliai</w:t>
      </w:r>
      <w:bookmarkEnd w:id="33"/>
      <w:bookmarkEnd w:id="34"/>
      <w:bookmarkEnd w:id="35"/>
    </w:p>
    <w:p w:rsidR="008413B5" w:rsidRDefault="00895F5C" w:rsidP="005B524E">
      <w:pPr>
        <w:suppressAutoHyphens w:val="0"/>
        <w:rPr>
          <w:iCs/>
        </w:rPr>
      </w:pPr>
      <w:r w:rsidRPr="001D1438">
        <w:t>E. universiteto</w:t>
      </w:r>
      <w:r w:rsidR="00575D38">
        <w:t xml:space="preserve"> </w:t>
      </w:r>
      <w:r w:rsidR="000278A7">
        <w:t>bei virtualaus universiteto sampratos nėra naujos</w:t>
      </w:r>
      <w:r w:rsidRPr="001D1438">
        <w:t>, tačiau pastara</w:t>
      </w:r>
      <w:r w:rsidR="004604F7">
        <w:t>is metais yra pa</w:t>
      </w:r>
      <w:r w:rsidR="004604F7">
        <w:t>s</w:t>
      </w:r>
      <w:r w:rsidR="004604F7">
        <w:t>tebima, kad šie terminai</w:t>
      </w:r>
      <w:r w:rsidRPr="001D1438">
        <w:t xml:space="preserve"> vis dažniau vartojamas susijusioje lite</w:t>
      </w:r>
      <w:r w:rsidR="008413B5">
        <w:t>ratūroje apie nuotolinį mokymą. Prieš apibrėžiant sampratą „virtualus universitetas“ būtina apibrėžti kitas susijusias sąvokas (</w:t>
      </w:r>
      <w:r w:rsidR="00F50E59" w:rsidRPr="00962479">
        <w:t>Targamadzė</w:t>
      </w:r>
      <w:r w:rsidR="00F50E59">
        <w:rPr>
          <w:iCs/>
        </w:rPr>
        <w:t xml:space="preserve">, </w:t>
      </w:r>
      <w:r w:rsidR="00F50E59" w:rsidRPr="00962479">
        <w:rPr>
          <w:iCs/>
        </w:rPr>
        <w:t>2006</w:t>
      </w:r>
      <w:r w:rsidR="00F50E59">
        <w:rPr>
          <w:iCs/>
        </w:rPr>
        <w:t>)</w:t>
      </w:r>
      <w:r w:rsidR="00C1215E">
        <w:rPr>
          <w:iCs/>
        </w:rPr>
        <w:t>:</w:t>
      </w:r>
    </w:p>
    <w:p w:rsidR="00C1215E" w:rsidRDefault="00C1215E" w:rsidP="005B524E">
      <w:pPr>
        <w:suppressAutoHyphens w:val="0"/>
      </w:pPr>
      <w:r w:rsidRPr="00C1215E">
        <w:rPr>
          <w:i/>
          <w:iCs/>
        </w:rPr>
        <w:lastRenderedPageBreak/>
        <w:t>Nuotolinis mokymas</w:t>
      </w:r>
      <w:r w:rsidR="005519E2">
        <w:rPr>
          <w:i/>
          <w:iCs/>
        </w:rPr>
        <w:t>(</w:t>
      </w:r>
      <w:proofErr w:type="spellStart"/>
      <w:r w:rsidRPr="00C1215E">
        <w:rPr>
          <w:i/>
          <w:iCs/>
        </w:rPr>
        <w:t>is</w:t>
      </w:r>
      <w:proofErr w:type="spellEnd"/>
      <w:r w:rsidR="005519E2">
        <w:rPr>
          <w:i/>
          <w:iCs/>
        </w:rPr>
        <w:t>)</w:t>
      </w:r>
      <w:r w:rsidRPr="00C1215E">
        <w:t xml:space="preserve"> – mokymosi būdas, sąlygotas tarp dėstytojo ir studento esan</w:t>
      </w:r>
      <w:r>
        <w:t>čiu fiziniu a</w:t>
      </w:r>
      <w:r>
        <w:t>t</w:t>
      </w:r>
      <w:r>
        <w:t xml:space="preserve">stumu ir/arba </w:t>
      </w:r>
      <w:r w:rsidRPr="00C1215E">
        <w:t xml:space="preserve">skirtingu laiku vykstančia jų veikla. </w:t>
      </w:r>
    </w:p>
    <w:p w:rsidR="008413B5" w:rsidRPr="005B4141" w:rsidRDefault="008413B5" w:rsidP="005B524E">
      <w:pPr>
        <w:suppressAutoHyphens w:val="0"/>
      </w:pPr>
      <w:r w:rsidRPr="005B4141">
        <w:rPr>
          <w:i/>
          <w:iCs/>
        </w:rPr>
        <w:t>E. mokymas(</w:t>
      </w:r>
      <w:proofErr w:type="spellStart"/>
      <w:r w:rsidRPr="005B4141">
        <w:rPr>
          <w:i/>
          <w:iCs/>
        </w:rPr>
        <w:t>is</w:t>
      </w:r>
      <w:proofErr w:type="spellEnd"/>
      <w:r w:rsidRPr="005B4141">
        <w:rPr>
          <w:i/>
          <w:iCs/>
        </w:rPr>
        <w:t>)</w:t>
      </w:r>
      <w:r w:rsidRPr="005B4141">
        <w:t xml:space="preserve"> –</w:t>
      </w:r>
      <w:r w:rsidR="002F5F6C">
        <w:t xml:space="preserve"> </w:t>
      </w:r>
      <w:r w:rsidRPr="005B4141">
        <w:t>tradicinis mokymas(</w:t>
      </w:r>
      <w:proofErr w:type="spellStart"/>
      <w:r w:rsidRPr="005B4141">
        <w:t>is</w:t>
      </w:r>
      <w:proofErr w:type="spellEnd"/>
      <w:r w:rsidRPr="005B4141">
        <w:t>), siekiant jo kokybės ir efektyvumo</w:t>
      </w:r>
      <w:r w:rsidRPr="005B4141">
        <w:rPr>
          <w:i/>
          <w:iCs/>
        </w:rPr>
        <w:t xml:space="preserve"> </w:t>
      </w:r>
      <w:r w:rsidRPr="005B4141">
        <w:t xml:space="preserve">praturtintas IT priemonėmis ir dalinai perkeltas į virtualią erdvę. </w:t>
      </w:r>
    </w:p>
    <w:p w:rsidR="00C1215E" w:rsidRPr="009C62D4" w:rsidRDefault="008413B5" w:rsidP="005B524E">
      <w:pPr>
        <w:suppressAutoHyphens w:val="0"/>
        <w:rPr>
          <w:iCs/>
        </w:rPr>
      </w:pPr>
      <w:r w:rsidRPr="005B4141">
        <w:rPr>
          <w:i/>
          <w:iCs/>
        </w:rPr>
        <w:t>Virtualus mokymas</w:t>
      </w:r>
      <w:r w:rsidR="009A2186">
        <w:rPr>
          <w:i/>
          <w:iCs/>
        </w:rPr>
        <w:t>(</w:t>
      </w:r>
      <w:proofErr w:type="spellStart"/>
      <w:r w:rsidRPr="005B4141">
        <w:rPr>
          <w:i/>
          <w:iCs/>
        </w:rPr>
        <w:t>is</w:t>
      </w:r>
      <w:proofErr w:type="spellEnd"/>
      <w:r w:rsidR="009A2186">
        <w:rPr>
          <w:i/>
          <w:iCs/>
        </w:rPr>
        <w:t>)</w:t>
      </w:r>
      <w:r w:rsidRPr="005B4141">
        <w:t xml:space="preserve"> –</w:t>
      </w:r>
      <w:r w:rsidR="002F5F6C">
        <w:t xml:space="preserve"> </w:t>
      </w:r>
      <w:r w:rsidRPr="005B4141">
        <w:t>mokymasis virtualioje erdvėje</w:t>
      </w:r>
      <w:r w:rsidR="007B051C">
        <w:t>, t.y.</w:t>
      </w:r>
      <w:r w:rsidRPr="005B4141">
        <w:rPr>
          <w:iCs/>
        </w:rPr>
        <w:t>, virtualus mokymas</w:t>
      </w:r>
      <w:r w:rsidR="00F45618">
        <w:rPr>
          <w:iCs/>
        </w:rPr>
        <w:t>(</w:t>
      </w:r>
      <w:proofErr w:type="spellStart"/>
      <w:r w:rsidRPr="005B4141">
        <w:rPr>
          <w:iCs/>
        </w:rPr>
        <w:t>is</w:t>
      </w:r>
      <w:proofErr w:type="spellEnd"/>
      <w:r w:rsidR="00F45618">
        <w:rPr>
          <w:iCs/>
        </w:rPr>
        <w:t>)</w:t>
      </w:r>
      <w:r w:rsidRPr="005B4141">
        <w:rPr>
          <w:iCs/>
        </w:rPr>
        <w:t xml:space="preserve"> yra kra</w:t>
      </w:r>
      <w:r w:rsidRPr="005B4141">
        <w:rPr>
          <w:iCs/>
        </w:rPr>
        <w:t>š</w:t>
      </w:r>
      <w:r w:rsidRPr="005B4141">
        <w:rPr>
          <w:iCs/>
        </w:rPr>
        <w:t>tutinis (maksimalus) e. mokymo(si)</w:t>
      </w:r>
      <w:r w:rsidR="005B4141" w:rsidRPr="005B4141">
        <w:rPr>
          <w:iCs/>
        </w:rPr>
        <w:t xml:space="preserve"> atvejis. Anot autoriaus, pas</w:t>
      </w:r>
      <w:r w:rsidRPr="005B4141">
        <w:rPr>
          <w:iCs/>
        </w:rPr>
        <w:t>tebimas e. mokymo</w:t>
      </w:r>
      <w:r w:rsidR="005B4141" w:rsidRPr="005B4141">
        <w:rPr>
          <w:iCs/>
        </w:rPr>
        <w:t>(</w:t>
      </w:r>
      <w:r w:rsidRPr="005B4141">
        <w:rPr>
          <w:iCs/>
        </w:rPr>
        <w:t>si</w:t>
      </w:r>
      <w:r w:rsidR="005B4141" w:rsidRPr="005B4141">
        <w:rPr>
          <w:iCs/>
        </w:rPr>
        <w:t>)</w:t>
      </w:r>
      <w:r w:rsidRPr="005B4141">
        <w:rPr>
          <w:iCs/>
        </w:rPr>
        <w:t xml:space="preserve"> artėjimas prie virtualaus mokymo</w:t>
      </w:r>
      <w:r w:rsidR="0024247C">
        <w:rPr>
          <w:iCs/>
        </w:rPr>
        <w:t>(</w:t>
      </w:r>
      <w:r w:rsidRPr="005B4141">
        <w:rPr>
          <w:iCs/>
        </w:rPr>
        <w:t>si</w:t>
      </w:r>
      <w:r w:rsidR="0024247C">
        <w:rPr>
          <w:iCs/>
        </w:rPr>
        <w:t>)</w:t>
      </w:r>
      <w:r w:rsidRPr="005B4141">
        <w:rPr>
          <w:iCs/>
        </w:rPr>
        <w:t>.</w:t>
      </w:r>
    </w:p>
    <w:p w:rsidR="00895F5C" w:rsidRPr="001D1438" w:rsidRDefault="00895F5C" w:rsidP="005B524E">
      <w:pPr>
        <w:suppressAutoHyphens w:val="0"/>
      </w:pPr>
      <w:r w:rsidRPr="001D1438">
        <w:t xml:space="preserve">Nors </w:t>
      </w:r>
      <w:r w:rsidR="00EC773E">
        <w:t xml:space="preserve">virtualaus universiteto </w:t>
      </w:r>
      <w:r w:rsidRPr="001D1438">
        <w:t>samprata yra dažnai naudojama, tačiau nėra vieningo, bendrai prii</w:t>
      </w:r>
      <w:r w:rsidRPr="001D1438">
        <w:t>m</w:t>
      </w:r>
      <w:r w:rsidRPr="001D1438">
        <w:t xml:space="preserve">to </w:t>
      </w:r>
      <w:r w:rsidR="005C6804">
        <w:t>virtualaus</w:t>
      </w:r>
      <w:r w:rsidRPr="001D1438">
        <w:t xml:space="preserve"> universiteto apibrėžimo (</w:t>
      </w:r>
      <w:r w:rsidRPr="001D1438">
        <w:rPr>
          <w:lang w:eastAsia="ar-SA"/>
        </w:rPr>
        <w:t xml:space="preserve">Mansour, </w:t>
      </w:r>
      <w:proofErr w:type="spellStart"/>
      <w:r w:rsidRPr="001D1438">
        <w:rPr>
          <w:lang w:eastAsia="ar-SA"/>
        </w:rPr>
        <w:t>Al-Shehri,</w:t>
      </w:r>
      <w:proofErr w:type="spellEnd"/>
      <w:r w:rsidRPr="001D1438">
        <w:rPr>
          <w:lang w:eastAsia="ar-SA"/>
        </w:rPr>
        <w:t xml:space="preserve"> 2004)</w:t>
      </w:r>
      <w:r w:rsidRPr="001D1438">
        <w:t>:</w:t>
      </w:r>
    </w:p>
    <w:p w:rsidR="00895F5C" w:rsidRPr="001D1438" w:rsidRDefault="00895F5C" w:rsidP="005B524E">
      <w:pPr>
        <w:numPr>
          <w:ilvl w:val="0"/>
          <w:numId w:val="5"/>
        </w:numPr>
        <w:suppressAutoHyphens w:val="0"/>
      </w:pPr>
      <w:r w:rsidRPr="001D1438">
        <w:t>Universitetas, kaip institucija, kuri yra neribojama geografine teritorija ir kurioje, panaudojant naujausias ryšio technologijas, besimokantys, potencialūs ir buvę studentai, dėstytojai, tyrinėtojai, universiteto administracija ir darbuotojai yra sujungiami į lanksčią, pa</w:t>
      </w:r>
      <w:r w:rsidRPr="001D1438">
        <w:t>s</w:t>
      </w:r>
      <w:r w:rsidRPr="001D1438">
        <w:t xml:space="preserve">toviai besikeičiančią tinklinę </w:t>
      </w:r>
      <w:r w:rsidR="003C5535">
        <w:t>organizaciją (Cochran, 1977).</w:t>
      </w:r>
    </w:p>
    <w:p w:rsidR="00895F5C" w:rsidRPr="001D1438" w:rsidRDefault="00895F5C" w:rsidP="005B524E">
      <w:pPr>
        <w:numPr>
          <w:ilvl w:val="0"/>
          <w:numId w:val="5"/>
        </w:numPr>
        <w:suppressAutoHyphens w:val="0"/>
      </w:pPr>
      <w:r w:rsidRPr="001D1438">
        <w:t>Bet kas, kas teikia aukštojo mokslo paslaugą internetu (</w:t>
      </w:r>
      <w:r w:rsidRPr="001D1438">
        <w:rPr>
          <w:lang w:eastAsia="ar-SA"/>
        </w:rPr>
        <w:t>Goddard, Cornford, 2004)</w:t>
      </w:r>
      <w:r w:rsidR="003C5535">
        <w:t>.</w:t>
      </w:r>
    </w:p>
    <w:p w:rsidR="00895F5C" w:rsidRPr="001D1438" w:rsidRDefault="00895F5C" w:rsidP="005B524E">
      <w:pPr>
        <w:numPr>
          <w:ilvl w:val="0"/>
          <w:numId w:val="5"/>
        </w:numPr>
        <w:suppressAutoHyphens w:val="0"/>
      </w:pPr>
      <w:r w:rsidRPr="001D1438">
        <w:t>Elektroninė mokymo, mokymosi ir tyrimų erdvė, kurią sukurti gali kelios susiliejusios naujos technologijos (k</w:t>
      </w:r>
      <w:r w:rsidR="003C5535">
        <w:t>onvergencija) (Van Dusen, 1997).</w:t>
      </w:r>
    </w:p>
    <w:p w:rsidR="00895F5C" w:rsidRPr="001D1438" w:rsidRDefault="00895F5C" w:rsidP="005B524E">
      <w:pPr>
        <w:numPr>
          <w:ilvl w:val="0"/>
          <w:numId w:val="5"/>
        </w:numPr>
        <w:suppressAutoHyphens w:val="0"/>
      </w:pPr>
      <w:r w:rsidRPr="001D1438">
        <w:t>Tradicinis universitetas, teikiantis galimybes studijuoti alternatyviais būdais. Pirmiausia tai turi būti tinklas, tinkantis mokymosi visą gyvenimą koncepcijai ir atitinkantis naujo laikmečio lūkesčius (</w:t>
      </w:r>
      <w:r w:rsidRPr="001D1438">
        <w:rPr>
          <w:rFonts w:eastAsia="font40" w:cs="font40"/>
          <w:lang w:eastAsia="ar-SA"/>
        </w:rPr>
        <w:t>Davies</w:t>
      </w:r>
      <w:r w:rsidRPr="001D1438">
        <w:t xml:space="preserve">, 1998, </w:t>
      </w:r>
      <w:r w:rsidRPr="001D1438">
        <w:rPr>
          <w:lang w:eastAsia="ar-SA"/>
        </w:rPr>
        <w:t>Whittington</w:t>
      </w:r>
      <w:r w:rsidR="003C5535">
        <w:t>, 2000).</w:t>
      </w:r>
    </w:p>
    <w:p w:rsidR="00895F5C" w:rsidRPr="001D1438" w:rsidRDefault="00895F5C" w:rsidP="005B524E">
      <w:pPr>
        <w:suppressAutoHyphens w:val="0"/>
      </w:pPr>
      <w:r w:rsidRPr="001D1438">
        <w:rPr>
          <w:i/>
        </w:rPr>
        <w:t>Šiandien vis dar sunku tiksliai apibrėžti, kas yra virtualus universitetas, nes daugelis aukštojo mokslo institucijų bando taikyti įvairius mokymo metodus ir tuo tikslu organizacijoje derina įvairius virtualumo lygius. Dažnai sąvokos virtualus universitetas, virtualus universiteto miestelis ir virtualūs kursai yra painiojamos ir šiomis sąvokomis bandoma apibrėžti tuos pačius dalykus, nors iš esmės tai yra visai skirtingi dalykai</w:t>
      </w:r>
      <w:r w:rsidRPr="001D1438">
        <w:t xml:space="preserve"> (Rutkauskienė ir kt., 2006).</w:t>
      </w:r>
    </w:p>
    <w:p w:rsidR="00895F5C" w:rsidRPr="001D1438" w:rsidRDefault="00895F5C" w:rsidP="005B524E">
      <w:pPr>
        <w:suppressAutoHyphens w:val="0"/>
      </w:pPr>
      <w:r w:rsidRPr="001D1438">
        <w:t>Anot Rutkauskienė ir kt., terminas „virtualus universitetas“ turėtų apibrėžti bendrą universiteto koncepciją, pradedant studentais, akademiniu personalu, vykdomais tyrimais ir baigiant pačia univers</w:t>
      </w:r>
      <w:r w:rsidRPr="001D1438">
        <w:t>i</w:t>
      </w:r>
      <w:r w:rsidRPr="001D1438">
        <w:t>teto struktūra. Van Dusen (1997) pateikė gana tikslų virtualaus miestelio ir virtualaus kurso apibrėž</w:t>
      </w:r>
      <w:r w:rsidRPr="001D1438">
        <w:t>i</w:t>
      </w:r>
      <w:r w:rsidRPr="001D1438">
        <w:t>mą:</w:t>
      </w:r>
    </w:p>
    <w:p w:rsidR="00895F5C" w:rsidRPr="001D1438" w:rsidRDefault="00895F5C" w:rsidP="005B524E">
      <w:pPr>
        <w:suppressAutoHyphens w:val="0"/>
      </w:pPr>
      <w:r w:rsidRPr="001D1438">
        <w:rPr>
          <w:i/>
        </w:rPr>
        <w:t>Virtualus universiteto miestelis</w:t>
      </w:r>
      <w:r w:rsidRPr="001D1438">
        <w:t xml:space="preserve"> yra mokymo(si) ir mokslo tyrimams skirtos aplinkos, kurią pad</w:t>
      </w:r>
      <w:r w:rsidRPr="001D1438">
        <w:t>e</w:t>
      </w:r>
      <w:r w:rsidRPr="001D1438">
        <w:t>da sukurti naujosios mokymo(si) ir komunikavimo technologijos, metafora. Tuo tarpu virtualūs kursai yra dedamoji dalis, turinti funkcionuoti prieš kuriant virtualų universitetą.</w:t>
      </w:r>
    </w:p>
    <w:p w:rsidR="00895F5C" w:rsidRPr="001D1438" w:rsidRDefault="00895F5C" w:rsidP="005B524E">
      <w:pPr>
        <w:suppressAutoHyphens w:val="0"/>
        <w:rPr>
          <w:lang w:eastAsia="ar-SA"/>
        </w:rPr>
      </w:pPr>
      <w:r w:rsidRPr="001D1438">
        <w:t>Kaip matome, terminas „</w:t>
      </w:r>
      <w:r w:rsidR="005C6804">
        <w:t>virtualus</w:t>
      </w:r>
      <w:r w:rsidRPr="001D1438">
        <w:t xml:space="preserve"> universitetas“ yra traktuojamas ir apibrėžiamas skirtingai. N</w:t>
      </w:r>
      <w:r w:rsidRPr="001D1438">
        <w:t>e</w:t>
      </w:r>
      <w:r w:rsidRPr="001D1438">
        <w:t xml:space="preserve">paisant to, autoriai </w:t>
      </w:r>
      <w:r w:rsidRPr="001D1438">
        <w:rPr>
          <w:lang w:eastAsia="ar-SA"/>
        </w:rPr>
        <w:t xml:space="preserve">Mansour ir </w:t>
      </w:r>
      <w:proofErr w:type="spellStart"/>
      <w:r w:rsidRPr="001D1438">
        <w:rPr>
          <w:lang w:eastAsia="ar-SA"/>
        </w:rPr>
        <w:t>Al-Shehri</w:t>
      </w:r>
      <w:proofErr w:type="spellEnd"/>
      <w:r w:rsidRPr="001D1438">
        <w:rPr>
          <w:lang w:eastAsia="ar-SA"/>
        </w:rPr>
        <w:t xml:space="preserve"> (2004) išskyrė bendrąsias </w:t>
      </w:r>
      <w:r w:rsidR="00251150">
        <w:rPr>
          <w:lang w:eastAsia="ar-SA"/>
        </w:rPr>
        <w:t>virtualaus</w:t>
      </w:r>
      <w:r w:rsidRPr="001D1438">
        <w:rPr>
          <w:lang w:eastAsia="ar-SA"/>
        </w:rPr>
        <w:t xml:space="preserve"> universiteto savybes:</w:t>
      </w:r>
    </w:p>
    <w:p w:rsidR="00895F5C" w:rsidRPr="001D1438" w:rsidRDefault="00895F5C" w:rsidP="005B524E">
      <w:pPr>
        <w:numPr>
          <w:ilvl w:val="0"/>
          <w:numId w:val="6"/>
        </w:numPr>
        <w:suppressAutoHyphens w:val="0"/>
        <w:rPr>
          <w:lang w:eastAsia="ar-SA"/>
        </w:rPr>
      </w:pPr>
      <w:r w:rsidRPr="001D1438">
        <w:rPr>
          <w:lang w:eastAsia="ar-SA"/>
        </w:rPr>
        <w:t>Modernių IRT panaudojimas daro didelį poveikį virtualaus universi</w:t>
      </w:r>
      <w:r w:rsidR="00E04360">
        <w:rPr>
          <w:lang w:eastAsia="ar-SA"/>
        </w:rPr>
        <w:t>teto koncepcijai.</w:t>
      </w:r>
    </w:p>
    <w:p w:rsidR="00895F5C" w:rsidRPr="001D1438" w:rsidRDefault="005C6804" w:rsidP="005B524E">
      <w:pPr>
        <w:numPr>
          <w:ilvl w:val="0"/>
          <w:numId w:val="6"/>
        </w:numPr>
        <w:suppressAutoHyphens w:val="0"/>
        <w:rPr>
          <w:lang w:eastAsia="ar-SA"/>
        </w:rPr>
      </w:pPr>
      <w:r>
        <w:rPr>
          <w:lang w:eastAsia="ar-SA"/>
        </w:rPr>
        <w:lastRenderedPageBreak/>
        <w:t>Virtualus</w:t>
      </w:r>
      <w:r w:rsidR="00895F5C" w:rsidRPr="001D1438">
        <w:rPr>
          <w:lang w:eastAsia="ar-SA"/>
        </w:rPr>
        <w:t xml:space="preserve"> universitetas nėra tradicinė institucija. Ji gali neturėti realaus studentų miest</w:t>
      </w:r>
      <w:r w:rsidR="00895F5C" w:rsidRPr="001D1438">
        <w:rPr>
          <w:lang w:eastAsia="ar-SA"/>
        </w:rPr>
        <w:t>e</w:t>
      </w:r>
      <w:r w:rsidR="00895F5C" w:rsidRPr="001D1438">
        <w:rPr>
          <w:lang w:eastAsia="ar-SA"/>
        </w:rPr>
        <w:t>lio, administracinių patalpų ir bibliotekos, tačiau elektroninio tinklo pagalba ji gali lank</w:t>
      </w:r>
      <w:r w:rsidR="00895F5C" w:rsidRPr="001D1438">
        <w:rPr>
          <w:lang w:eastAsia="ar-SA"/>
        </w:rPr>
        <w:t>s</w:t>
      </w:r>
      <w:r w:rsidR="00895F5C" w:rsidRPr="001D1438">
        <w:rPr>
          <w:lang w:eastAsia="ar-SA"/>
        </w:rPr>
        <w:t xml:space="preserve">čiau ir demokratiškiau atlikti tas pačias tradicinio </w:t>
      </w:r>
      <w:r w:rsidR="00E04360">
        <w:rPr>
          <w:lang w:eastAsia="ar-SA"/>
        </w:rPr>
        <w:t>universiteto funkcijas.</w:t>
      </w:r>
    </w:p>
    <w:p w:rsidR="00895F5C" w:rsidRPr="001D1438" w:rsidRDefault="005C6804" w:rsidP="005B524E">
      <w:pPr>
        <w:numPr>
          <w:ilvl w:val="0"/>
          <w:numId w:val="6"/>
        </w:numPr>
        <w:suppressAutoHyphens w:val="0"/>
        <w:rPr>
          <w:lang w:eastAsia="ar-SA"/>
        </w:rPr>
      </w:pPr>
      <w:r>
        <w:rPr>
          <w:lang w:eastAsia="ar-SA"/>
        </w:rPr>
        <w:t>Virtualaus</w:t>
      </w:r>
      <w:r w:rsidR="00895F5C" w:rsidRPr="001D1438">
        <w:rPr>
          <w:lang w:eastAsia="ar-SA"/>
        </w:rPr>
        <w:t xml:space="preserve"> universiteto iškilimas pagrįstas būtinų </w:t>
      </w:r>
      <w:proofErr w:type="gramStart"/>
      <w:r w:rsidR="00895F5C" w:rsidRPr="001D1438">
        <w:rPr>
          <w:lang w:eastAsia="ar-SA"/>
        </w:rPr>
        <w:t>pore</w:t>
      </w:r>
      <w:r w:rsidR="00E04360">
        <w:rPr>
          <w:lang w:eastAsia="ar-SA"/>
        </w:rPr>
        <w:t>ikių</w:t>
      </w:r>
      <w:proofErr w:type="gramEnd"/>
      <w:r w:rsidR="00E04360">
        <w:rPr>
          <w:lang w:eastAsia="ar-SA"/>
        </w:rPr>
        <w:t xml:space="preserve"> įsigyti žinias ir įgūdžius.</w:t>
      </w:r>
    </w:p>
    <w:p w:rsidR="00895F5C" w:rsidRPr="001D1438" w:rsidRDefault="00895F5C" w:rsidP="005B524E">
      <w:pPr>
        <w:numPr>
          <w:ilvl w:val="0"/>
          <w:numId w:val="6"/>
        </w:numPr>
        <w:suppressAutoHyphens w:val="0"/>
        <w:rPr>
          <w:lang w:eastAsia="ar-SA"/>
        </w:rPr>
      </w:pPr>
      <w:r w:rsidRPr="001D1438">
        <w:rPr>
          <w:lang w:eastAsia="ar-SA"/>
        </w:rPr>
        <w:t>Kooperacija, bendradarbiavimas ir komunikacija yra reikšmingiausi virtualaus universit</w:t>
      </w:r>
      <w:r w:rsidRPr="001D1438">
        <w:rPr>
          <w:lang w:eastAsia="ar-SA"/>
        </w:rPr>
        <w:t>e</w:t>
      </w:r>
      <w:r w:rsidR="00E04360">
        <w:rPr>
          <w:lang w:eastAsia="ar-SA"/>
        </w:rPr>
        <w:t>to elementai.</w:t>
      </w:r>
    </w:p>
    <w:p w:rsidR="00895F5C" w:rsidRPr="001D1438" w:rsidRDefault="00895F5C" w:rsidP="005B524E">
      <w:pPr>
        <w:numPr>
          <w:ilvl w:val="0"/>
          <w:numId w:val="6"/>
        </w:numPr>
        <w:suppressAutoHyphens w:val="0"/>
        <w:rPr>
          <w:lang w:eastAsia="ar-SA"/>
        </w:rPr>
      </w:pPr>
      <w:r w:rsidRPr="001D1438">
        <w:rPr>
          <w:lang w:eastAsia="ar-SA"/>
        </w:rPr>
        <w:t>Virtualaus universiteto misija – suteikti mokymo(si) galimybes tiems, kurie dėl tam tikrų priežasčių negali lank</w:t>
      </w:r>
      <w:r w:rsidR="003F54CD">
        <w:rPr>
          <w:lang w:eastAsia="ar-SA"/>
        </w:rPr>
        <w:t>yti tradicinių mokymosi įstaigų.</w:t>
      </w:r>
    </w:p>
    <w:p w:rsidR="00895F5C" w:rsidRPr="001D1438" w:rsidRDefault="005C6804" w:rsidP="005B524E">
      <w:pPr>
        <w:numPr>
          <w:ilvl w:val="0"/>
          <w:numId w:val="6"/>
        </w:numPr>
        <w:suppressAutoHyphens w:val="0"/>
        <w:rPr>
          <w:lang w:eastAsia="ar-SA"/>
        </w:rPr>
      </w:pPr>
      <w:r>
        <w:rPr>
          <w:lang w:eastAsia="ar-SA"/>
        </w:rPr>
        <w:t>Virtualaus</w:t>
      </w:r>
      <w:r w:rsidR="00895F5C" w:rsidRPr="001D1438">
        <w:rPr>
          <w:lang w:eastAsia="ar-SA"/>
        </w:rPr>
        <w:t xml:space="preserve"> universiteto organizacinei struktūrai gali būti naudojami skirtingi modeliai.</w:t>
      </w:r>
    </w:p>
    <w:p w:rsidR="00895F5C" w:rsidRPr="001D1438" w:rsidRDefault="00895F5C" w:rsidP="005B524E">
      <w:pPr>
        <w:suppressAutoHyphens w:val="0"/>
        <w:rPr>
          <w:lang w:eastAsia="ar-SA"/>
        </w:rPr>
      </w:pPr>
      <w:r w:rsidRPr="001D1438">
        <w:rPr>
          <w:lang w:eastAsia="ar-SA"/>
        </w:rPr>
        <w:t xml:space="preserve">Apibendrinant apibrėžimus, </w:t>
      </w:r>
      <w:r w:rsidR="0006320E">
        <w:rPr>
          <w:lang w:eastAsia="ar-SA"/>
        </w:rPr>
        <w:t>virtualus</w:t>
      </w:r>
      <w:r w:rsidRPr="001D1438">
        <w:rPr>
          <w:lang w:eastAsia="ar-SA"/>
        </w:rPr>
        <w:t xml:space="preserve"> universitetas – tai daugialypė struktūra, </w:t>
      </w:r>
      <w:r w:rsidRPr="001D1438">
        <w:t>teikianti galimybes studijuoti alternatyviais būdais</w:t>
      </w:r>
      <w:r w:rsidRPr="001D1438">
        <w:rPr>
          <w:lang w:eastAsia="ar-SA"/>
        </w:rPr>
        <w:t xml:space="preserve"> bei reikalaujanti naujo požiūrio tiek į mokymo(si) paslaugų teikimą, tiek į valdymo bei organizacinius aspektus.</w:t>
      </w:r>
    </w:p>
    <w:p w:rsidR="00895F5C" w:rsidRPr="00F91B0F" w:rsidRDefault="00895F5C" w:rsidP="005B524E">
      <w:pPr>
        <w:pStyle w:val="Heading2"/>
        <w:suppressAutoHyphens w:val="0"/>
      </w:pPr>
      <w:bookmarkStart w:id="36" w:name="_Toc248687468"/>
      <w:bookmarkStart w:id="37" w:name="_Toc251011257"/>
      <w:r w:rsidRPr="00F91B0F">
        <w:t xml:space="preserve">Bendrieji </w:t>
      </w:r>
      <w:r w:rsidR="0024247C">
        <w:t>virtualaus universite</w:t>
      </w:r>
      <w:r w:rsidRPr="00F91B0F">
        <w:t>to modeliai</w:t>
      </w:r>
      <w:bookmarkEnd w:id="36"/>
      <w:bookmarkEnd w:id="37"/>
    </w:p>
    <w:p w:rsidR="00895F5C" w:rsidRPr="001D1438" w:rsidRDefault="00895F5C" w:rsidP="005B524E">
      <w:pPr>
        <w:suppressAutoHyphens w:val="0"/>
      </w:pPr>
      <w:r w:rsidRPr="001D1438">
        <w:t xml:space="preserve">Kaip jau buvo minėta, </w:t>
      </w:r>
      <w:r>
        <w:t>IRT plėtra bei vis naujų technologijų atsiradimas</w:t>
      </w:r>
      <w:r w:rsidRPr="001D1438">
        <w:t xml:space="preserve"> daro didelį poveikį vi</w:t>
      </w:r>
      <w:r w:rsidRPr="001D1438">
        <w:t>r</w:t>
      </w:r>
      <w:r w:rsidRPr="001D1438">
        <w:t xml:space="preserve">tualaus universiteto koncepcijai, kuo pasėkoje atsiranda naujų </w:t>
      </w:r>
      <w:r w:rsidR="005C6804">
        <w:t>virtualių</w:t>
      </w:r>
      <w:r w:rsidRPr="001D1438">
        <w:t xml:space="preserve"> universitetų modelių. </w:t>
      </w:r>
    </w:p>
    <w:p w:rsidR="00895F5C" w:rsidRPr="001D1438" w:rsidRDefault="00895F5C" w:rsidP="005B524E">
      <w:pPr>
        <w:suppressAutoHyphens w:val="0"/>
      </w:pPr>
      <w:r w:rsidRPr="001D1438">
        <w:t>Analizuotoje literatūroje, švietimo rinkos tyrėjai virtualius universitetus siūlo klasifikuoti pagal šiuos kriterijus:</w:t>
      </w:r>
    </w:p>
    <w:p w:rsidR="00895F5C" w:rsidRPr="001D1438" w:rsidRDefault="00895F5C" w:rsidP="005B524E">
      <w:pPr>
        <w:numPr>
          <w:ilvl w:val="0"/>
          <w:numId w:val="7"/>
        </w:numPr>
        <w:suppressAutoHyphens w:val="0"/>
      </w:pPr>
      <w:r w:rsidRPr="001D1438">
        <w:t>institucinė integracija (</w:t>
      </w:r>
      <w:r w:rsidRPr="001D1438">
        <w:rPr>
          <w:lang w:eastAsia="ar-SA"/>
        </w:rPr>
        <w:t xml:space="preserve">Farrell, </w:t>
      </w:r>
      <w:proofErr w:type="spellStart"/>
      <w:r w:rsidRPr="001D1438">
        <w:rPr>
          <w:lang w:eastAsia="ar-SA"/>
        </w:rPr>
        <w:t>Glen</w:t>
      </w:r>
      <w:proofErr w:type="spellEnd"/>
      <w:r w:rsidRPr="001D1438">
        <w:rPr>
          <w:lang w:eastAsia="ar-SA"/>
        </w:rPr>
        <w:t>, 2001)</w:t>
      </w:r>
      <w:r w:rsidRPr="001D1438">
        <w:t>;</w:t>
      </w:r>
    </w:p>
    <w:p w:rsidR="00895F5C" w:rsidRPr="001D1438" w:rsidRDefault="00895F5C" w:rsidP="005B524E">
      <w:pPr>
        <w:numPr>
          <w:ilvl w:val="0"/>
          <w:numId w:val="7"/>
        </w:numPr>
        <w:suppressAutoHyphens w:val="0"/>
      </w:pPr>
      <w:r w:rsidRPr="001D1438">
        <w:t>organizacinė struktūra (</w:t>
      </w:r>
      <w:proofErr w:type="spellStart"/>
      <w:r w:rsidRPr="001D1438">
        <w:rPr>
          <w:lang w:eastAsia="ar-SA"/>
        </w:rPr>
        <w:t>Smith</w:t>
      </w:r>
      <w:proofErr w:type="spellEnd"/>
      <w:r w:rsidRPr="001D1438">
        <w:rPr>
          <w:lang w:eastAsia="ar-SA"/>
        </w:rPr>
        <w:t>, 1998)</w:t>
      </w:r>
      <w:r w:rsidRPr="001D1438">
        <w:t>;</w:t>
      </w:r>
    </w:p>
    <w:p w:rsidR="00895F5C" w:rsidRPr="001D1438" w:rsidRDefault="00895F5C" w:rsidP="005B524E">
      <w:pPr>
        <w:numPr>
          <w:ilvl w:val="0"/>
          <w:numId w:val="7"/>
        </w:numPr>
        <w:suppressAutoHyphens w:val="0"/>
      </w:pPr>
      <w:r w:rsidRPr="001D1438">
        <w:t>valdymo struktūra (</w:t>
      </w:r>
      <w:proofErr w:type="spellStart"/>
      <w:r w:rsidRPr="001D1438">
        <w:rPr>
          <w:lang w:eastAsia="ar-SA"/>
        </w:rPr>
        <w:t>Hanna</w:t>
      </w:r>
      <w:proofErr w:type="spellEnd"/>
      <w:r w:rsidRPr="001D1438">
        <w:rPr>
          <w:lang w:eastAsia="ar-SA"/>
        </w:rPr>
        <w:t>, 1998);</w:t>
      </w:r>
    </w:p>
    <w:p w:rsidR="00895F5C" w:rsidRPr="001D1438" w:rsidRDefault="00895F5C" w:rsidP="005B524E">
      <w:pPr>
        <w:numPr>
          <w:ilvl w:val="0"/>
          <w:numId w:val="7"/>
        </w:numPr>
        <w:suppressAutoHyphens w:val="0"/>
      </w:pPr>
      <w:r w:rsidRPr="001D1438">
        <w:t>ekonominis pagrindas (</w:t>
      </w:r>
      <w:proofErr w:type="spellStart"/>
      <w:r w:rsidRPr="001D1438">
        <w:rPr>
          <w:lang w:eastAsia="ar-SA"/>
        </w:rPr>
        <w:t>Hurst</w:t>
      </w:r>
      <w:proofErr w:type="spellEnd"/>
      <w:r w:rsidRPr="001D1438">
        <w:rPr>
          <w:lang w:eastAsia="ar-SA"/>
        </w:rPr>
        <w:t xml:space="preserve">, 1998, Mansour, </w:t>
      </w:r>
      <w:proofErr w:type="spellStart"/>
      <w:r w:rsidRPr="001D1438">
        <w:rPr>
          <w:lang w:eastAsia="ar-SA"/>
        </w:rPr>
        <w:t>Al-Shehri,</w:t>
      </w:r>
      <w:proofErr w:type="spellEnd"/>
      <w:r w:rsidRPr="001D1438">
        <w:rPr>
          <w:lang w:eastAsia="ar-SA"/>
        </w:rPr>
        <w:t xml:space="preserve"> 2004</w:t>
      </w:r>
      <w:r w:rsidRPr="001D1438">
        <w:t>);</w:t>
      </w:r>
    </w:p>
    <w:p w:rsidR="00895F5C" w:rsidRPr="001D1438" w:rsidRDefault="00895F5C" w:rsidP="005B524E">
      <w:pPr>
        <w:numPr>
          <w:ilvl w:val="0"/>
          <w:numId w:val="7"/>
        </w:numPr>
        <w:suppressAutoHyphens w:val="0"/>
      </w:pPr>
      <w:r w:rsidRPr="001D1438">
        <w:t>inovacinių technologijų panaudojimo lygis (</w:t>
      </w:r>
      <w:proofErr w:type="spellStart"/>
      <w:r w:rsidRPr="001D1438">
        <w:rPr>
          <w:rFonts w:eastAsia="Arial" w:cs="Arial"/>
          <w:lang w:eastAsia="ar-SA"/>
        </w:rPr>
        <w:t>Duin</w:t>
      </w:r>
      <w:proofErr w:type="spellEnd"/>
      <w:r w:rsidRPr="001D1438">
        <w:rPr>
          <w:rFonts w:eastAsia="Arial" w:cs="Arial"/>
          <w:lang w:eastAsia="ar-SA"/>
        </w:rPr>
        <w:t xml:space="preserve">, </w:t>
      </w:r>
      <w:proofErr w:type="spellStart"/>
      <w:r w:rsidRPr="001D1438">
        <w:rPr>
          <w:rFonts w:eastAsia="Arial" w:cs="Arial"/>
          <w:lang w:eastAsia="ar-SA"/>
        </w:rPr>
        <w:t>Baer</w:t>
      </w:r>
      <w:proofErr w:type="spellEnd"/>
      <w:r w:rsidRPr="001D1438">
        <w:rPr>
          <w:rFonts w:eastAsia="Arial" w:cs="Arial"/>
          <w:lang w:eastAsia="ar-SA"/>
        </w:rPr>
        <w:t>, 1999)</w:t>
      </w:r>
      <w:r w:rsidRPr="001D1438">
        <w:t>;</w:t>
      </w:r>
    </w:p>
    <w:p w:rsidR="00895F5C" w:rsidRPr="001D1438" w:rsidRDefault="00895F5C" w:rsidP="005B524E">
      <w:pPr>
        <w:suppressAutoHyphens w:val="0"/>
      </w:pPr>
      <w:r w:rsidRPr="001D1438">
        <w:t>Šiame darbe daugiausiai dėmesio bus skiriama klasifikacijai pagal organizacinę ir valdymo struktūrą, kadangi siekiant išsiaiškinti v</w:t>
      </w:r>
      <w:r w:rsidRPr="002670C8">
        <w:rPr>
          <w:kern w:val="24"/>
        </w:rPr>
        <w:t>iešojo ir privataus sektorių partnerystė</w:t>
      </w:r>
      <w:r w:rsidRPr="001D1438">
        <w:t>s galimybes ir poreikius, pirmiausia turi būti išskirti virtualių universitetų valdymo, administracinių sprendimų bei organizac</w:t>
      </w:r>
      <w:r w:rsidRPr="001D1438">
        <w:t>i</w:t>
      </w:r>
      <w:r w:rsidRPr="001D1438">
        <w:t xml:space="preserve">nės struktūros ypatumai. </w:t>
      </w:r>
      <w:r w:rsidR="00512D87">
        <w:t>Ekonominis pagrindas nėra svarbus</w:t>
      </w:r>
      <w:r w:rsidR="001539A3">
        <w:t xml:space="preserve">, nes </w:t>
      </w:r>
      <w:r w:rsidR="00313BF0">
        <w:t>ne</w:t>
      </w:r>
      <w:r w:rsidR="001539A3">
        <w:t xml:space="preserve">atsižvelgiant į švietimo sistemos ypatumus bei nepriklausomai nuo ekonominio pagrindo, visos </w:t>
      </w:r>
      <w:r w:rsidR="0024247C">
        <w:t>virtualaus universite</w:t>
      </w:r>
      <w:r w:rsidR="001539A3">
        <w:t xml:space="preserve">to modeliai galima būti taikomi. </w:t>
      </w:r>
    </w:p>
    <w:p w:rsidR="00895F5C" w:rsidRPr="001D1438" w:rsidRDefault="00895F5C" w:rsidP="005B524E">
      <w:pPr>
        <w:suppressAutoHyphens w:val="0"/>
      </w:pPr>
      <w:r w:rsidRPr="001D1438">
        <w:t xml:space="preserve">F. </w:t>
      </w:r>
      <w:proofErr w:type="spellStart"/>
      <w:r w:rsidRPr="001D1438">
        <w:t>Hursto</w:t>
      </w:r>
      <w:proofErr w:type="spellEnd"/>
      <w:r w:rsidRPr="001D1438">
        <w:t xml:space="preserve"> (1998) darbe yra nagrinėjami skirtingi virtualių universitetų modeliai ir jų valdymo struktūros. Autorius išskyrė 6 galimus valdymo modelius:</w:t>
      </w:r>
    </w:p>
    <w:p w:rsidR="00895F5C" w:rsidRPr="001D1438" w:rsidRDefault="00895F5C" w:rsidP="005B524E">
      <w:pPr>
        <w:numPr>
          <w:ilvl w:val="0"/>
          <w:numId w:val="8"/>
        </w:numPr>
        <w:suppressAutoHyphens w:val="0"/>
      </w:pPr>
      <w:r w:rsidRPr="001D1438">
        <w:rPr>
          <w:b/>
        </w:rPr>
        <w:t>Atvirasis universitetas</w:t>
      </w:r>
      <w:r w:rsidRPr="001D1438">
        <w:t xml:space="preserve"> (</w:t>
      </w:r>
      <w:r w:rsidRPr="001D1438">
        <w:rPr>
          <w:i/>
        </w:rPr>
        <w:t xml:space="preserve">angl. </w:t>
      </w:r>
      <w:r w:rsidRPr="005826C6">
        <w:rPr>
          <w:i/>
          <w:lang w:val="en-US"/>
        </w:rPr>
        <w:t>The Open University</w:t>
      </w:r>
      <w:r w:rsidRPr="001D1438">
        <w:t xml:space="preserve">) </w:t>
      </w:r>
      <w:r w:rsidR="00AA05BC">
        <w:t>–</w:t>
      </w:r>
      <w:r w:rsidR="00082F82">
        <w:t xml:space="preserve"> </w:t>
      </w:r>
      <w:r w:rsidRPr="001D1438">
        <w:t>viena iš galimų valdymo strateg</w:t>
      </w:r>
      <w:r w:rsidRPr="001D1438">
        <w:t>i</w:t>
      </w:r>
      <w:r w:rsidRPr="001D1438">
        <w:t xml:space="preserve">jų, siekiant pritraukti daugiau besimokančiųjų ir konkuruoti su tradicinių mokymosi. Šiuo atveju kuriami iš pagrindų visi reikiami </w:t>
      </w:r>
      <w:r w:rsidR="0024247C">
        <w:t>virtualaus universite</w:t>
      </w:r>
      <w:r w:rsidRPr="001D1438">
        <w:t xml:space="preserve">tų veiklos procesai. Taip pat </w:t>
      </w:r>
      <w:r w:rsidRPr="001D1438">
        <w:lastRenderedPageBreak/>
        <w:t>šį strategija numato naujos institucijos</w:t>
      </w:r>
      <w:r w:rsidR="000A08E6">
        <w:t xml:space="preserve"> </w:t>
      </w:r>
      <w:r w:rsidR="000A08E6" w:rsidRPr="001D1438">
        <w:t>kūrimą</w:t>
      </w:r>
      <w:r w:rsidRPr="001D1438">
        <w:t>, kuri teks auštojo mokslo paslaugas pas</w:t>
      </w:r>
      <w:r w:rsidRPr="001D1438">
        <w:t>i</w:t>
      </w:r>
      <w:r w:rsidRPr="001D1438">
        <w:t>naudojant IRT gal</w:t>
      </w:r>
      <w:r w:rsidR="000A08E6">
        <w:t>imybėmis</w:t>
      </w:r>
      <w:r w:rsidRPr="001D1438">
        <w:t>.</w:t>
      </w:r>
      <w:r w:rsidRPr="001D1438">
        <w:rPr>
          <w:rFonts w:ascii="TimesNewRomanPSMT" w:eastAsia="TimesNewRomanPSMT" w:hAnsi="TimesNewRomanPSMT" w:cs="TimesNewRomanPSMT"/>
          <w:b/>
          <w:lang w:eastAsia="ar-SA"/>
        </w:rPr>
        <w:t xml:space="preserve"> </w:t>
      </w:r>
      <w:proofErr w:type="spellStart"/>
      <w:r w:rsidRPr="001D1438">
        <w:rPr>
          <w:rFonts w:eastAsia="Arial" w:cs="Arial"/>
          <w:lang w:eastAsia="ar-SA"/>
        </w:rPr>
        <w:t>Duin</w:t>
      </w:r>
      <w:proofErr w:type="spellEnd"/>
      <w:r w:rsidRPr="001D1438">
        <w:rPr>
          <w:rFonts w:eastAsia="Arial" w:cs="Arial"/>
          <w:lang w:eastAsia="ar-SA"/>
        </w:rPr>
        <w:t xml:space="preserve">, </w:t>
      </w:r>
      <w:proofErr w:type="spellStart"/>
      <w:r w:rsidRPr="001D1438">
        <w:rPr>
          <w:rFonts w:eastAsia="Arial" w:cs="Arial"/>
          <w:lang w:eastAsia="ar-SA"/>
        </w:rPr>
        <w:t>Baer</w:t>
      </w:r>
      <w:proofErr w:type="spellEnd"/>
      <w:r w:rsidRPr="001D1438">
        <w:rPr>
          <w:rFonts w:eastAsia="Arial" w:cs="Arial"/>
          <w:lang w:eastAsia="ar-SA"/>
        </w:rPr>
        <w:t xml:space="preserve"> (1999), </w:t>
      </w:r>
      <w:r w:rsidRPr="001D1438">
        <w:rPr>
          <w:lang w:eastAsia="ar-SA"/>
        </w:rPr>
        <w:t xml:space="preserve">Mansour, </w:t>
      </w:r>
      <w:proofErr w:type="spellStart"/>
      <w:r w:rsidRPr="001D1438">
        <w:rPr>
          <w:lang w:eastAsia="ar-SA"/>
        </w:rPr>
        <w:t>Al-Shehri</w:t>
      </w:r>
      <w:proofErr w:type="spellEnd"/>
      <w:r w:rsidRPr="002670C8">
        <w:rPr>
          <w:rFonts w:eastAsia="TimesNewRomanPSMT"/>
          <w:lang w:eastAsia="ar-SA"/>
        </w:rPr>
        <w:t xml:space="preserve"> (2004), Rutkauski</w:t>
      </w:r>
      <w:r w:rsidRPr="002670C8">
        <w:rPr>
          <w:rFonts w:eastAsia="TimesNewRomanPSMT"/>
          <w:lang w:eastAsia="ar-SA"/>
        </w:rPr>
        <w:t>e</w:t>
      </w:r>
      <w:r w:rsidRPr="002670C8">
        <w:rPr>
          <w:rFonts w:eastAsia="TimesNewRomanPSMT"/>
          <w:lang w:eastAsia="ar-SA"/>
        </w:rPr>
        <w:t xml:space="preserve">nė ir kt. (2006) </w:t>
      </w:r>
      <w:r w:rsidRPr="001D1438">
        <w:t xml:space="preserve">šį modelį vadina </w:t>
      </w:r>
      <w:r w:rsidRPr="001D1438">
        <w:rPr>
          <w:i/>
        </w:rPr>
        <w:t>Naujos institucijos</w:t>
      </w:r>
      <w:r w:rsidRPr="001D1438">
        <w:t xml:space="preserve"> modeliu.</w:t>
      </w:r>
    </w:p>
    <w:p w:rsidR="00895F5C" w:rsidRPr="001D1438" w:rsidRDefault="00895F5C" w:rsidP="005B524E">
      <w:pPr>
        <w:numPr>
          <w:ilvl w:val="0"/>
          <w:numId w:val="8"/>
        </w:numPr>
        <w:suppressAutoHyphens w:val="0"/>
      </w:pPr>
      <w:r w:rsidRPr="001D1438">
        <w:rPr>
          <w:b/>
        </w:rPr>
        <w:t>Valdytojo tipo universitetas</w:t>
      </w:r>
      <w:r w:rsidRPr="001D1438">
        <w:t xml:space="preserve"> (</w:t>
      </w:r>
      <w:r w:rsidRPr="001D1438">
        <w:rPr>
          <w:i/>
        </w:rPr>
        <w:t xml:space="preserve">angl. </w:t>
      </w:r>
      <w:r w:rsidRPr="005826C6">
        <w:rPr>
          <w:i/>
          <w:lang w:val="en-US"/>
        </w:rPr>
        <w:t>Governor's University</w:t>
      </w:r>
      <w:r w:rsidR="00082F82">
        <w:t xml:space="preserve">) – </w:t>
      </w:r>
      <w:r w:rsidRPr="001D1438">
        <w:t>tarpininko tipo (</w:t>
      </w:r>
      <w:proofErr w:type="spellStart"/>
      <w:r w:rsidRPr="001D1438">
        <w:rPr>
          <w:lang w:eastAsia="ar-SA"/>
        </w:rPr>
        <w:t>Remenyi</w:t>
      </w:r>
      <w:proofErr w:type="spellEnd"/>
      <w:r w:rsidRPr="001D1438">
        <w:rPr>
          <w:lang w:eastAsia="ar-SA"/>
        </w:rPr>
        <w:t xml:space="preserve"> et </w:t>
      </w:r>
      <w:proofErr w:type="spellStart"/>
      <w:r w:rsidRPr="001D1438">
        <w:rPr>
          <w:lang w:eastAsia="ar-SA"/>
        </w:rPr>
        <w:t>al</w:t>
      </w:r>
      <w:proofErr w:type="spellEnd"/>
      <w:r w:rsidRPr="001D1438">
        <w:rPr>
          <w:lang w:eastAsia="ar-SA"/>
        </w:rPr>
        <w:t>, 1998</w:t>
      </w:r>
      <w:r w:rsidRPr="001D1438">
        <w:t xml:space="preserve">, </w:t>
      </w:r>
      <w:r w:rsidRPr="001D1438">
        <w:rPr>
          <w:lang w:eastAsia="ar-SA"/>
        </w:rPr>
        <w:t xml:space="preserve">Farrell, </w:t>
      </w:r>
      <w:proofErr w:type="spellStart"/>
      <w:r w:rsidRPr="001D1438">
        <w:rPr>
          <w:lang w:eastAsia="ar-SA"/>
        </w:rPr>
        <w:t>Glen</w:t>
      </w:r>
      <w:proofErr w:type="spellEnd"/>
      <w:r w:rsidRPr="001D1438">
        <w:rPr>
          <w:lang w:eastAsia="ar-SA"/>
        </w:rPr>
        <w:t xml:space="preserve"> et al. </w:t>
      </w:r>
      <w:proofErr w:type="spellStart"/>
      <w:r w:rsidRPr="001D1438">
        <w:rPr>
          <w:lang w:eastAsia="ar-SA"/>
        </w:rPr>
        <w:t>eds</w:t>
      </w:r>
      <w:proofErr w:type="spellEnd"/>
      <w:r w:rsidRPr="001D1438">
        <w:rPr>
          <w:lang w:eastAsia="ar-SA"/>
        </w:rPr>
        <w:t>, 1999)</w:t>
      </w:r>
      <w:r w:rsidRPr="001D1438">
        <w:t xml:space="preserve"> organizacija, kuri teikia aukštojo mokslo pasla</w:t>
      </w:r>
      <w:r w:rsidRPr="001D1438">
        <w:t>u</w:t>
      </w:r>
      <w:r w:rsidRPr="001D1438">
        <w:t xml:space="preserve">gas elektroninėje </w:t>
      </w:r>
      <w:r w:rsidR="00534D40">
        <w:t xml:space="preserve">ar virtualioje </w:t>
      </w:r>
      <w:r w:rsidR="00AE2013">
        <w:t>erdvės</w:t>
      </w:r>
      <w:r w:rsidRPr="001D1438">
        <w:t>e pasinaudodama kitų švietimo įstaigų ir organizac</w:t>
      </w:r>
      <w:r w:rsidRPr="001D1438">
        <w:t>i</w:t>
      </w:r>
      <w:r w:rsidRPr="001D1438">
        <w:t xml:space="preserve">jų sukurtomis programomis. </w:t>
      </w:r>
    </w:p>
    <w:p w:rsidR="00895F5C" w:rsidRPr="001D1438" w:rsidRDefault="00895F5C" w:rsidP="005B524E">
      <w:pPr>
        <w:numPr>
          <w:ilvl w:val="0"/>
          <w:numId w:val="8"/>
        </w:numPr>
        <w:suppressAutoHyphens w:val="0"/>
      </w:pPr>
      <w:r w:rsidRPr="001D1438">
        <w:rPr>
          <w:b/>
        </w:rPr>
        <w:t>Virtualios bendruomenės universitetas</w:t>
      </w:r>
      <w:r w:rsidRPr="001D1438">
        <w:t xml:space="preserve"> (</w:t>
      </w:r>
      <w:r w:rsidRPr="001D1438">
        <w:rPr>
          <w:i/>
        </w:rPr>
        <w:t>angl.</w:t>
      </w:r>
      <w:r w:rsidRPr="001D1438">
        <w:t xml:space="preserve"> </w:t>
      </w:r>
      <w:r w:rsidRPr="005826C6">
        <w:rPr>
          <w:i/>
          <w:lang w:val="en-US"/>
        </w:rPr>
        <w:t>Virtual Community College and Unive</w:t>
      </w:r>
      <w:r w:rsidRPr="005826C6">
        <w:rPr>
          <w:i/>
          <w:lang w:val="en-US"/>
        </w:rPr>
        <w:t>r</w:t>
      </w:r>
      <w:r w:rsidRPr="005826C6">
        <w:rPr>
          <w:i/>
          <w:lang w:val="en-US"/>
        </w:rPr>
        <w:t>sity</w:t>
      </w:r>
      <w:r w:rsidRPr="001D1438">
        <w:t xml:space="preserve">) – strategija, reiškianti ne atskiro virtualaus universiteto kūrimą, bet jau veikiančių universitetų potencialo vienijimą. </w:t>
      </w:r>
      <w:proofErr w:type="spellStart"/>
      <w:r w:rsidRPr="001D1438">
        <w:rPr>
          <w:rFonts w:eastAsia="Arial" w:cs="Arial"/>
          <w:lang w:eastAsia="ar-SA"/>
        </w:rPr>
        <w:t>Duin</w:t>
      </w:r>
      <w:proofErr w:type="spellEnd"/>
      <w:r w:rsidRPr="001D1438">
        <w:rPr>
          <w:rFonts w:eastAsia="Arial" w:cs="Arial"/>
          <w:lang w:eastAsia="ar-SA"/>
        </w:rPr>
        <w:t xml:space="preserve">, </w:t>
      </w:r>
      <w:proofErr w:type="spellStart"/>
      <w:r w:rsidRPr="001D1438">
        <w:rPr>
          <w:rFonts w:eastAsia="Arial" w:cs="Arial"/>
          <w:lang w:eastAsia="ar-SA"/>
        </w:rPr>
        <w:t>Baer</w:t>
      </w:r>
      <w:proofErr w:type="spellEnd"/>
      <w:r w:rsidRPr="001D1438">
        <w:rPr>
          <w:rFonts w:eastAsia="Arial" w:cs="Arial"/>
          <w:lang w:eastAsia="ar-SA"/>
        </w:rPr>
        <w:t xml:space="preserve"> (1999), </w:t>
      </w:r>
      <w:r w:rsidRPr="001D1438">
        <w:rPr>
          <w:lang w:eastAsia="ar-SA"/>
        </w:rPr>
        <w:t xml:space="preserve">Mansour, </w:t>
      </w:r>
      <w:proofErr w:type="spellStart"/>
      <w:r w:rsidRPr="001D1438">
        <w:rPr>
          <w:lang w:eastAsia="ar-SA"/>
        </w:rPr>
        <w:t>Al-Shehri</w:t>
      </w:r>
      <w:proofErr w:type="spellEnd"/>
      <w:r w:rsidRPr="002670C8">
        <w:rPr>
          <w:rFonts w:eastAsia="TimesNewRomanPSMT"/>
          <w:lang w:eastAsia="ar-SA"/>
        </w:rPr>
        <w:t xml:space="preserve"> (2004), Ru</w:t>
      </w:r>
      <w:r w:rsidRPr="002670C8">
        <w:rPr>
          <w:rFonts w:eastAsia="TimesNewRomanPSMT"/>
          <w:lang w:eastAsia="ar-SA"/>
        </w:rPr>
        <w:t>t</w:t>
      </w:r>
      <w:r w:rsidRPr="002670C8">
        <w:rPr>
          <w:rFonts w:eastAsia="TimesNewRomanPSMT"/>
          <w:lang w:eastAsia="ar-SA"/>
        </w:rPr>
        <w:t xml:space="preserve">kauskienė ir kt. (2006) </w:t>
      </w:r>
      <w:r w:rsidRPr="001D1438">
        <w:t xml:space="preserve">šį modelį vadina </w:t>
      </w:r>
      <w:r w:rsidRPr="001D1438">
        <w:rPr>
          <w:i/>
        </w:rPr>
        <w:t xml:space="preserve">Universiteto tinklo </w:t>
      </w:r>
      <w:r w:rsidRPr="001D1438">
        <w:t>modeliu.</w:t>
      </w:r>
    </w:p>
    <w:p w:rsidR="00895F5C" w:rsidRPr="001D1438" w:rsidRDefault="00895F5C" w:rsidP="005B524E">
      <w:pPr>
        <w:numPr>
          <w:ilvl w:val="0"/>
          <w:numId w:val="8"/>
        </w:numPr>
        <w:suppressAutoHyphens w:val="0"/>
      </w:pPr>
      <w:r w:rsidRPr="001D1438">
        <w:rPr>
          <w:b/>
        </w:rPr>
        <w:t>Institucijų konkurencijos ir vartotojų gynimo modelis</w:t>
      </w:r>
      <w:r w:rsidRPr="001D1438">
        <w:t xml:space="preserve"> (</w:t>
      </w:r>
      <w:r w:rsidRPr="001D1438">
        <w:rPr>
          <w:i/>
        </w:rPr>
        <w:t xml:space="preserve">angl. </w:t>
      </w:r>
      <w:r w:rsidRPr="005826C6">
        <w:rPr>
          <w:i/>
          <w:lang w:val="en-US"/>
        </w:rPr>
        <w:t>Institutional Competition and Consumer Advocacy</w:t>
      </w:r>
      <w:r w:rsidRPr="001D1438">
        <w:t>) – rinkos strategija, pagal kurią švietimo rinkos dalyviai pateikia savo studijų programas (programos gali dubliuotis), kurias vėliau renkasi besimoka</w:t>
      </w:r>
      <w:r w:rsidRPr="001D1438">
        <w:t>n</w:t>
      </w:r>
      <w:r w:rsidRPr="001D1438">
        <w:t>tieji. Šis modelis suteikia dideles pasirinkimo galimybes bei galimybę universitetams, a</w:t>
      </w:r>
      <w:r w:rsidRPr="001D1438">
        <w:t>t</w:t>
      </w:r>
      <w:r w:rsidRPr="001D1438">
        <w:t>sižvelgus į esamą studijų programų rinką, keisti savo studijų programas.</w:t>
      </w:r>
    </w:p>
    <w:p w:rsidR="00895F5C" w:rsidRPr="001D1438" w:rsidRDefault="00895F5C" w:rsidP="005B524E">
      <w:pPr>
        <w:numPr>
          <w:ilvl w:val="0"/>
          <w:numId w:val="8"/>
        </w:numPr>
        <w:suppressAutoHyphens w:val="0"/>
      </w:pPr>
      <w:r w:rsidRPr="001D1438">
        <w:rPr>
          <w:b/>
        </w:rPr>
        <w:t>Koordinuoto bendradarbiavimo modelis</w:t>
      </w:r>
      <w:r w:rsidRPr="001D1438">
        <w:t xml:space="preserve"> (</w:t>
      </w:r>
      <w:r w:rsidRPr="001D1438">
        <w:rPr>
          <w:i/>
        </w:rPr>
        <w:t xml:space="preserve">angl. </w:t>
      </w:r>
      <w:r w:rsidRPr="005826C6">
        <w:rPr>
          <w:i/>
          <w:lang w:val="en-US"/>
        </w:rPr>
        <w:t>Coordinated Collaboration</w:t>
      </w:r>
      <w:r w:rsidRPr="001D1438">
        <w:t>) – modelis, pagal kurį, rinkos dalyviai gali teikti bendras programas arba atvirkščiai, viena įstaiga g</w:t>
      </w:r>
      <w:r w:rsidRPr="001D1438">
        <w:t>a</w:t>
      </w:r>
      <w:r w:rsidRPr="001D1438">
        <w:t>li teikti keletą panašų studijų programų atsižvelgiant į kitas rinkos dalyves.</w:t>
      </w:r>
    </w:p>
    <w:p w:rsidR="00895F5C" w:rsidRPr="001D1438" w:rsidRDefault="00895F5C" w:rsidP="005B524E">
      <w:pPr>
        <w:numPr>
          <w:ilvl w:val="0"/>
          <w:numId w:val="8"/>
        </w:numPr>
        <w:suppressAutoHyphens w:val="0"/>
      </w:pPr>
      <w:r w:rsidRPr="001D1438">
        <w:rPr>
          <w:b/>
        </w:rPr>
        <w:t>Esamos struktūros modelis</w:t>
      </w:r>
      <w:r w:rsidRPr="001D1438">
        <w:t xml:space="preserve"> (</w:t>
      </w:r>
      <w:r w:rsidRPr="001D1438">
        <w:rPr>
          <w:i/>
        </w:rPr>
        <w:t xml:space="preserve">angl. </w:t>
      </w:r>
      <w:r w:rsidRPr="005826C6">
        <w:rPr>
          <w:i/>
          <w:lang w:val="en-US"/>
        </w:rPr>
        <w:t>Current Structure</w:t>
      </w:r>
      <w:r w:rsidRPr="001D1438">
        <w:t>) – institucija sukuria virtualų savo padalinį elektroninėje erdvėje bei strategiškai persiorientuoja besikeičiančioje švietimo rinkoje.</w:t>
      </w:r>
    </w:p>
    <w:p w:rsidR="00895F5C" w:rsidRPr="001D1438" w:rsidRDefault="00895F5C" w:rsidP="005B524E">
      <w:pPr>
        <w:suppressAutoHyphens w:val="0"/>
      </w:pPr>
      <w:r w:rsidRPr="001D1438">
        <w:t>Farrell (1999, 2001) savo darbuose pateikia kitokią klasifikaciją:</w:t>
      </w:r>
    </w:p>
    <w:p w:rsidR="00895F5C" w:rsidRPr="001D1438" w:rsidRDefault="00895F5C" w:rsidP="005B524E">
      <w:pPr>
        <w:numPr>
          <w:ilvl w:val="0"/>
          <w:numId w:val="9"/>
        </w:numPr>
        <w:suppressAutoHyphens w:val="0"/>
      </w:pPr>
      <w:r w:rsidRPr="001D1438">
        <w:t>Tradicinė institucija, teikianti ir virtualaus ir tradicinio universiteto paslaugas;</w:t>
      </w:r>
    </w:p>
    <w:p w:rsidR="00895F5C" w:rsidRPr="001D1438" w:rsidRDefault="00895F5C" w:rsidP="005B524E">
      <w:pPr>
        <w:numPr>
          <w:ilvl w:val="0"/>
          <w:numId w:val="9"/>
        </w:numPr>
        <w:suppressAutoHyphens w:val="0"/>
      </w:pPr>
      <w:r w:rsidRPr="001D1438">
        <w:t>Institucija, teikiančia aukštojo mokslo paslaugas elektroninėje erdvėje;</w:t>
      </w:r>
    </w:p>
    <w:p w:rsidR="00895F5C" w:rsidRPr="001D1438" w:rsidRDefault="00895F5C" w:rsidP="005B524E">
      <w:pPr>
        <w:numPr>
          <w:ilvl w:val="0"/>
          <w:numId w:val="9"/>
        </w:numPr>
        <w:suppressAutoHyphens w:val="0"/>
      </w:pPr>
      <w:r w:rsidRPr="001D1438">
        <w:t>Tarpininko tipo organizacija, kuri teikia tradicinių mokslų institucijų programas pasina</w:t>
      </w:r>
      <w:r w:rsidRPr="001D1438">
        <w:t>u</w:t>
      </w:r>
      <w:r w:rsidRPr="001D1438">
        <w:t>dodama IRT;</w:t>
      </w:r>
    </w:p>
    <w:p w:rsidR="00895F5C" w:rsidRPr="001D1438" w:rsidRDefault="00895F5C" w:rsidP="005B524E">
      <w:pPr>
        <w:numPr>
          <w:ilvl w:val="0"/>
          <w:numId w:val="9"/>
        </w:numPr>
        <w:suppressAutoHyphens w:val="0"/>
      </w:pPr>
      <w:r w:rsidRPr="001D1438">
        <w:t>Informacijos ir sąlygų teikėjo tipas, kurio pagrindinis tikslas – suteikti besimokantiems galimybės ir sąlygas studijuoti elektroninėje erdvėje, bei patenkinti institucinius organ</w:t>
      </w:r>
      <w:r w:rsidRPr="001D1438">
        <w:t>i</w:t>
      </w:r>
      <w:r w:rsidRPr="001D1438">
        <w:t>zacijų poreikius;</w:t>
      </w:r>
    </w:p>
    <w:p w:rsidR="00895F5C" w:rsidRPr="001D1438" w:rsidRDefault="00895F5C" w:rsidP="005B524E">
      <w:pPr>
        <w:suppressAutoHyphens w:val="0"/>
      </w:pPr>
      <w:r w:rsidRPr="001D1438">
        <w:t>Europos Komisijos užsakymu buvo atlikta analizė (</w:t>
      </w:r>
      <w:proofErr w:type="spellStart"/>
      <w:r w:rsidRPr="001D1438">
        <w:t>Paulsen</w:t>
      </w:r>
      <w:proofErr w:type="spellEnd"/>
      <w:r w:rsidRPr="001D1438">
        <w:t>, 2004), kuria remiantis buvo išskirti keturi atskiri virtualių universitetų organizavimo modeliai:</w:t>
      </w:r>
    </w:p>
    <w:p w:rsidR="00895F5C" w:rsidRPr="001D1438" w:rsidRDefault="00895F5C" w:rsidP="005B524E">
      <w:pPr>
        <w:suppressAutoHyphens w:val="0"/>
      </w:pPr>
      <w:r w:rsidRPr="001D1438">
        <w:rPr>
          <w:b/>
        </w:rPr>
        <w:t>Nacionaliniu lygmeniu koordinuojami virtualūs universitetai</w:t>
      </w:r>
      <w:r w:rsidRPr="001D1438">
        <w:t xml:space="preserve"> – tai nacionalinė iniciatyva, skirta koordinuoti universitetų sukurtų e. mokymosi kursų teikimą.</w:t>
      </w:r>
    </w:p>
    <w:p w:rsidR="00895F5C" w:rsidRPr="001D1438" w:rsidRDefault="00895F5C" w:rsidP="005B524E">
      <w:pPr>
        <w:suppressAutoHyphens w:val="0"/>
      </w:pPr>
      <w:r w:rsidRPr="001D1438">
        <w:rPr>
          <w:b/>
        </w:rPr>
        <w:lastRenderedPageBreak/>
        <w:t>Konsorciumo pagrindu sukurtas nacionalinis virtualus universitetas</w:t>
      </w:r>
      <w:r w:rsidRPr="001D1438">
        <w:t xml:space="preserve"> – tai taip</w:t>
      </w:r>
      <w:r w:rsidRPr="001D1438">
        <w:rPr>
          <w:b/>
        </w:rPr>
        <w:t xml:space="preserve"> </w:t>
      </w:r>
      <w:r w:rsidRPr="001D1438">
        <w:t>tarp univers</w:t>
      </w:r>
      <w:r w:rsidRPr="001D1438">
        <w:t>i</w:t>
      </w:r>
      <w:r w:rsidRPr="001D1438">
        <w:t>tetų sudaryta partnerystė, siekiant bendradarbiauti ir teikti bendrus e. mokymosi kursus.</w:t>
      </w:r>
    </w:p>
    <w:p w:rsidR="00895F5C" w:rsidRPr="001D1438" w:rsidRDefault="00895F5C" w:rsidP="005B524E">
      <w:pPr>
        <w:suppressAutoHyphens w:val="0"/>
      </w:pPr>
      <w:r w:rsidRPr="001D1438">
        <w:rPr>
          <w:b/>
        </w:rPr>
        <w:t>I tipo institucionalizuotas virtualus universitetas</w:t>
      </w:r>
      <w:r w:rsidRPr="001D1438">
        <w:t xml:space="preserve"> – tai mišrus modelis, kai universitetas nepr</w:t>
      </w:r>
      <w:r w:rsidRPr="001D1438">
        <w:t>i</w:t>
      </w:r>
      <w:r w:rsidRPr="001D1438">
        <w:t>klausomai teikia virtualaus mokymo(si) paslaugas, tačiau nepaisant to, gali siūlyti ir e. mokymo(si), ir tradicinio švietimo paslaugas.</w:t>
      </w:r>
    </w:p>
    <w:p w:rsidR="00895F5C" w:rsidRPr="001D1438" w:rsidRDefault="00895F5C" w:rsidP="005B524E">
      <w:pPr>
        <w:suppressAutoHyphens w:val="0"/>
      </w:pPr>
      <w:r w:rsidRPr="001D1438">
        <w:rPr>
          <w:b/>
        </w:rPr>
        <w:t>II tipo institucionalizuotas virtualus universitetas</w:t>
      </w:r>
      <w:r w:rsidRPr="001D1438">
        <w:t xml:space="preserve"> – tai visiškai virtualus modelis, kai atskirai nuo tradicinio mokymo(si) universitetas teikia virtualaus mokymo(si) paslaugas, kurios kartais teiki</w:t>
      </w:r>
      <w:r w:rsidRPr="001D1438">
        <w:t>a</w:t>
      </w:r>
      <w:r w:rsidRPr="001D1438">
        <w:t>mos tik visiškai virtualiame universitete.</w:t>
      </w:r>
    </w:p>
    <w:p w:rsidR="00895F5C" w:rsidRPr="001D1438" w:rsidRDefault="00895F5C" w:rsidP="005B524E">
      <w:pPr>
        <w:suppressAutoHyphens w:val="0"/>
      </w:pPr>
      <w:r w:rsidRPr="001D1438">
        <w:t>Amerikos mokytojų federacija (2001) ataskaitoje išskyrė tris pagrindines organizacinių struktūrų ir edukacinės veiklos plėtros tendencijas:</w:t>
      </w:r>
    </w:p>
    <w:p w:rsidR="00895F5C" w:rsidRPr="001D1438" w:rsidRDefault="00AC014C" w:rsidP="005B524E">
      <w:pPr>
        <w:numPr>
          <w:ilvl w:val="0"/>
          <w:numId w:val="11"/>
        </w:numPr>
        <w:suppressAutoHyphens w:val="0"/>
      </w:pPr>
      <w:r>
        <w:t>e</w:t>
      </w:r>
      <w:r w:rsidR="00895F5C" w:rsidRPr="001D1438">
        <w:t>gzistuojančios aukštojo švietimo institucijos, kurios turi arba rengia nuotolinio švietimo programas;</w:t>
      </w:r>
    </w:p>
    <w:p w:rsidR="00895F5C" w:rsidRPr="001D1438" w:rsidRDefault="00AC014C" w:rsidP="005B524E">
      <w:pPr>
        <w:numPr>
          <w:ilvl w:val="0"/>
          <w:numId w:val="11"/>
        </w:numPr>
        <w:suppressAutoHyphens w:val="0"/>
      </w:pPr>
      <w:r>
        <w:t>u</w:t>
      </w:r>
      <w:r w:rsidR="00895F5C" w:rsidRPr="001D1438">
        <w:t>niversitetų ir korporacijų bendros įmonės;</w:t>
      </w:r>
    </w:p>
    <w:p w:rsidR="00895F5C" w:rsidRPr="001D1438" w:rsidRDefault="00AC014C" w:rsidP="005B524E">
      <w:pPr>
        <w:numPr>
          <w:ilvl w:val="0"/>
          <w:numId w:val="11"/>
        </w:numPr>
        <w:suppressAutoHyphens w:val="0"/>
      </w:pPr>
      <w:r>
        <w:t>k</w:t>
      </w:r>
      <w:r w:rsidR="00895F5C" w:rsidRPr="001D1438">
        <w:t>orporacijų universitetai.</w:t>
      </w:r>
    </w:p>
    <w:p w:rsidR="00895F5C" w:rsidRPr="001D1438" w:rsidRDefault="00895F5C" w:rsidP="005B524E">
      <w:pPr>
        <w:suppressAutoHyphens w:val="0"/>
      </w:pPr>
      <w:r w:rsidRPr="001D1438">
        <w:t>Sabine Seufert (2005), analizuodama e. mokymosi verslo modelius, pažymi, kad e. mokymas(</w:t>
      </w:r>
      <w:proofErr w:type="spellStart"/>
      <w:r w:rsidRPr="001D1438">
        <w:t>is</w:t>
      </w:r>
      <w:proofErr w:type="spellEnd"/>
      <w:r w:rsidRPr="001D1438">
        <w:t>) atspindi daugelio sričių bei veiksnių suartėjimą. Jis apima technologinius aspektus, pokyčius visuom</w:t>
      </w:r>
      <w:r w:rsidRPr="001D1438">
        <w:t>e</w:t>
      </w:r>
      <w:r w:rsidRPr="001D1438">
        <w:t>nėje bei naująją mokymosi paradigmą. Pasak autorės, e. mokymasis suartina visą švietimo rinką. Kažkada buvusi aiški korporacinio mokymo(si) ir aukštojo mokslo atskirtis vis labiau nyksta, didelės įtakos tam turi nuotolinis mokymasis. Šis suartėjimas lėmė vienodą koledžų, korporacijų universitetų ir privataus sektoriaus švietimo įstaigų konkurencinę rinką (</w:t>
      </w:r>
      <w:proofErr w:type="spellStart"/>
      <w:r w:rsidRPr="001D1438">
        <w:t>Kaeter</w:t>
      </w:r>
      <w:proofErr w:type="spellEnd"/>
      <w:r w:rsidRPr="001D1438">
        <w:t xml:space="preserve">, 2000, </w:t>
      </w:r>
      <w:r w:rsidRPr="002670C8">
        <w:rPr>
          <w:rFonts w:eastAsia="TimesNewRomanPSMT"/>
          <w:lang w:eastAsia="ar-SA"/>
        </w:rPr>
        <w:t>Rutkauskienė ir kt., 2006</w:t>
      </w:r>
      <w:r w:rsidRPr="001D1438">
        <w:t>).</w:t>
      </w:r>
    </w:p>
    <w:p w:rsidR="00895F5C" w:rsidRPr="001D1438" w:rsidRDefault="00895F5C" w:rsidP="005B524E">
      <w:pPr>
        <w:suppressAutoHyphens w:val="0"/>
      </w:pPr>
      <w:r w:rsidRPr="001D1438">
        <w:t>E. komercijos požiūriu galima išskirti šias tris atskiras kategorijas švietimo ir verslo bendrada</w:t>
      </w:r>
      <w:r w:rsidRPr="001D1438">
        <w:t>r</w:t>
      </w:r>
      <w:r w:rsidRPr="001D1438">
        <w:t>biavimo modelius (Seufert, 2005):</w:t>
      </w:r>
    </w:p>
    <w:p w:rsidR="00895F5C" w:rsidRPr="001D1438" w:rsidRDefault="00895F5C" w:rsidP="005B524E">
      <w:pPr>
        <w:numPr>
          <w:ilvl w:val="0"/>
          <w:numId w:val="12"/>
        </w:numPr>
        <w:suppressAutoHyphens w:val="0"/>
      </w:pPr>
      <w:r w:rsidRPr="001D1438">
        <w:rPr>
          <w:b/>
        </w:rPr>
        <w:t>švietimas verslui</w:t>
      </w:r>
      <w:r w:rsidRPr="001D1438">
        <w:t xml:space="preserve"> (</w:t>
      </w:r>
      <w:r w:rsidRPr="001D1438">
        <w:rPr>
          <w:i/>
        </w:rPr>
        <w:t xml:space="preserve">angl. E2B = </w:t>
      </w:r>
      <w:r w:rsidRPr="005826C6">
        <w:rPr>
          <w:i/>
          <w:lang w:val="en-US"/>
        </w:rPr>
        <w:t>Education to Business</w:t>
      </w:r>
      <w:r w:rsidRPr="001D1438">
        <w:t xml:space="preserve">) </w:t>
      </w:r>
      <w:r w:rsidR="00AA05BC">
        <w:t>–</w:t>
      </w:r>
      <w:r w:rsidR="00D321E2">
        <w:t xml:space="preserve"> </w:t>
      </w:r>
      <w:r w:rsidRPr="001D1438">
        <w:t>įmonėms teikiamos mokymosi paslaugos. Tikslinės grupės yra kompanijos ir jų ugdymo institucijos;</w:t>
      </w:r>
    </w:p>
    <w:p w:rsidR="00895F5C" w:rsidRPr="001D1438" w:rsidRDefault="00895F5C" w:rsidP="005B524E">
      <w:pPr>
        <w:numPr>
          <w:ilvl w:val="0"/>
          <w:numId w:val="12"/>
        </w:numPr>
        <w:suppressAutoHyphens w:val="0"/>
      </w:pPr>
      <w:r w:rsidRPr="001D1438">
        <w:rPr>
          <w:b/>
        </w:rPr>
        <w:t>švietimas švietimui</w:t>
      </w:r>
      <w:r w:rsidRPr="001D1438">
        <w:t xml:space="preserve"> (</w:t>
      </w:r>
      <w:r w:rsidRPr="001D1438">
        <w:rPr>
          <w:i/>
        </w:rPr>
        <w:t xml:space="preserve">angl. E2E = </w:t>
      </w:r>
      <w:r w:rsidRPr="005826C6">
        <w:rPr>
          <w:i/>
          <w:lang w:val="en-US"/>
        </w:rPr>
        <w:t>Education to Education</w:t>
      </w:r>
      <w:r w:rsidRPr="001D1438">
        <w:t xml:space="preserve">) </w:t>
      </w:r>
      <w:r w:rsidR="00AA05BC">
        <w:t>–</w:t>
      </w:r>
      <w:r w:rsidR="00D321E2">
        <w:t xml:space="preserve"> </w:t>
      </w:r>
      <w:r w:rsidRPr="001D1438">
        <w:t>universitetams teikiamos e. mokymosi paslaugos. Tikslinės grupės yra universitetai, dėstytojai ir įvairios švietimo institucijos;</w:t>
      </w:r>
    </w:p>
    <w:p w:rsidR="00895F5C" w:rsidRPr="001D1438" w:rsidRDefault="00895F5C" w:rsidP="005B524E">
      <w:pPr>
        <w:numPr>
          <w:ilvl w:val="0"/>
          <w:numId w:val="12"/>
        </w:numPr>
        <w:suppressAutoHyphens w:val="0"/>
      </w:pPr>
      <w:r w:rsidRPr="001D1438">
        <w:rPr>
          <w:b/>
        </w:rPr>
        <w:t>švietimas vartotojams</w:t>
      </w:r>
      <w:r w:rsidRPr="001D1438">
        <w:t xml:space="preserve"> (</w:t>
      </w:r>
      <w:r w:rsidRPr="001D1438">
        <w:rPr>
          <w:i/>
        </w:rPr>
        <w:t xml:space="preserve">angl. E2C = </w:t>
      </w:r>
      <w:r w:rsidRPr="005826C6">
        <w:rPr>
          <w:i/>
          <w:lang w:val="en-US"/>
        </w:rPr>
        <w:t>Education to Consumers</w:t>
      </w:r>
      <w:r w:rsidRPr="001D1438">
        <w:t xml:space="preserve">) </w:t>
      </w:r>
      <w:r w:rsidR="00AA05BC">
        <w:t>–</w:t>
      </w:r>
      <w:r w:rsidR="00D321E2">
        <w:t xml:space="preserve"> </w:t>
      </w:r>
      <w:r w:rsidRPr="001D1438">
        <w:t>privatiems asmenims teikiamos e. mokymosi paslaugos. Tikslinės grupės yra studentai ir kiti privatūs vartot</w:t>
      </w:r>
      <w:r w:rsidRPr="001D1438">
        <w:t>o</w:t>
      </w:r>
      <w:r w:rsidRPr="001D1438">
        <w:t>jai.</w:t>
      </w:r>
    </w:p>
    <w:p w:rsidR="00895F5C" w:rsidRPr="001D1438" w:rsidRDefault="00895F5C" w:rsidP="005B524E">
      <w:pPr>
        <w:suppressAutoHyphens w:val="0"/>
      </w:pPr>
      <w:r w:rsidRPr="001D1438">
        <w:t>Sabine Seufert (2005) verslo modelį nusako kaip pr</w:t>
      </w:r>
      <w:r w:rsidR="00924163">
        <w:t>ekių</w:t>
      </w:r>
      <w:r w:rsidRPr="001D1438">
        <w:t>, paslaugų ir informacijos srautų si</w:t>
      </w:r>
      <w:r w:rsidRPr="001D1438">
        <w:t>s</w:t>
      </w:r>
      <w:r w:rsidRPr="001D1438">
        <w:t>tema, apibrėžiant visus dalyvius ir jų vaidmenis, identifikuojant ir nustatant įvairių suinteresuotų šalių potencialią naudą bei pajamų šaltinius. Autorė e. mokymo</w:t>
      </w:r>
      <w:r w:rsidR="00596922">
        <w:t>(</w:t>
      </w:r>
      <w:r w:rsidRPr="001D1438">
        <w:t>si</w:t>
      </w:r>
      <w:r w:rsidR="00596922">
        <w:t>)</w:t>
      </w:r>
      <w:r w:rsidRPr="001D1438">
        <w:t xml:space="preserve"> rinkoje išskiria keturis virtualių universit</w:t>
      </w:r>
      <w:r w:rsidRPr="001D1438">
        <w:t>e</w:t>
      </w:r>
      <w:r w:rsidRPr="001D1438">
        <w:t>tų modelius:</w:t>
      </w:r>
    </w:p>
    <w:p w:rsidR="00895F5C" w:rsidRPr="001D1438" w:rsidRDefault="00895F5C" w:rsidP="005B524E">
      <w:pPr>
        <w:numPr>
          <w:ilvl w:val="0"/>
          <w:numId w:val="13"/>
        </w:numPr>
        <w:suppressAutoHyphens w:val="0"/>
      </w:pPr>
      <w:r w:rsidRPr="001D1438">
        <w:rPr>
          <w:b/>
        </w:rPr>
        <w:lastRenderedPageBreak/>
        <w:t>Visiškai virtualus universitetas.</w:t>
      </w:r>
      <w:r w:rsidRPr="001D1438">
        <w:t xml:space="preserve"> Virtualus universitetas visiškai pakeičia tradicinį un</w:t>
      </w:r>
      <w:r w:rsidRPr="001D1438">
        <w:t>i</w:t>
      </w:r>
      <w:r w:rsidRPr="001D1438">
        <w:t>versitetą, visos pagrindinės veiklos yra vykdomos virtualioje aplinkoje.</w:t>
      </w:r>
    </w:p>
    <w:p w:rsidR="00895F5C" w:rsidRPr="001D1438" w:rsidRDefault="00895F5C" w:rsidP="005B524E">
      <w:pPr>
        <w:numPr>
          <w:ilvl w:val="0"/>
          <w:numId w:val="13"/>
        </w:numPr>
        <w:suppressAutoHyphens w:val="0"/>
      </w:pPr>
      <w:r w:rsidRPr="001D1438">
        <w:rPr>
          <w:b/>
        </w:rPr>
        <w:t>Kombinuotas virtualus universitetas.</w:t>
      </w:r>
      <w:r w:rsidRPr="001D1438">
        <w:t xml:space="preserve"> Tradicinis virtualus universitetas, kuris, be tradicinio mokymo paslaugų, teikia ir virtualius kursus arba taiko virtualių kursų kompone</w:t>
      </w:r>
      <w:r w:rsidRPr="001D1438">
        <w:t>n</w:t>
      </w:r>
      <w:r w:rsidRPr="001D1438">
        <w:t xml:space="preserve">tus įprastose mokymo programose. Šis modelis labai panašus į </w:t>
      </w:r>
      <w:r w:rsidRPr="001D1438">
        <w:rPr>
          <w:i/>
        </w:rPr>
        <w:t>Egzistuojančių institucijų evoliucijos (Esančių institucijų evoliucija</w:t>
      </w:r>
      <w:r w:rsidRPr="001D1438">
        <w:t xml:space="preserve">) modelį. </w:t>
      </w:r>
    </w:p>
    <w:p w:rsidR="00895F5C" w:rsidRPr="001D1438" w:rsidRDefault="00895F5C" w:rsidP="005B524E">
      <w:pPr>
        <w:numPr>
          <w:ilvl w:val="0"/>
          <w:numId w:val="13"/>
        </w:numPr>
        <w:suppressAutoHyphens w:val="0"/>
      </w:pPr>
      <w:r w:rsidRPr="001D1438">
        <w:rPr>
          <w:b/>
        </w:rPr>
        <w:t>Virtualaus universiteto tinklas.</w:t>
      </w:r>
      <w:r w:rsidRPr="001D1438">
        <w:t xml:space="preserve"> Kooperacinis modelis, kai keli tradiciniai universitetai steigia papildomą virtualų universitetą.</w:t>
      </w:r>
    </w:p>
    <w:p w:rsidR="00895F5C" w:rsidRPr="001D1438" w:rsidRDefault="00895F5C" w:rsidP="005B524E">
      <w:pPr>
        <w:numPr>
          <w:ilvl w:val="0"/>
          <w:numId w:val="13"/>
        </w:numPr>
        <w:suppressAutoHyphens w:val="0"/>
      </w:pPr>
      <w:r w:rsidRPr="001D1438">
        <w:rPr>
          <w:b/>
        </w:rPr>
        <w:t xml:space="preserve">Bendradarbiavimas su švietimo paslaugų teikėjais ir/arba konsorciumais. </w:t>
      </w:r>
      <w:r w:rsidRPr="001D1438">
        <w:t>Kooper</w:t>
      </w:r>
      <w:r w:rsidRPr="001D1438">
        <w:t>a</w:t>
      </w:r>
      <w:r w:rsidRPr="001D1438">
        <w:t>cinis modelis, kai virtualūs universitetai bendradarbiauja su verslo sektoriaus partneriais.</w:t>
      </w:r>
    </w:p>
    <w:p w:rsidR="00647330" w:rsidRPr="001D1438" w:rsidRDefault="00647330" w:rsidP="005B524E">
      <w:pPr>
        <w:suppressAutoHyphens w:val="0"/>
      </w:pPr>
      <w:r w:rsidRPr="002670C8">
        <w:rPr>
          <w:rFonts w:eastAsia="TimesNewRomanPSMT"/>
          <w:lang w:eastAsia="ar-SA"/>
        </w:rPr>
        <w:t>Lietuvos tyrėjai Rutkauskienė ir kt. (2006)</w:t>
      </w:r>
      <w:r w:rsidRPr="001D1438">
        <w:t xml:space="preserve"> daugiausiai dėmesio skyrė šių tipų virtualiems un</w:t>
      </w:r>
      <w:r w:rsidRPr="001D1438">
        <w:t>i</w:t>
      </w:r>
      <w:r w:rsidRPr="001D1438">
        <w:t>versitetams:</w:t>
      </w:r>
    </w:p>
    <w:p w:rsidR="00647330" w:rsidRPr="001D1438" w:rsidRDefault="00596922" w:rsidP="005B524E">
      <w:pPr>
        <w:numPr>
          <w:ilvl w:val="0"/>
          <w:numId w:val="10"/>
        </w:numPr>
        <w:suppressAutoHyphens w:val="0"/>
      </w:pPr>
      <w:r>
        <w:t>n</w:t>
      </w:r>
      <w:r w:rsidR="00647330" w:rsidRPr="001D1438">
        <w:t>aujosios institucijos;</w:t>
      </w:r>
    </w:p>
    <w:p w:rsidR="00647330" w:rsidRPr="001D1438" w:rsidRDefault="00596922" w:rsidP="005B524E">
      <w:pPr>
        <w:numPr>
          <w:ilvl w:val="0"/>
          <w:numId w:val="10"/>
        </w:numPr>
        <w:suppressAutoHyphens w:val="0"/>
      </w:pPr>
      <w:r>
        <w:t>e</w:t>
      </w:r>
      <w:r w:rsidR="00647330" w:rsidRPr="001D1438">
        <w:t>sančių institucijų evoliucija, kai atskiras padalinys ar didesnė institucijos dalis teikia virtualaus švietimo paslaugas;</w:t>
      </w:r>
    </w:p>
    <w:p w:rsidR="00647330" w:rsidRPr="001D1438" w:rsidRDefault="00596922" w:rsidP="005B524E">
      <w:pPr>
        <w:numPr>
          <w:ilvl w:val="0"/>
          <w:numId w:val="10"/>
        </w:numPr>
        <w:suppressAutoHyphens w:val="0"/>
      </w:pPr>
      <w:r>
        <w:t>v</w:t>
      </w:r>
      <w:r w:rsidR="00647330" w:rsidRPr="001D1438">
        <w:t>irtualaus švietimo paslaugoms teikti sudarytas partnerių konsorciumas;</w:t>
      </w:r>
    </w:p>
    <w:p w:rsidR="00647330" w:rsidRDefault="00596922" w:rsidP="005B524E">
      <w:pPr>
        <w:numPr>
          <w:ilvl w:val="0"/>
          <w:numId w:val="10"/>
        </w:numPr>
        <w:suppressAutoHyphens w:val="0"/>
      </w:pPr>
      <w:r>
        <w:t>i</w:t>
      </w:r>
      <w:r w:rsidR="00647330" w:rsidRPr="001D1438">
        <w:t>nternetu grįsto mokymo</w:t>
      </w:r>
      <w:r>
        <w:t>(</w:t>
      </w:r>
      <w:r w:rsidR="00647330" w:rsidRPr="001D1438">
        <w:t>si</w:t>
      </w:r>
      <w:r>
        <w:t>)</w:t>
      </w:r>
      <w:r w:rsidR="00647330" w:rsidRPr="001D1438">
        <w:t xml:space="preserve"> paslaugas teikianti verslo įmonė.</w:t>
      </w:r>
    </w:p>
    <w:p w:rsidR="00647330" w:rsidRDefault="00647330" w:rsidP="005B524E">
      <w:pPr>
        <w:suppressAutoHyphens w:val="0"/>
        <w:rPr>
          <w:iCs/>
        </w:rPr>
      </w:pPr>
      <w:r>
        <w:t xml:space="preserve">Kitas tyrinėtojas iš Lietuvos – </w:t>
      </w:r>
      <w:r w:rsidR="003313F1" w:rsidRPr="003313F1">
        <w:t xml:space="preserve">Kauno technologijos universiteto Informatikos fakulteto dekanas </w:t>
      </w:r>
      <w:r>
        <w:t>p</w:t>
      </w:r>
      <w:r w:rsidRPr="00962479">
        <w:t>rof. Aleksandras Targamadzė</w:t>
      </w:r>
      <w:r>
        <w:rPr>
          <w:b/>
          <w:iCs/>
        </w:rPr>
        <w:t xml:space="preserve"> </w:t>
      </w:r>
      <w:r>
        <w:rPr>
          <w:iCs/>
        </w:rPr>
        <w:t xml:space="preserve">– išskyrė 3 pagrindinius virtualiųjų universitetų </w:t>
      </w:r>
      <w:r w:rsidR="00596922">
        <w:rPr>
          <w:iCs/>
        </w:rPr>
        <w:t>modelius</w:t>
      </w:r>
      <w:r w:rsidRPr="00962479">
        <w:rPr>
          <w:iCs/>
        </w:rPr>
        <w:t>: centralizu</w:t>
      </w:r>
      <w:r w:rsidRPr="00962479">
        <w:rPr>
          <w:iCs/>
        </w:rPr>
        <w:t>o</w:t>
      </w:r>
      <w:r w:rsidRPr="00962479">
        <w:rPr>
          <w:iCs/>
        </w:rPr>
        <w:t>tas, decentralizuo</w:t>
      </w:r>
      <w:r>
        <w:rPr>
          <w:iCs/>
        </w:rPr>
        <w:t>tas, pastaruoju metu – tinklini</w:t>
      </w:r>
      <w:r w:rsidR="00344288">
        <w:rPr>
          <w:iCs/>
        </w:rPr>
        <w:t>s</w:t>
      </w:r>
      <w:r>
        <w:rPr>
          <w:iCs/>
        </w:rPr>
        <w:t xml:space="preserve"> (</w:t>
      </w:r>
      <w:r w:rsidRPr="00962479">
        <w:t>Targamadzė</w:t>
      </w:r>
      <w:r>
        <w:rPr>
          <w:iCs/>
        </w:rPr>
        <w:t xml:space="preserve">, </w:t>
      </w:r>
      <w:r w:rsidRPr="00962479">
        <w:rPr>
          <w:iCs/>
        </w:rPr>
        <w:t>2006</w:t>
      </w:r>
      <w:r>
        <w:rPr>
          <w:iCs/>
        </w:rPr>
        <w:t>):</w:t>
      </w:r>
    </w:p>
    <w:p w:rsidR="00647330" w:rsidRPr="00851EF3" w:rsidRDefault="00647330" w:rsidP="005B524E">
      <w:pPr>
        <w:pStyle w:val="ListParagraph"/>
        <w:numPr>
          <w:ilvl w:val="0"/>
          <w:numId w:val="36"/>
        </w:numPr>
        <w:suppressAutoHyphens w:val="0"/>
        <w:rPr>
          <w:iCs/>
        </w:rPr>
      </w:pPr>
      <w:r w:rsidRPr="00851EF3">
        <w:rPr>
          <w:b/>
          <w:iCs/>
        </w:rPr>
        <w:t>Centralizuotas modelis</w:t>
      </w:r>
      <w:r w:rsidRPr="00851EF3">
        <w:rPr>
          <w:iCs/>
        </w:rPr>
        <w:t xml:space="preserve"> – yra charakteringas šalims, kuriose tradiciniai universitetai „miegojo“ ir iniciatyvos ėmėsi valstybė, pvz. </w:t>
      </w:r>
      <w:r>
        <w:rPr>
          <w:iCs/>
        </w:rPr>
        <w:t>Didžiosios Britanijos</w:t>
      </w:r>
      <w:r w:rsidRPr="00851EF3">
        <w:rPr>
          <w:iCs/>
        </w:rPr>
        <w:t>, Olan</w:t>
      </w:r>
      <w:r>
        <w:rPr>
          <w:iCs/>
        </w:rPr>
        <w:t>dijos</w:t>
      </w:r>
      <w:r w:rsidRPr="00851EF3">
        <w:rPr>
          <w:iCs/>
        </w:rPr>
        <w:t>, Slovak</w:t>
      </w:r>
      <w:r>
        <w:rPr>
          <w:iCs/>
        </w:rPr>
        <w:t>ijos ir kt.</w:t>
      </w:r>
      <w:r w:rsidRPr="00851EF3">
        <w:rPr>
          <w:iCs/>
        </w:rPr>
        <w:t xml:space="preserve"> atvirieji universitetai. Atvirasis universitetas turi savo dėstytojus, studentus, pats išduoda diplomus, kuria naujas mokymosi metodikas. Autorius išskiria teigiamas ir ne</w:t>
      </w:r>
      <w:r>
        <w:rPr>
          <w:iCs/>
        </w:rPr>
        <w:t>i</w:t>
      </w:r>
      <w:r>
        <w:rPr>
          <w:iCs/>
        </w:rPr>
        <w:t>gia</w:t>
      </w:r>
      <w:r w:rsidRPr="00851EF3">
        <w:rPr>
          <w:iCs/>
        </w:rPr>
        <w:t xml:space="preserve">mas puses: teigiama pusė – yra kompetencijos centras, greitai gaunami rezultatai (3-5 metai), </w:t>
      </w:r>
      <w:r>
        <w:rPr>
          <w:iCs/>
        </w:rPr>
        <w:t>t</w:t>
      </w:r>
      <w:r w:rsidRPr="00851EF3">
        <w:rPr>
          <w:iCs/>
        </w:rPr>
        <w:t>rūkuma</w:t>
      </w:r>
      <w:r>
        <w:rPr>
          <w:iCs/>
        </w:rPr>
        <w:t>s</w:t>
      </w:r>
      <w:r w:rsidRPr="00851EF3">
        <w:rPr>
          <w:iCs/>
        </w:rPr>
        <w:t xml:space="preserve"> – tradiciniai universitetai nukenčia, nepajėgia konkuruoti, į juos sunkiai skina kelią nauja mąstysena ir naujos mokymosi technologijos</w:t>
      </w:r>
    </w:p>
    <w:p w:rsidR="00647330" w:rsidRPr="00FC51A0" w:rsidRDefault="00647330" w:rsidP="005B524E">
      <w:pPr>
        <w:pStyle w:val="ListParagraph"/>
        <w:numPr>
          <w:ilvl w:val="0"/>
          <w:numId w:val="36"/>
        </w:numPr>
        <w:suppressAutoHyphens w:val="0"/>
        <w:rPr>
          <w:iCs/>
        </w:rPr>
      </w:pPr>
      <w:r w:rsidRPr="00FC51A0">
        <w:rPr>
          <w:b/>
          <w:iCs/>
        </w:rPr>
        <w:t>Decentralizuotas modelis</w:t>
      </w:r>
      <w:r w:rsidRPr="00FC51A0">
        <w:rPr>
          <w:iCs/>
        </w:rPr>
        <w:t xml:space="preserve"> – yra charakteringas šalims, kuriose tradiciniai universitetai buvo aktyvūs, patys sprendė valstybei iškilusias problemas ir nebuvo reikalo kurti atviruosius universitetus, pvz. JAV, Kanada, Australija. Autorius išskiria teigiamas ir </w:t>
      </w:r>
      <w:r>
        <w:rPr>
          <w:iCs/>
        </w:rPr>
        <w:t>neigi</w:t>
      </w:r>
      <w:r>
        <w:rPr>
          <w:iCs/>
        </w:rPr>
        <w:t>a</w:t>
      </w:r>
      <w:r>
        <w:rPr>
          <w:iCs/>
        </w:rPr>
        <w:t>mas puses: teigiama pusė</w:t>
      </w:r>
      <w:r w:rsidRPr="00FC51A0">
        <w:rPr>
          <w:iCs/>
        </w:rPr>
        <w:t xml:space="preserve"> – tradiciniai universitetai stiprėja, išeina į tarptautines rinkas, kuria naujas mokymosi technologijas, </w:t>
      </w:r>
      <w:r>
        <w:rPr>
          <w:iCs/>
        </w:rPr>
        <w:t>t</w:t>
      </w:r>
      <w:r w:rsidRPr="00FC51A0">
        <w:rPr>
          <w:iCs/>
        </w:rPr>
        <w:t>rūkumai – iniciatyvos imasi tik didieji ir aktyvūs universitetai, dalis universitetų lieka „miegoti“</w:t>
      </w:r>
    </w:p>
    <w:p w:rsidR="00647330" w:rsidRPr="0024247C" w:rsidRDefault="00647330" w:rsidP="005B524E">
      <w:pPr>
        <w:pStyle w:val="ListParagraph"/>
        <w:numPr>
          <w:ilvl w:val="0"/>
          <w:numId w:val="36"/>
        </w:numPr>
        <w:suppressAutoHyphens w:val="0"/>
        <w:rPr>
          <w:iCs/>
        </w:rPr>
      </w:pPr>
      <w:r w:rsidRPr="00B90441">
        <w:rPr>
          <w:b/>
          <w:iCs/>
        </w:rPr>
        <w:t xml:space="preserve">Universitetų tinklai </w:t>
      </w:r>
      <w:r w:rsidRPr="00B90441">
        <w:rPr>
          <w:iCs/>
        </w:rPr>
        <w:t>–</w:t>
      </w:r>
      <w:r w:rsidRPr="00B90441">
        <w:rPr>
          <w:b/>
          <w:iCs/>
        </w:rPr>
        <w:t xml:space="preserve"> </w:t>
      </w:r>
      <w:r w:rsidRPr="00B90441">
        <w:rPr>
          <w:iCs/>
        </w:rPr>
        <w:t xml:space="preserve">pastarojo laikmečio sprendimas, kai virtualų universitetą kurią </w:t>
      </w:r>
      <w:r w:rsidRPr="00B90441">
        <w:rPr>
          <w:iCs/>
        </w:rPr>
        <w:lastRenderedPageBreak/>
        <w:t>(dalyvauja veikloje) keli ar visi tradiciniai universitetai, pvz. Suomijos virtualus univers</w:t>
      </w:r>
      <w:r w:rsidRPr="00B90441">
        <w:rPr>
          <w:iCs/>
        </w:rPr>
        <w:t>i</w:t>
      </w:r>
      <w:r w:rsidRPr="00B90441">
        <w:rPr>
          <w:iCs/>
        </w:rPr>
        <w:t xml:space="preserve">tetas, Estijos </w:t>
      </w:r>
      <w:r w:rsidR="0024247C">
        <w:rPr>
          <w:iCs/>
        </w:rPr>
        <w:t>virtual</w:t>
      </w:r>
      <w:r w:rsidR="0024247C" w:rsidRPr="0024247C">
        <w:rPr>
          <w:iCs/>
        </w:rPr>
        <w:t>us universite</w:t>
      </w:r>
      <w:r w:rsidRPr="0024247C">
        <w:rPr>
          <w:iCs/>
        </w:rPr>
        <w:t>tas. Didelį vaidmenį vaidinas techninis – metodinis cen</w:t>
      </w:r>
      <w:r w:rsidRPr="0024247C">
        <w:rPr>
          <w:iCs/>
        </w:rPr>
        <w:t>t</w:t>
      </w:r>
      <w:r w:rsidRPr="0024247C">
        <w:rPr>
          <w:iCs/>
        </w:rPr>
        <w:t>ras, kuris padeda ir palaiko veiklą virtualioje terpėje. Autorius išskiria teigiamas ir ne</w:t>
      </w:r>
      <w:r w:rsidRPr="0024247C">
        <w:rPr>
          <w:iCs/>
        </w:rPr>
        <w:t>i</w:t>
      </w:r>
      <w:r w:rsidRPr="0024247C">
        <w:rPr>
          <w:iCs/>
        </w:rPr>
        <w:t>giamas puses: teigiama pusė – leidžia tolygiai kelti visų universitetų lygį, trūkumas</w:t>
      </w:r>
      <w:r w:rsidRPr="0024247C">
        <w:rPr>
          <w:b/>
          <w:iCs/>
        </w:rPr>
        <w:t xml:space="preserve"> </w:t>
      </w:r>
      <w:r w:rsidRPr="0024247C">
        <w:rPr>
          <w:iCs/>
        </w:rPr>
        <w:t>–</w:t>
      </w:r>
      <w:r w:rsidRPr="0024247C">
        <w:rPr>
          <w:b/>
          <w:iCs/>
        </w:rPr>
        <w:t xml:space="preserve"> </w:t>
      </w:r>
      <w:r w:rsidRPr="0024247C">
        <w:rPr>
          <w:iCs/>
        </w:rPr>
        <w:t>b</w:t>
      </w:r>
      <w:r w:rsidRPr="0024247C">
        <w:rPr>
          <w:iCs/>
        </w:rPr>
        <w:t>ū</w:t>
      </w:r>
      <w:r w:rsidRPr="0024247C">
        <w:rPr>
          <w:iCs/>
        </w:rPr>
        <w:t>tina arba valstybės iniciatyva, arba aktyvus jos dalyvavimas.</w:t>
      </w:r>
    </w:p>
    <w:p w:rsidR="00895F5C" w:rsidRPr="001D1438" w:rsidRDefault="00895F5C" w:rsidP="005B524E">
      <w:pPr>
        <w:suppressAutoHyphens w:val="0"/>
      </w:pPr>
      <w:r w:rsidRPr="001D1438">
        <w:t>Apibendrinant aukščiau minėtus modelius ir apibrėžimus, pastebima, kad beveik visi autoriai i</w:t>
      </w:r>
      <w:r w:rsidRPr="001D1438">
        <w:t>š</w:t>
      </w:r>
      <w:r w:rsidRPr="001D1438">
        <w:t xml:space="preserve">skiria 4 panašius modelius (žr. </w:t>
      </w:r>
      <w:r w:rsidRPr="001D1438">
        <w:rPr>
          <w:b/>
        </w:rPr>
        <w:t xml:space="preserve">Lentelė </w:t>
      </w:r>
      <w:r w:rsidR="00A218CA">
        <w:rPr>
          <w:b/>
        </w:rPr>
        <w:t>4</w:t>
      </w:r>
      <w:r w:rsidRPr="001D1438">
        <w:t>).</w:t>
      </w:r>
    </w:p>
    <w:p w:rsidR="00895F5C" w:rsidRPr="001D1438" w:rsidRDefault="00895F5C" w:rsidP="005B524E">
      <w:pPr>
        <w:pStyle w:val="Caption"/>
        <w:suppressAutoHyphens w:val="0"/>
        <w:rPr>
          <w:szCs w:val="20"/>
        </w:rPr>
      </w:pPr>
      <w:bookmarkStart w:id="38" w:name="_Toc119509739"/>
      <w:bookmarkStart w:id="39" w:name="_Toc248866372"/>
      <w:r w:rsidRPr="001D1438">
        <w:rPr>
          <w:szCs w:val="20"/>
        </w:rPr>
        <w:t xml:space="preserve">Lentelė </w:t>
      </w:r>
      <w:r w:rsidR="009A186D">
        <w:rPr>
          <w:szCs w:val="20"/>
        </w:rPr>
        <w:fldChar w:fldCharType="begin"/>
      </w:r>
      <w:r w:rsidR="00B96EE7">
        <w:rPr>
          <w:szCs w:val="20"/>
        </w:rPr>
        <w:instrText xml:space="preserve"> SEQ Lentelė \* ARABIC </w:instrText>
      </w:r>
      <w:r w:rsidR="009A186D">
        <w:rPr>
          <w:szCs w:val="20"/>
        </w:rPr>
        <w:fldChar w:fldCharType="separate"/>
      </w:r>
      <w:r w:rsidR="00E32C21">
        <w:rPr>
          <w:noProof/>
          <w:szCs w:val="20"/>
        </w:rPr>
        <w:t>4</w:t>
      </w:r>
      <w:r w:rsidR="009A186D">
        <w:rPr>
          <w:szCs w:val="20"/>
        </w:rPr>
        <w:fldChar w:fldCharType="end"/>
      </w:r>
      <w:r w:rsidRPr="001D1438">
        <w:rPr>
          <w:szCs w:val="20"/>
        </w:rPr>
        <w:t xml:space="preserve"> Virtualaus universiteto modelių </w:t>
      </w:r>
      <w:r w:rsidR="0077649D">
        <w:rPr>
          <w:szCs w:val="20"/>
        </w:rPr>
        <w:t>apibendrinimas</w:t>
      </w:r>
      <w:bookmarkEnd w:id="38"/>
      <w:bookmarkEnd w:id="39"/>
    </w:p>
    <w:tbl>
      <w:tblPr>
        <w:tblW w:w="10089"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4615"/>
        <w:gridCol w:w="5474"/>
      </w:tblGrid>
      <w:tr w:rsidR="00895F5C" w:rsidRPr="001D1438">
        <w:trPr>
          <w:trHeight w:val="204"/>
          <w:jc w:val="center"/>
        </w:trPr>
        <w:tc>
          <w:tcPr>
            <w:tcW w:w="4615" w:type="dxa"/>
            <w:shd w:val="clear" w:color="auto" w:fill="1F497D" w:themeFill="text2"/>
            <w:vAlign w:val="center"/>
          </w:tcPr>
          <w:p w:rsidR="00895F5C" w:rsidRPr="003313F1" w:rsidRDefault="00895F5C" w:rsidP="005B524E">
            <w:pPr>
              <w:suppressAutoHyphens w:val="0"/>
              <w:spacing w:line="240" w:lineRule="auto"/>
              <w:ind w:firstLine="0"/>
              <w:jc w:val="center"/>
              <w:rPr>
                <w:b/>
                <w:color w:val="FFFFFF" w:themeColor="background1"/>
                <w:sz w:val="22"/>
                <w:szCs w:val="22"/>
              </w:rPr>
            </w:pPr>
            <w:r w:rsidRPr="003313F1">
              <w:rPr>
                <w:b/>
                <w:color w:val="FFFFFF" w:themeColor="background1"/>
                <w:sz w:val="22"/>
                <w:szCs w:val="22"/>
              </w:rPr>
              <w:t>Modelio bendrasis siūlomas pavadinimas</w:t>
            </w:r>
          </w:p>
        </w:tc>
        <w:tc>
          <w:tcPr>
            <w:tcW w:w="0" w:type="auto"/>
            <w:shd w:val="clear" w:color="auto" w:fill="1F497D" w:themeFill="text2"/>
            <w:vAlign w:val="center"/>
          </w:tcPr>
          <w:p w:rsidR="00895F5C" w:rsidRPr="003313F1" w:rsidRDefault="00895F5C" w:rsidP="005B524E">
            <w:pPr>
              <w:suppressAutoHyphens w:val="0"/>
              <w:spacing w:line="240" w:lineRule="auto"/>
              <w:ind w:firstLine="0"/>
              <w:jc w:val="center"/>
              <w:rPr>
                <w:b/>
                <w:color w:val="FFFFFF" w:themeColor="background1"/>
                <w:sz w:val="22"/>
                <w:szCs w:val="22"/>
              </w:rPr>
            </w:pPr>
            <w:r w:rsidRPr="003313F1">
              <w:rPr>
                <w:b/>
                <w:color w:val="FFFFFF" w:themeColor="background1"/>
                <w:sz w:val="22"/>
                <w:szCs w:val="22"/>
              </w:rPr>
              <w:t>Kitų autorių siūlomi pavadinimai</w:t>
            </w:r>
          </w:p>
        </w:tc>
      </w:tr>
      <w:tr w:rsidR="00895F5C" w:rsidRPr="001D1438">
        <w:trPr>
          <w:jc w:val="center"/>
        </w:trPr>
        <w:tc>
          <w:tcPr>
            <w:tcW w:w="4615" w:type="dxa"/>
          </w:tcPr>
          <w:p w:rsidR="00895F5C" w:rsidRPr="003313F1" w:rsidRDefault="00895F5C" w:rsidP="005B524E">
            <w:pPr>
              <w:suppressAutoHyphens w:val="0"/>
              <w:ind w:firstLine="0"/>
              <w:rPr>
                <w:sz w:val="22"/>
                <w:szCs w:val="22"/>
              </w:rPr>
            </w:pPr>
            <w:r w:rsidRPr="003313F1">
              <w:rPr>
                <w:sz w:val="22"/>
                <w:szCs w:val="22"/>
              </w:rPr>
              <w:t>Egzistuojančių institucijų evoliucijos (Esančių institucijų evoliucija) modelis (</w:t>
            </w:r>
            <w:proofErr w:type="spellStart"/>
            <w:r w:rsidRPr="003313F1">
              <w:rPr>
                <w:rFonts w:eastAsia="Arial"/>
                <w:sz w:val="22"/>
                <w:szCs w:val="22"/>
                <w:lang w:eastAsia="ar-SA"/>
              </w:rPr>
              <w:t>Duin</w:t>
            </w:r>
            <w:proofErr w:type="spellEnd"/>
            <w:r w:rsidRPr="003313F1">
              <w:rPr>
                <w:rFonts w:eastAsia="Arial"/>
                <w:sz w:val="22"/>
                <w:szCs w:val="22"/>
                <w:lang w:eastAsia="ar-SA"/>
              </w:rPr>
              <w:t xml:space="preserve">, </w:t>
            </w:r>
            <w:proofErr w:type="spellStart"/>
            <w:r w:rsidRPr="003313F1">
              <w:rPr>
                <w:rFonts w:eastAsia="Arial"/>
                <w:sz w:val="22"/>
                <w:szCs w:val="22"/>
                <w:lang w:eastAsia="ar-SA"/>
              </w:rPr>
              <w:t>Baer</w:t>
            </w:r>
            <w:proofErr w:type="spellEnd"/>
            <w:r w:rsidRPr="003313F1">
              <w:rPr>
                <w:rFonts w:eastAsia="Arial"/>
                <w:sz w:val="22"/>
                <w:szCs w:val="22"/>
                <w:lang w:eastAsia="ar-SA"/>
              </w:rPr>
              <w:t xml:space="preserve">, 1999; </w:t>
            </w:r>
            <w:r w:rsidRPr="003313F1">
              <w:rPr>
                <w:sz w:val="22"/>
                <w:szCs w:val="22"/>
                <w:lang w:eastAsia="ar-SA"/>
              </w:rPr>
              <w:t xml:space="preserve">Mansour, </w:t>
            </w:r>
            <w:proofErr w:type="spellStart"/>
            <w:r w:rsidRPr="003313F1">
              <w:rPr>
                <w:sz w:val="22"/>
                <w:szCs w:val="22"/>
                <w:lang w:eastAsia="ar-SA"/>
              </w:rPr>
              <w:t>Al-Shehri</w:t>
            </w:r>
            <w:r w:rsidRPr="003313F1">
              <w:rPr>
                <w:rFonts w:eastAsia="TimesNewRomanPSMT"/>
                <w:sz w:val="22"/>
                <w:szCs w:val="22"/>
                <w:lang w:eastAsia="ar-SA"/>
              </w:rPr>
              <w:t>,</w:t>
            </w:r>
            <w:proofErr w:type="spellEnd"/>
            <w:r w:rsidRPr="003313F1">
              <w:rPr>
                <w:rFonts w:eastAsia="TimesNewRomanPSMT"/>
                <w:sz w:val="22"/>
                <w:szCs w:val="22"/>
                <w:lang w:eastAsia="ar-SA"/>
              </w:rPr>
              <w:t xml:space="preserve"> 2004; Rutkauskienė ir kt., 2006)</w:t>
            </w:r>
            <w:r w:rsidRPr="003313F1">
              <w:rPr>
                <w:sz w:val="22"/>
                <w:szCs w:val="22"/>
              </w:rPr>
              <w:t>;</w:t>
            </w:r>
          </w:p>
        </w:tc>
        <w:tc>
          <w:tcPr>
            <w:tcW w:w="0" w:type="auto"/>
          </w:tcPr>
          <w:p w:rsidR="00895F5C" w:rsidRPr="003313F1" w:rsidRDefault="00895F5C" w:rsidP="005B524E">
            <w:pPr>
              <w:numPr>
                <w:ilvl w:val="0"/>
                <w:numId w:val="14"/>
              </w:numPr>
              <w:suppressAutoHyphens w:val="0"/>
              <w:rPr>
                <w:sz w:val="22"/>
                <w:szCs w:val="22"/>
              </w:rPr>
            </w:pPr>
            <w:r w:rsidRPr="003313F1">
              <w:rPr>
                <w:sz w:val="22"/>
                <w:szCs w:val="22"/>
              </w:rPr>
              <w:t>Esamos struktūros modelis (</w:t>
            </w:r>
            <w:proofErr w:type="spellStart"/>
            <w:r w:rsidRPr="003313F1">
              <w:rPr>
                <w:sz w:val="22"/>
                <w:szCs w:val="22"/>
              </w:rPr>
              <w:t>Hurst</w:t>
            </w:r>
            <w:proofErr w:type="spellEnd"/>
            <w:r w:rsidRPr="003313F1">
              <w:rPr>
                <w:sz w:val="22"/>
                <w:szCs w:val="22"/>
              </w:rPr>
              <w:t>, 1998);</w:t>
            </w:r>
          </w:p>
          <w:p w:rsidR="00895F5C" w:rsidRPr="003313F1" w:rsidRDefault="00895F5C" w:rsidP="005B524E">
            <w:pPr>
              <w:numPr>
                <w:ilvl w:val="0"/>
                <w:numId w:val="14"/>
              </w:numPr>
              <w:suppressAutoHyphens w:val="0"/>
              <w:rPr>
                <w:sz w:val="22"/>
                <w:szCs w:val="22"/>
              </w:rPr>
            </w:pPr>
            <w:r w:rsidRPr="003313F1">
              <w:rPr>
                <w:sz w:val="22"/>
                <w:szCs w:val="22"/>
              </w:rPr>
              <w:t>Tradicinė institucija, teiki</w:t>
            </w:r>
            <w:r w:rsidR="00F15E75" w:rsidRPr="003313F1">
              <w:rPr>
                <w:sz w:val="22"/>
                <w:szCs w:val="22"/>
              </w:rPr>
              <w:t>ančia ir virtualaus ir tradic</w:t>
            </w:r>
            <w:r w:rsidR="00F15E75" w:rsidRPr="003313F1">
              <w:rPr>
                <w:sz w:val="22"/>
                <w:szCs w:val="22"/>
              </w:rPr>
              <w:t>i</w:t>
            </w:r>
            <w:r w:rsidRPr="003313F1">
              <w:rPr>
                <w:sz w:val="22"/>
                <w:szCs w:val="22"/>
              </w:rPr>
              <w:t>nio mokymo(si) paslaugas (Farrell, 1999, 2001);</w:t>
            </w:r>
          </w:p>
          <w:p w:rsidR="00895F5C" w:rsidRPr="003313F1" w:rsidRDefault="00895F5C" w:rsidP="005B524E">
            <w:pPr>
              <w:numPr>
                <w:ilvl w:val="0"/>
                <w:numId w:val="14"/>
              </w:numPr>
              <w:suppressAutoHyphens w:val="0"/>
              <w:rPr>
                <w:sz w:val="22"/>
                <w:szCs w:val="22"/>
              </w:rPr>
            </w:pPr>
            <w:r w:rsidRPr="003313F1">
              <w:rPr>
                <w:sz w:val="22"/>
                <w:szCs w:val="22"/>
              </w:rPr>
              <w:t>Kombinuotas virtualus universitetas (Seufert, 2005)</w:t>
            </w:r>
          </w:p>
          <w:p w:rsidR="00895F5C" w:rsidRPr="003313F1" w:rsidRDefault="00895F5C" w:rsidP="005B524E">
            <w:pPr>
              <w:numPr>
                <w:ilvl w:val="0"/>
                <w:numId w:val="14"/>
              </w:numPr>
              <w:suppressAutoHyphens w:val="0"/>
              <w:rPr>
                <w:sz w:val="22"/>
                <w:szCs w:val="22"/>
              </w:rPr>
            </w:pPr>
            <w:r w:rsidRPr="003313F1">
              <w:rPr>
                <w:sz w:val="22"/>
                <w:szCs w:val="22"/>
              </w:rPr>
              <w:t>Egzistuojančios aukštojo švietimo institucijos, kurios turi arba rengia nuotolinio švietimo programas (Am</w:t>
            </w:r>
            <w:r w:rsidRPr="003313F1">
              <w:rPr>
                <w:sz w:val="22"/>
                <w:szCs w:val="22"/>
              </w:rPr>
              <w:t>e</w:t>
            </w:r>
            <w:r w:rsidRPr="003313F1">
              <w:rPr>
                <w:sz w:val="22"/>
                <w:szCs w:val="22"/>
              </w:rPr>
              <w:t>rikos mokytojų federacija, 2001)</w:t>
            </w:r>
          </w:p>
          <w:p w:rsidR="00895F5C" w:rsidRPr="003313F1" w:rsidRDefault="00895F5C" w:rsidP="005B524E">
            <w:pPr>
              <w:numPr>
                <w:ilvl w:val="0"/>
                <w:numId w:val="14"/>
              </w:numPr>
              <w:suppressAutoHyphens w:val="0"/>
              <w:rPr>
                <w:sz w:val="22"/>
                <w:szCs w:val="22"/>
              </w:rPr>
            </w:pPr>
            <w:r w:rsidRPr="003313F1">
              <w:rPr>
                <w:sz w:val="22"/>
                <w:szCs w:val="22"/>
              </w:rPr>
              <w:t>I tipo institucionalizuotas virtualus universitetas (</w:t>
            </w:r>
            <w:proofErr w:type="spellStart"/>
            <w:r w:rsidRPr="003313F1">
              <w:rPr>
                <w:sz w:val="22"/>
                <w:szCs w:val="22"/>
              </w:rPr>
              <w:t>Paulsen</w:t>
            </w:r>
            <w:proofErr w:type="spellEnd"/>
            <w:r w:rsidRPr="003313F1">
              <w:rPr>
                <w:sz w:val="22"/>
                <w:szCs w:val="22"/>
              </w:rPr>
              <w:t>, 2004)</w:t>
            </w:r>
          </w:p>
          <w:p w:rsidR="00CE392C" w:rsidRPr="003313F1" w:rsidRDefault="00CE392C" w:rsidP="005B524E">
            <w:pPr>
              <w:numPr>
                <w:ilvl w:val="0"/>
                <w:numId w:val="14"/>
              </w:numPr>
              <w:suppressAutoHyphens w:val="0"/>
              <w:rPr>
                <w:sz w:val="22"/>
                <w:szCs w:val="22"/>
              </w:rPr>
            </w:pPr>
            <w:r w:rsidRPr="003313F1">
              <w:rPr>
                <w:sz w:val="22"/>
                <w:szCs w:val="22"/>
              </w:rPr>
              <w:t>Decentralizuotas (Targamadzė</w:t>
            </w:r>
            <w:r w:rsidRPr="003313F1">
              <w:rPr>
                <w:iCs/>
                <w:sz w:val="22"/>
                <w:szCs w:val="22"/>
              </w:rPr>
              <w:t>, 2006)</w:t>
            </w:r>
          </w:p>
        </w:tc>
      </w:tr>
      <w:tr w:rsidR="00895F5C" w:rsidRPr="001D1438">
        <w:trPr>
          <w:jc w:val="center"/>
        </w:trPr>
        <w:tc>
          <w:tcPr>
            <w:tcW w:w="4615" w:type="dxa"/>
          </w:tcPr>
          <w:p w:rsidR="00895F5C" w:rsidRPr="003313F1" w:rsidRDefault="00895F5C" w:rsidP="005B524E">
            <w:pPr>
              <w:suppressAutoHyphens w:val="0"/>
              <w:ind w:firstLine="0"/>
              <w:rPr>
                <w:sz w:val="22"/>
                <w:szCs w:val="22"/>
              </w:rPr>
            </w:pPr>
            <w:r w:rsidRPr="003313F1">
              <w:rPr>
                <w:sz w:val="22"/>
                <w:szCs w:val="22"/>
              </w:rPr>
              <w:t>Naujos institucijos (</w:t>
            </w:r>
            <w:proofErr w:type="spellStart"/>
            <w:r w:rsidRPr="003313F1">
              <w:rPr>
                <w:rFonts w:eastAsia="Arial"/>
                <w:sz w:val="22"/>
                <w:szCs w:val="22"/>
                <w:lang w:eastAsia="ar-SA"/>
              </w:rPr>
              <w:t>Duin</w:t>
            </w:r>
            <w:proofErr w:type="spellEnd"/>
            <w:r w:rsidRPr="003313F1">
              <w:rPr>
                <w:rFonts w:eastAsia="Arial"/>
                <w:sz w:val="22"/>
                <w:szCs w:val="22"/>
                <w:lang w:eastAsia="ar-SA"/>
              </w:rPr>
              <w:t xml:space="preserve">, </w:t>
            </w:r>
            <w:proofErr w:type="spellStart"/>
            <w:r w:rsidRPr="003313F1">
              <w:rPr>
                <w:rFonts w:eastAsia="Arial"/>
                <w:sz w:val="22"/>
                <w:szCs w:val="22"/>
                <w:lang w:eastAsia="ar-SA"/>
              </w:rPr>
              <w:t>Baer</w:t>
            </w:r>
            <w:proofErr w:type="spellEnd"/>
            <w:r w:rsidRPr="003313F1">
              <w:rPr>
                <w:rFonts w:eastAsia="Arial"/>
                <w:sz w:val="22"/>
                <w:szCs w:val="22"/>
                <w:lang w:eastAsia="ar-SA"/>
              </w:rPr>
              <w:t xml:space="preserve">, 1999; </w:t>
            </w:r>
            <w:r w:rsidRPr="003313F1">
              <w:rPr>
                <w:sz w:val="22"/>
                <w:szCs w:val="22"/>
                <w:lang w:eastAsia="ar-SA"/>
              </w:rPr>
              <w:t xml:space="preserve">Mansour, </w:t>
            </w:r>
            <w:proofErr w:type="spellStart"/>
            <w:r w:rsidRPr="003313F1">
              <w:rPr>
                <w:sz w:val="22"/>
                <w:szCs w:val="22"/>
                <w:lang w:eastAsia="ar-SA"/>
              </w:rPr>
              <w:t>Al-Shehri</w:t>
            </w:r>
            <w:r w:rsidRPr="003313F1">
              <w:rPr>
                <w:rFonts w:eastAsia="TimesNewRomanPSMT"/>
                <w:sz w:val="22"/>
                <w:szCs w:val="22"/>
                <w:lang w:eastAsia="ar-SA"/>
              </w:rPr>
              <w:t>,</w:t>
            </w:r>
            <w:proofErr w:type="spellEnd"/>
            <w:r w:rsidRPr="003313F1">
              <w:rPr>
                <w:rFonts w:eastAsia="TimesNewRomanPSMT"/>
                <w:sz w:val="22"/>
                <w:szCs w:val="22"/>
                <w:lang w:eastAsia="ar-SA"/>
              </w:rPr>
              <w:t xml:space="preserve"> 2004; Rutkauskienė ir kt., 2006)</w:t>
            </w:r>
            <w:r w:rsidRPr="003313F1">
              <w:rPr>
                <w:sz w:val="22"/>
                <w:szCs w:val="22"/>
              </w:rPr>
              <w:t>;</w:t>
            </w:r>
          </w:p>
        </w:tc>
        <w:tc>
          <w:tcPr>
            <w:tcW w:w="0" w:type="auto"/>
          </w:tcPr>
          <w:p w:rsidR="00895F5C" w:rsidRPr="003313F1" w:rsidRDefault="00895F5C" w:rsidP="005B524E">
            <w:pPr>
              <w:numPr>
                <w:ilvl w:val="0"/>
                <w:numId w:val="15"/>
              </w:numPr>
              <w:suppressAutoHyphens w:val="0"/>
              <w:rPr>
                <w:sz w:val="22"/>
                <w:szCs w:val="22"/>
              </w:rPr>
            </w:pPr>
            <w:r w:rsidRPr="003313F1">
              <w:rPr>
                <w:sz w:val="22"/>
                <w:szCs w:val="22"/>
              </w:rPr>
              <w:t>Visiškai virtualus universitetas (Seufert, 2005);</w:t>
            </w:r>
          </w:p>
          <w:p w:rsidR="00895F5C" w:rsidRPr="003313F1" w:rsidRDefault="00895F5C" w:rsidP="005B524E">
            <w:pPr>
              <w:numPr>
                <w:ilvl w:val="0"/>
                <w:numId w:val="15"/>
              </w:numPr>
              <w:suppressAutoHyphens w:val="0"/>
              <w:rPr>
                <w:sz w:val="22"/>
                <w:szCs w:val="22"/>
              </w:rPr>
            </w:pPr>
            <w:r w:rsidRPr="003313F1">
              <w:rPr>
                <w:sz w:val="22"/>
                <w:szCs w:val="22"/>
              </w:rPr>
              <w:t>II tipo institucionalizuotas virtualus universitetas (</w:t>
            </w:r>
            <w:proofErr w:type="spellStart"/>
            <w:r w:rsidRPr="003313F1">
              <w:rPr>
                <w:sz w:val="22"/>
                <w:szCs w:val="22"/>
              </w:rPr>
              <w:t>Paulsen</w:t>
            </w:r>
            <w:proofErr w:type="spellEnd"/>
            <w:r w:rsidRPr="003313F1">
              <w:rPr>
                <w:sz w:val="22"/>
                <w:szCs w:val="22"/>
              </w:rPr>
              <w:t>, 2004);</w:t>
            </w:r>
          </w:p>
          <w:p w:rsidR="00895F5C" w:rsidRPr="003313F1" w:rsidRDefault="00895F5C" w:rsidP="005B524E">
            <w:pPr>
              <w:numPr>
                <w:ilvl w:val="0"/>
                <w:numId w:val="15"/>
              </w:numPr>
              <w:suppressAutoHyphens w:val="0"/>
              <w:rPr>
                <w:sz w:val="22"/>
                <w:szCs w:val="22"/>
              </w:rPr>
            </w:pPr>
            <w:r w:rsidRPr="003313F1">
              <w:rPr>
                <w:sz w:val="22"/>
                <w:szCs w:val="22"/>
              </w:rPr>
              <w:t>Institucija, teikianti aukštojo mokslo paslaugas elektroninėje erdvėje (Farrell, 1999, 2001);</w:t>
            </w:r>
          </w:p>
          <w:p w:rsidR="00CE392C" w:rsidRPr="003313F1" w:rsidRDefault="00CE392C" w:rsidP="005B524E">
            <w:pPr>
              <w:numPr>
                <w:ilvl w:val="0"/>
                <w:numId w:val="15"/>
              </w:numPr>
              <w:suppressAutoHyphens w:val="0"/>
              <w:rPr>
                <w:sz w:val="22"/>
                <w:szCs w:val="22"/>
              </w:rPr>
            </w:pPr>
            <w:r w:rsidRPr="003313F1">
              <w:rPr>
                <w:sz w:val="22"/>
                <w:szCs w:val="22"/>
              </w:rPr>
              <w:t>Centralizuotas (Targamadzė</w:t>
            </w:r>
            <w:r w:rsidRPr="003313F1">
              <w:rPr>
                <w:iCs/>
                <w:sz w:val="22"/>
                <w:szCs w:val="22"/>
              </w:rPr>
              <w:t>, 2006)</w:t>
            </w:r>
          </w:p>
        </w:tc>
      </w:tr>
      <w:tr w:rsidR="00895F5C" w:rsidRPr="001D1438">
        <w:trPr>
          <w:jc w:val="center"/>
        </w:trPr>
        <w:tc>
          <w:tcPr>
            <w:tcW w:w="4615" w:type="dxa"/>
          </w:tcPr>
          <w:p w:rsidR="00895F5C" w:rsidRPr="003313F1" w:rsidRDefault="00895F5C" w:rsidP="005B524E">
            <w:pPr>
              <w:suppressAutoHyphens w:val="0"/>
              <w:ind w:firstLine="0"/>
              <w:rPr>
                <w:sz w:val="22"/>
                <w:szCs w:val="22"/>
              </w:rPr>
            </w:pPr>
            <w:r w:rsidRPr="003313F1">
              <w:rPr>
                <w:sz w:val="22"/>
                <w:szCs w:val="22"/>
              </w:rPr>
              <w:t>Bendradarbiavimas su kitais švietimo paslaugų ar su švietimu susijusiu paslaugų teikėjais</w:t>
            </w:r>
          </w:p>
        </w:tc>
        <w:tc>
          <w:tcPr>
            <w:tcW w:w="0" w:type="auto"/>
          </w:tcPr>
          <w:p w:rsidR="00895F5C" w:rsidRPr="003313F1" w:rsidRDefault="00895F5C" w:rsidP="005B524E">
            <w:pPr>
              <w:suppressAutoHyphens w:val="0"/>
              <w:ind w:firstLine="0"/>
              <w:rPr>
                <w:sz w:val="22"/>
                <w:szCs w:val="22"/>
              </w:rPr>
            </w:pPr>
            <w:r w:rsidRPr="003313F1">
              <w:rPr>
                <w:sz w:val="22"/>
                <w:szCs w:val="22"/>
                <w:lang w:eastAsia="ar-SA"/>
              </w:rPr>
              <w:t>Rutkauskienė ir kt. (2006):</w:t>
            </w:r>
          </w:p>
          <w:p w:rsidR="00895F5C" w:rsidRPr="003313F1" w:rsidRDefault="00895F5C" w:rsidP="005B524E">
            <w:pPr>
              <w:numPr>
                <w:ilvl w:val="0"/>
                <w:numId w:val="16"/>
              </w:numPr>
              <w:suppressAutoHyphens w:val="0"/>
              <w:rPr>
                <w:sz w:val="22"/>
                <w:szCs w:val="22"/>
              </w:rPr>
            </w:pPr>
            <w:r w:rsidRPr="003313F1">
              <w:rPr>
                <w:sz w:val="22"/>
                <w:szCs w:val="22"/>
              </w:rPr>
              <w:t>Virtualaus švietimo paslaugoms teikti sudarytas partnerių konsorciumas.</w:t>
            </w:r>
          </w:p>
          <w:p w:rsidR="00895F5C" w:rsidRPr="003313F1" w:rsidRDefault="00895F5C" w:rsidP="005B524E">
            <w:pPr>
              <w:suppressAutoHyphens w:val="0"/>
              <w:ind w:firstLine="0"/>
              <w:rPr>
                <w:sz w:val="22"/>
                <w:szCs w:val="22"/>
              </w:rPr>
            </w:pPr>
            <w:proofErr w:type="spellStart"/>
            <w:r w:rsidRPr="003313F1">
              <w:rPr>
                <w:sz w:val="22"/>
                <w:szCs w:val="22"/>
              </w:rPr>
              <w:t>Paulsen</w:t>
            </w:r>
            <w:proofErr w:type="spellEnd"/>
            <w:r w:rsidRPr="003313F1">
              <w:rPr>
                <w:sz w:val="22"/>
                <w:szCs w:val="22"/>
              </w:rPr>
              <w:t xml:space="preserve"> (2004)</w:t>
            </w:r>
            <w:r w:rsidR="005F5B87" w:rsidRPr="003313F1">
              <w:rPr>
                <w:sz w:val="22"/>
                <w:szCs w:val="22"/>
              </w:rPr>
              <w:t xml:space="preserve"> išskyrė į</w:t>
            </w:r>
            <w:r w:rsidR="00930173" w:rsidRPr="003313F1">
              <w:rPr>
                <w:sz w:val="22"/>
                <w:szCs w:val="22"/>
              </w:rPr>
              <w:t xml:space="preserve"> modelius</w:t>
            </w:r>
            <w:r w:rsidRPr="003313F1">
              <w:rPr>
                <w:sz w:val="22"/>
                <w:szCs w:val="22"/>
              </w:rPr>
              <w:t>:</w:t>
            </w:r>
          </w:p>
          <w:p w:rsidR="00895F5C" w:rsidRPr="003313F1" w:rsidRDefault="00895F5C" w:rsidP="005B524E">
            <w:pPr>
              <w:numPr>
                <w:ilvl w:val="0"/>
                <w:numId w:val="16"/>
              </w:numPr>
              <w:suppressAutoHyphens w:val="0"/>
              <w:rPr>
                <w:sz w:val="22"/>
                <w:szCs w:val="22"/>
              </w:rPr>
            </w:pPr>
            <w:r w:rsidRPr="003313F1">
              <w:rPr>
                <w:sz w:val="22"/>
                <w:szCs w:val="22"/>
              </w:rPr>
              <w:t>Nacionaliniu lygmeniu koordinuojami virtualūs universitetai.</w:t>
            </w:r>
          </w:p>
          <w:p w:rsidR="00895F5C" w:rsidRPr="003313F1" w:rsidRDefault="00895F5C" w:rsidP="005B524E">
            <w:pPr>
              <w:numPr>
                <w:ilvl w:val="0"/>
                <w:numId w:val="16"/>
              </w:numPr>
              <w:suppressAutoHyphens w:val="0"/>
              <w:rPr>
                <w:sz w:val="22"/>
                <w:szCs w:val="22"/>
              </w:rPr>
            </w:pPr>
            <w:r w:rsidRPr="003313F1">
              <w:rPr>
                <w:sz w:val="22"/>
                <w:szCs w:val="22"/>
              </w:rPr>
              <w:t xml:space="preserve">Konsorciumo pagrindu sukurtas nacionalinis virtualus universitetas. </w:t>
            </w:r>
          </w:p>
          <w:p w:rsidR="00CE392C" w:rsidRPr="003313F1" w:rsidRDefault="00CE392C" w:rsidP="005B524E">
            <w:pPr>
              <w:numPr>
                <w:ilvl w:val="0"/>
                <w:numId w:val="16"/>
              </w:numPr>
              <w:suppressAutoHyphens w:val="0"/>
              <w:rPr>
                <w:sz w:val="22"/>
                <w:szCs w:val="22"/>
              </w:rPr>
            </w:pPr>
            <w:r w:rsidRPr="003313F1">
              <w:rPr>
                <w:sz w:val="22"/>
                <w:szCs w:val="22"/>
              </w:rPr>
              <w:t>Tinklinis (Targamadzė</w:t>
            </w:r>
            <w:r w:rsidRPr="003313F1">
              <w:rPr>
                <w:iCs/>
                <w:sz w:val="22"/>
                <w:szCs w:val="22"/>
              </w:rPr>
              <w:t>, 2006)</w:t>
            </w:r>
          </w:p>
          <w:p w:rsidR="00895F5C" w:rsidRPr="003313F1" w:rsidRDefault="00895F5C" w:rsidP="005B524E">
            <w:pPr>
              <w:suppressAutoHyphens w:val="0"/>
              <w:ind w:firstLine="0"/>
              <w:rPr>
                <w:sz w:val="22"/>
                <w:szCs w:val="22"/>
              </w:rPr>
            </w:pPr>
            <w:r w:rsidRPr="003313F1">
              <w:rPr>
                <w:sz w:val="22"/>
                <w:szCs w:val="22"/>
              </w:rPr>
              <w:t>Seufert (2005)</w:t>
            </w:r>
            <w:r w:rsidR="0056110C" w:rsidRPr="003313F1">
              <w:rPr>
                <w:sz w:val="22"/>
                <w:szCs w:val="22"/>
              </w:rPr>
              <w:t xml:space="preserve"> išskyrė į du skirtingus modelius</w:t>
            </w:r>
            <w:r w:rsidRPr="003313F1">
              <w:rPr>
                <w:sz w:val="22"/>
                <w:szCs w:val="22"/>
              </w:rPr>
              <w:t>:</w:t>
            </w:r>
          </w:p>
          <w:p w:rsidR="00895F5C" w:rsidRPr="003313F1" w:rsidRDefault="00895F5C" w:rsidP="005B524E">
            <w:pPr>
              <w:numPr>
                <w:ilvl w:val="0"/>
                <w:numId w:val="17"/>
              </w:numPr>
              <w:suppressAutoHyphens w:val="0"/>
              <w:rPr>
                <w:sz w:val="22"/>
                <w:szCs w:val="22"/>
              </w:rPr>
            </w:pPr>
            <w:r w:rsidRPr="003313F1">
              <w:rPr>
                <w:sz w:val="22"/>
                <w:szCs w:val="22"/>
              </w:rPr>
              <w:lastRenderedPageBreak/>
              <w:t xml:space="preserve">Virtualaus universiteto tinklas. </w:t>
            </w:r>
          </w:p>
          <w:p w:rsidR="00895F5C" w:rsidRPr="003313F1" w:rsidRDefault="00895F5C" w:rsidP="005B524E">
            <w:pPr>
              <w:numPr>
                <w:ilvl w:val="0"/>
                <w:numId w:val="17"/>
              </w:numPr>
              <w:suppressAutoHyphens w:val="0"/>
              <w:rPr>
                <w:sz w:val="22"/>
                <w:szCs w:val="22"/>
              </w:rPr>
            </w:pPr>
            <w:r w:rsidRPr="003313F1">
              <w:rPr>
                <w:sz w:val="22"/>
                <w:szCs w:val="22"/>
              </w:rPr>
              <w:t xml:space="preserve">Bendradarbiavimas su švietimo paslaugų teikėjais ir/arba konsorciumais. </w:t>
            </w:r>
          </w:p>
        </w:tc>
      </w:tr>
      <w:tr w:rsidR="00895F5C" w:rsidRPr="001D1438">
        <w:trPr>
          <w:trHeight w:val="312"/>
          <w:jc w:val="center"/>
        </w:trPr>
        <w:tc>
          <w:tcPr>
            <w:tcW w:w="4615" w:type="dxa"/>
          </w:tcPr>
          <w:p w:rsidR="00895F5C" w:rsidRPr="003313F1" w:rsidRDefault="00895F5C" w:rsidP="005B524E">
            <w:pPr>
              <w:suppressAutoHyphens w:val="0"/>
              <w:ind w:firstLine="0"/>
              <w:rPr>
                <w:sz w:val="22"/>
                <w:szCs w:val="22"/>
              </w:rPr>
            </w:pPr>
            <w:r w:rsidRPr="003313F1">
              <w:rPr>
                <w:sz w:val="22"/>
                <w:szCs w:val="22"/>
              </w:rPr>
              <w:lastRenderedPageBreak/>
              <w:t>Mokymo</w:t>
            </w:r>
            <w:r w:rsidR="00786ABB" w:rsidRPr="003313F1">
              <w:rPr>
                <w:sz w:val="22"/>
                <w:szCs w:val="22"/>
              </w:rPr>
              <w:t>(</w:t>
            </w:r>
            <w:r w:rsidRPr="003313F1">
              <w:rPr>
                <w:sz w:val="22"/>
                <w:szCs w:val="22"/>
              </w:rPr>
              <w:t>si</w:t>
            </w:r>
            <w:r w:rsidR="00786ABB" w:rsidRPr="003313F1">
              <w:rPr>
                <w:sz w:val="22"/>
                <w:szCs w:val="22"/>
              </w:rPr>
              <w:t>)</w:t>
            </w:r>
            <w:r w:rsidRPr="003313F1">
              <w:rPr>
                <w:sz w:val="22"/>
                <w:szCs w:val="22"/>
              </w:rPr>
              <w:t xml:space="preserve"> paslaugas teikianti verslo įmonė </w:t>
            </w:r>
          </w:p>
        </w:tc>
        <w:tc>
          <w:tcPr>
            <w:tcW w:w="0" w:type="auto"/>
          </w:tcPr>
          <w:p w:rsidR="00895F5C" w:rsidRPr="003313F1" w:rsidRDefault="00895F5C" w:rsidP="005B524E">
            <w:pPr>
              <w:suppressAutoHyphens w:val="0"/>
              <w:ind w:firstLine="0"/>
              <w:rPr>
                <w:sz w:val="22"/>
                <w:szCs w:val="22"/>
              </w:rPr>
            </w:pPr>
            <w:r w:rsidRPr="003313F1">
              <w:rPr>
                <w:sz w:val="22"/>
                <w:szCs w:val="22"/>
                <w:lang w:eastAsia="ar-SA"/>
              </w:rPr>
              <w:t>Rutkauskienė ir kt., (2006)</w:t>
            </w:r>
          </w:p>
          <w:p w:rsidR="00895F5C" w:rsidRPr="003313F1" w:rsidRDefault="00895F5C" w:rsidP="005B524E">
            <w:pPr>
              <w:numPr>
                <w:ilvl w:val="0"/>
                <w:numId w:val="18"/>
              </w:numPr>
              <w:suppressAutoHyphens w:val="0"/>
              <w:rPr>
                <w:sz w:val="22"/>
                <w:szCs w:val="22"/>
              </w:rPr>
            </w:pPr>
            <w:r w:rsidRPr="003313F1">
              <w:rPr>
                <w:sz w:val="22"/>
                <w:szCs w:val="22"/>
              </w:rPr>
              <w:t>Internetu grįsto mokymosi paslaugas teikianti verslo įmonė</w:t>
            </w:r>
          </w:p>
        </w:tc>
      </w:tr>
    </w:tbl>
    <w:p w:rsidR="00895F5C" w:rsidRDefault="00895F5C" w:rsidP="005B524E">
      <w:pPr>
        <w:pStyle w:val="Heading2"/>
        <w:suppressAutoHyphens w:val="0"/>
      </w:pPr>
      <w:bookmarkStart w:id="40" w:name="_Toc248687469"/>
      <w:bookmarkStart w:id="41" w:name="_Toc251011258"/>
      <w:r>
        <w:t xml:space="preserve">Pasaulinės </w:t>
      </w:r>
      <w:r w:rsidR="0024247C">
        <w:t>virtualaus universite</w:t>
      </w:r>
      <w:r>
        <w:t>to plėtros praktikos apžvalga</w:t>
      </w:r>
      <w:bookmarkEnd w:id="40"/>
      <w:bookmarkEnd w:id="41"/>
    </w:p>
    <w:p w:rsidR="00E46818" w:rsidRDefault="00B068EF" w:rsidP="005B524E">
      <w:pPr>
        <w:suppressAutoHyphens w:val="0"/>
      </w:pPr>
      <w:r w:rsidRPr="001D1438">
        <w:t>„Virtualūs universitetai gerina galimybes naudotis švietimo paslaugomis “ (</w:t>
      </w:r>
      <w:r w:rsidRPr="002670C8">
        <w:rPr>
          <w:rFonts w:eastAsia="TimesNewRomanPSMT"/>
          <w:lang w:eastAsia="ar-SA"/>
        </w:rPr>
        <w:t>Rutkauskienė ir kt., 2006)</w:t>
      </w:r>
      <w:r w:rsidRPr="001D1438">
        <w:t>.</w:t>
      </w:r>
      <w:r>
        <w:t xml:space="preserve"> </w:t>
      </w:r>
      <w:r w:rsidR="00895F5C" w:rsidRPr="001D1438">
        <w:t>Šiuo metu virtualūs universitetai yra įsteigti įvairiose beveik visuose žemynuose: Europoje (Rusijoje, Suomijoje, Izraelyje, Nyderlanduose, Didžiojoje Britanijoje), Azijoje (Honkonge, Singap</w:t>
      </w:r>
      <w:r w:rsidR="00895F5C" w:rsidRPr="001D1438">
        <w:t>ū</w:t>
      </w:r>
      <w:r w:rsidR="00895F5C" w:rsidRPr="001D1438">
        <w:t xml:space="preserve">re, Pakistane), Australijoje, Pietų ir Šiaurės Amerikoje (JAV, Kolumbijoje, Kosta Rikoje, Venesueloje), Afrikoje (PAR). </w:t>
      </w:r>
    </w:p>
    <w:p w:rsidR="00E46818" w:rsidRPr="00D27C6F" w:rsidRDefault="00E46818" w:rsidP="005B524E">
      <w:pPr>
        <w:suppressAutoHyphens w:val="0"/>
      </w:pPr>
      <w:r w:rsidRPr="00D27C6F">
        <w:t xml:space="preserve">ES universitetų įsitraukimas į veiklas už universitetų ribų vis dar yra retas reiškinys. Anot D. </w:t>
      </w:r>
      <w:r w:rsidRPr="00D27C6F">
        <w:rPr>
          <w:rFonts w:eastAsia="Calibri"/>
        </w:rPr>
        <w:t xml:space="preserve">Rutkauskienė </w:t>
      </w:r>
      <w:r w:rsidRPr="00D27C6F">
        <w:t>(</w:t>
      </w:r>
      <w:r w:rsidRPr="00D27C6F">
        <w:rPr>
          <w:rFonts w:eastAsia="Calibri"/>
        </w:rPr>
        <w:t>2006</w:t>
      </w:r>
      <w:r w:rsidRPr="00D27C6F">
        <w:t>), „tik apie 20 proc. ES universitetų, teikdami e. mokymosi kursus, bendradarbia</w:t>
      </w:r>
      <w:r w:rsidRPr="00D27C6F">
        <w:t>u</w:t>
      </w:r>
      <w:r w:rsidRPr="00D27C6F">
        <w:t>ja su kitais švietimo paslaugų teikėjais, pavyzdžiui, privačiomis kompanijomis</w:t>
      </w:r>
      <w:r w:rsidRPr="00D27C6F">
        <w:rPr>
          <w:rFonts w:eastAsia="Calibri"/>
        </w:rPr>
        <w:t>“</w:t>
      </w:r>
      <w:r w:rsidRPr="00D27C6F">
        <w:t>, tačiau pažymima, kad „aukštojo mokslo bendruomenė siekia pritaikyti IKT mokymo ir mokymosi paslaugoms, taip pat kuriasi tarptautinė švietimo paslaugų rinka</w:t>
      </w:r>
      <w:r w:rsidRPr="00D27C6F">
        <w:rPr>
          <w:rFonts w:eastAsia="Calibri"/>
        </w:rPr>
        <w:t>“</w:t>
      </w:r>
      <w:r w:rsidRPr="00D27C6F">
        <w:t>.</w:t>
      </w:r>
    </w:p>
    <w:p w:rsidR="00E46818" w:rsidRPr="00D27C6F" w:rsidRDefault="00E46818" w:rsidP="005B524E">
      <w:pPr>
        <w:suppressAutoHyphens w:val="0"/>
      </w:pPr>
      <w:r w:rsidRPr="00D27C6F">
        <w:t>Labiausiai paplitusi VPSP yra naujos institucijos modelio institucijų atveju, nes kuriami iš p</w:t>
      </w:r>
      <w:r w:rsidRPr="00D27C6F">
        <w:t>a</w:t>
      </w:r>
      <w:r w:rsidRPr="00D27C6F">
        <w:t>grindų visi reikiami jų veiklos procesai. Tokio modelio pavyzdžiai (Seufert, 2005):</w:t>
      </w:r>
    </w:p>
    <w:p w:rsidR="00E46818" w:rsidRPr="00D27C6F" w:rsidRDefault="00F15E75" w:rsidP="005B524E">
      <w:pPr>
        <w:pStyle w:val="ListParagraph"/>
        <w:widowControl/>
        <w:numPr>
          <w:ilvl w:val="0"/>
          <w:numId w:val="29"/>
        </w:numPr>
        <w:suppressAutoHyphens w:val="0"/>
        <w:spacing w:after="200"/>
      </w:pPr>
      <w:r w:rsidRPr="00D27C6F">
        <w:t>Mal</w:t>
      </w:r>
      <w:r>
        <w:t>a</w:t>
      </w:r>
      <w:r w:rsidRPr="00D27C6F">
        <w:t>izijos</w:t>
      </w:r>
      <w:r w:rsidR="00E46818" w:rsidRPr="00E46818">
        <w:rPr>
          <w:b/>
        </w:rPr>
        <w:t xml:space="preserve"> Tuno </w:t>
      </w:r>
      <w:proofErr w:type="spellStart"/>
      <w:r w:rsidR="00E46818" w:rsidRPr="00E46818">
        <w:rPr>
          <w:b/>
        </w:rPr>
        <w:t>Abdulo</w:t>
      </w:r>
      <w:proofErr w:type="spellEnd"/>
      <w:r w:rsidR="00E46818" w:rsidRPr="00E46818">
        <w:rPr>
          <w:b/>
        </w:rPr>
        <w:t xml:space="preserve"> </w:t>
      </w:r>
      <w:proofErr w:type="spellStart"/>
      <w:r w:rsidR="00E46818" w:rsidRPr="00E46818">
        <w:rPr>
          <w:b/>
        </w:rPr>
        <w:t>Razako</w:t>
      </w:r>
      <w:proofErr w:type="spellEnd"/>
      <w:r w:rsidR="00E46818" w:rsidRPr="00E46818">
        <w:rPr>
          <w:b/>
        </w:rPr>
        <w:t xml:space="preserve"> universitetas</w:t>
      </w:r>
      <w:r w:rsidR="00E46818" w:rsidRPr="00D27C6F">
        <w:t xml:space="preserve"> (</w:t>
      </w:r>
      <w:r w:rsidR="00E46818" w:rsidRPr="00E46818">
        <w:rPr>
          <w:i/>
        </w:rPr>
        <w:t xml:space="preserve">angl. </w:t>
      </w:r>
      <w:r w:rsidR="00082F82" w:rsidRPr="005826C6">
        <w:rPr>
          <w:i/>
          <w:lang w:val="en-US"/>
        </w:rPr>
        <w:t>University</w:t>
      </w:r>
      <w:r w:rsidR="00E46818" w:rsidRPr="005826C6">
        <w:rPr>
          <w:i/>
          <w:lang w:val="en-US"/>
        </w:rPr>
        <w:t xml:space="preserve"> </w:t>
      </w:r>
      <w:proofErr w:type="spellStart"/>
      <w:r w:rsidR="00E46818" w:rsidRPr="005826C6">
        <w:rPr>
          <w:i/>
          <w:lang w:val="en-US"/>
        </w:rPr>
        <w:t>Tun</w:t>
      </w:r>
      <w:proofErr w:type="spellEnd"/>
      <w:r w:rsidR="00E46818" w:rsidRPr="005826C6">
        <w:rPr>
          <w:i/>
          <w:lang w:val="en-US"/>
        </w:rPr>
        <w:t xml:space="preserve"> Abdul </w:t>
      </w:r>
      <w:proofErr w:type="spellStart"/>
      <w:r w:rsidR="00E46818" w:rsidRPr="005826C6">
        <w:rPr>
          <w:i/>
          <w:lang w:val="en-US"/>
        </w:rPr>
        <w:t>Razak</w:t>
      </w:r>
      <w:proofErr w:type="spellEnd"/>
      <w:r w:rsidR="00E46818" w:rsidRPr="005826C6">
        <w:rPr>
          <w:i/>
          <w:lang w:val="en-US"/>
        </w:rPr>
        <w:t>, U</w:t>
      </w:r>
      <w:r w:rsidR="00E46818" w:rsidRPr="005826C6">
        <w:rPr>
          <w:i/>
          <w:lang w:val="en-US"/>
        </w:rPr>
        <w:t>N</w:t>
      </w:r>
      <w:r w:rsidR="00E46818" w:rsidRPr="005826C6">
        <w:rPr>
          <w:i/>
          <w:lang w:val="en-US"/>
        </w:rPr>
        <w:t>ITAR</w:t>
      </w:r>
      <w:r w:rsidR="00E46818" w:rsidRPr="00D27C6F">
        <w:t>);</w:t>
      </w:r>
    </w:p>
    <w:p w:rsidR="00E46818" w:rsidRPr="00D27C6F" w:rsidRDefault="00E46818" w:rsidP="005B524E">
      <w:pPr>
        <w:pStyle w:val="ListParagraph"/>
        <w:widowControl/>
        <w:numPr>
          <w:ilvl w:val="0"/>
          <w:numId w:val="29"/>
        </w:numPr>
        <w:suppressAutoHyphens w:val="0"/>
        <w:spacing w:after="200"/>
      </w:pPr>
      <w:r w:rsidRPr="00E46818">
        <w:rPr>
          <w:b/>
        </w:rPr>
        <w:t>Prancūzakalbių šalių elektroninis studentų miestelis</w:t>
      </w:r>
      <w:r w:rsidRPr="00D27C6F">
        <w:t xml:space="preserve"> (</w:t>
      </w:r>
      <w:r w:rsidR="005826C6" w:rsidRPr="00E46818">
        <w:rPr>
          <w:i/>
        </w:rPr>
        <w:t xml:space="preserve">pranc. </w:t>
      </w:r>
      <w:r w:rsidR="005826C6">
        <w:rPr>
          <w:i/>
        </w:rPr>
        <w:t xml:space="preserve">- </w:t>
      </w:r>
      <w:r w:rsidRPr="005826C6">
        <w:rPr>
          <w:i/>
          <w:lang w:val="fr-FR"/>
        </w:rPr>
        <w:t>Campus numérique fra</w:t>
      </w:r>
      <w:r w:rsidRPr="005826C6">
        <w:rPr>
          <w:i/>
          <w:lang w:val="fr-FR"/>
        </w:rPr>
        <w:t>n</w:t>
      </w:r>
      <w:r w:rsidRPr="005826C6">
        <w:rPr>
          <w:i/>
          <w:lang w:val="fr-FR"/>
        </w:rPr>
        <w:t>cophone</w:t>
      </w:r>
      <w:r w:rsidRPr="00E46818">
        <w:rPr>
          <w:i/>
        </w:rPr>
        <w:t>, CNF</w:t>
      </w:r>
      <w:r w:rsidRPr="00D27C6F">
        <w:t>) – tarptautinis Prancūzakalbių šalių universitetų agentūros (</w:t>
      </w:r>
      <w:r w:rsidRPr="00E46818">
        <w:rPr>
          <w:i/>
        </w:rPr>
        <w:t xml:space="preserve">pranc. </w:t>
      </w:r>
      <w:r w:rsidRPr="005826C6">
        <w:rPr>
          <w:i/>
          <w:lang w:val="fr-FR"/>
        </w:rPr>
        <w:t>Agence universitaire de la francophonie</w:t>
      </w:r>
      <w:r w:rsidR="00596922">
        <w:t>), kuri</w:t>
      </w:r>
      <w:r w:rsidRPr="00D27C6F">
        <w:t>os tinklas apima virš 400 aukštojo mokslo instituc</w:t>
      </w:r>
      <w:r w:rsidRPr="00D27C6F">
        <w:t>i</w:t>
      </w:r>
      <w:r w:rsidRPr="00D27C6F">
        <w:t xml:space="preserve">jų, projektas. Projekto tikslas </w:t>
      </w:r>
      <w:r w:rsidR="00AA05BC">
        <w:t>–</w:t>
      </w:r>
      <w:r w:rsidR="00D321E2">
        <w:t xml:space="preserve"> </w:t>
      </w:r>
      <w:r w:rsidRPr="00D27C6F">
        <w:t>virtualaus universiteto pagrindu apjungti prancūzakalbių šalių universitetus į vieną bendrą tinklą;</w:t>
      </w:r>
    </w:p>
    <w:p w:rsidR="00E46818" w:rsidRPr="00D27C6F" w:rsidRDefault="00E46818" w:rsidP="005B524E">
      <w:pPr>
        <w:pStyle w:val="ListParagraph"/>
        <w:widowControl/>
        <w:numPr>
          <w:ilvl w:val="0"/>
          <w:numId w:val="29"/>
        </w:numPr>
        <w:suppressAutoHyphens w:val="0"/>
        <w:spacing w:after="200"/>
      </w:pPr>
      <w:r w:rsidRPr="00E46818">
        <w:rPr>
          <w:b/>
        </w:rPr>
        <w:t>Atvirasis Katalonijos universitetas</w:t>
      </w:r>
      <w:r w:rsidRPr="00D27C6F">
        <w:t xml:space="preserve"> (</w:t>
      </w:r>
      <w:proofErr w:type="spellStart"/>
      <w:r w:rsidRPr="00E46818">
        <w:rPr>
          <w:i/>
        </w:rPr>
        <w:t>kat</w:t>
      </w:r>
      <w:proofErr w:type="spellEnd"/>
      <w:r w:rsidRPr="00E46818">
        <w:rPr>
          <w:i/>
        </w:rPr>
        <w:t xml:space="preserve">. </w:t>
      </w:r>
      <w:r w:rsidRPr="005826C6">
        <w:rPr>
          <w:i/>
          <w:lang w:val="ca-ES"/>
        </w:rPr>
        <w:t>Universitat Oberta de Catalunya</w:t>
      </w:r>
      <w:r w:rsidRPr="00E46818">
        <w:rPr>
          <w:i/>
        </w:rPr>
        <w:t xml:space="preserve">, UOC, angl. </w:t>
      </w:r>
      <w:r w:rsidRPr="005826C6">
        <w:rPr>
          <w:i/>
          <w:lang w:val="en-US"/>
        </w:rPr>
        <w:t>Open University of Catalonia</w:t>
      </w:r>
      <w:r w:rsidRPr="00D27C6F">
        <w:t>)</w:t>
      </w:r>
      <w:r w:rsidR="00E1275B">
        <w:t>;</w:t>
      </w:r>
    </w:p>
    <w:p w:rsidR="00E46818" w:rsidRPr="00D27C6F" w:rsidRDefault="00E46818" w:rsidP="005B524E">
      <w:pPr>
        <w:pStyle w:val="ListParagraph"/>
        <w:widowControl/>
        <w:numPr>
          <w:ilvl w:val="0"/>
          <w:numId w:val="29"/>
        </w:numPr>
        <w:suppressAutoHyphens w:val="0"/>
        <w:spacing w:after="200"/>
      </w:pPr>
      <w:r w:rsidRPr="00E46818">
        <w:rPr>
          <w:b/>
        </w:rPr>
        <w:t>Afrikos virtualus universitetas</w:t>
      </w:r>
      <w:r w:rsidRPr="00D27C6F">
        <w:t xml:space="preserve"> (</w:t>
      </w:r>
      <w:r w:rsidRPr="00E46818">
        <w:rPr>
          <w:i/>
        </w:rPr>
        <w:t xml:space="preserve">angl. </w:t>
      </w:r>
      <w:r w:rsidRPr="005826C6">
        <w:rPr>
          <w:i/>
          <w:lang w:val="en-US"/>
        </w:rPr>
        <w:t>The African Virtual University</w:t>
      </w:r>
      <w:r w:rsidRPr="00E46818">
        <w:rPr>
          <w:i/>
        </w:rPr>
        <w:t>, AVU</w:t>
      </w:r>
      <w:r w:rsidRPr="00D27C6F">
        <w:t>)</w:t>
      </w:r>
      <w:r w:rsidR="00E1275B">
        <w:t>.</w:t>
      </w:r>
    </w:p>
    <w:p w:rsidR="00E46818" w:rsidRPr="00D27C6F" w:rsidRDefault="00E46818" w:rsidP="005B524E">
      <w:pPr>
        <w:suppressAutoHyphens w:val="0"/>
      </w:pPr>
      <w:r w:rsidRPr="00D27C6F">
        <w:t xml:space="preserve">Tyrėjai pripažįsta (Seufert, 2005), kad </w:t>
      </w:r>
      <w:r w:rsidRPr="00D27C6F">
        <w:rPr>
          <w:b/>
        </w:rPr>
        <w:t>Atvirasis Katalonijos universitetas</w:t>
      </w:r>
      <w:r w:rsidRPr="00D27C6F">
        <w:t xml:space="preserve"> geriausias </w:t>
      </w:r>
      <w:r w:rsidRPr="00D27C6F">
        <w:rPr>
          <w:i/>
        </w:rPr>
        <w:t>naujos institucijos</w:t>
      </w:r>
      <w:r w:rsidRPr="00D27C6F">
        <w:t xml:space="preserve"> </w:t>
      </w:r>
      <w:r w:rsidR="0024774B">
        <w:t xml:space="preserve">ir vienas geriausių virtualaus universiteto </w:t>
      </w:r>
      <w:r w:rsidRPr="00D27C6F">
        <w:t>pavyzd</w:t>
      </w:r>
      <w:r w:rsidR="0024774B">
        <w:t>žių</w:t>
      </w:r>
      <w:r w:rsidRPr="00D27C6F">
        <w:t xml:space="preserve">. Per bemaž 15 metų universitetas buvo apdovanotas beveik visais svarbiausiais apdovanojimais </w:t>
      </w:r>
      <w:r w:rsidR="004D6D3A">
        <w:t>nuotolinio</w:t>
      </w:r>
      <w:r w:rsidRPr="00D27C6F">
        <w:t xml:space="preserve"> ir e. mokymo(si) srityje. </w:t>
      </w:r>
    </w:p>
    <w:p w:rsidR="00E46818" w:rsidRPr="00D27C6F" w:rsidRDefault="00E46818" w:rsidP="005B524E">
      <w:pPr>
        <w:suppressAutoHyphens w:val="0"/>
      </w:pPr>
      <w:r w:rsidRPr="00D27C6F">
        <w:rPr>
          <w:b/>
        </w:rPr>
        <w:t>Atvirasis Katalonijos universitetas</w:t>
      </w:r>
      <w:r w:rsidRPr="00D27C6F">
        <w:t xml:space="preserve"> yra akredituotas nuotolinio švietimo universitetas, kurį </w:t>
      </w:r>
      <w:r w:rsidRPr="00D27C6F">
        <w:lastRenderedPageBreak/>
        <w:t>1995 metais įsteigė Katalonijos vyriausybė ir kurio būstinė yra Barselonoje. Šis universitetas nuo pat pradžios buvo kuriamas kaip virtualus universitetas. Šiuo universitetu buvo siekiama papildyti Katal</w:t>
      </w:r>
      <w:r w:rsidRPr="00D27C6F">
        <w:t>o</w:t>
      </w:r>
      <w:r w:rsidRPr="00D27C6F">
        <w:t>nijos universitetų sistemą ir pagerinti visų žmonių, norinčių naudotis aukštojo mokslo paslaugomis, galimybes, taip pat lanksčiau teikti mokymosi paslaugas dėl amžiaus, užimtumo, gyvenamosios vietos ar kitų asmeninių priežasčių negalintiems jų gauti tradiciniu būdu. Universiteto tikslas yra teikti aukščiausios kokybės universitetines paslaugas naudojant naujausias nuotolinio švietimo metodikas ir technologijas. Atvirasis Katalonijos universitetas rengia tų sričių mokymo programas, kurių paklausa nuolat auga, o tradiciniai universitetai neturi galimybių jos patenkinti. Kita vertus, Atvirasis Katalon</w:t>
      </w:r>
      <w:r w:rsidRPr="00D27C6F">
        <w:t>i</w:t>
      </w:r>
      <w:r w:rsidRPr="00D27C6F">
        <w:t>jos universitetas orientuojasi į tuos studentus, kurie jau yra įgiję vieną aukštąjį išsilavinimą, ir dabar siekia gauti antrąjį, kas gana įprasta Ispanijos švietimo sistemoje (Sagna, 2005; Rutkauskienė ir kt., 2006).</w:t>
      </w:r>
    </w:p>
    <w:p w:rsidR="00E46818" w:rsidRPr="00D27C6F" w:rsidRDefault="00E46818" w:rsidP="005B524E">
      <w:pPr>
        <w:suppressAutoHyphens w:val="0"/>
      </w:pPr>
      <w:r w:rsidRPr="00D27C6F">
        <w:t>Atvirojo Katalonijos universiteto struktūra ir organizacinis modelis, darbo organizavimo būdai skiriasi nuo tradicinių universitetų. Nors šis universitetas yra valstybinis universitetas pagal studentų mokamus mokesčius už studijas (remiantis Atvirasis Katalonijos universiteto ir Katalonijos vyriaus</w:t>
      </w:r>
      <w:r w:rsidRPr="00D27C6F">
        <w:t>y</w:t>
      </w:r>
      <w:r w:rsidRPr="00D27C6F">
        <w:t>bės susitarimu, Katalonijos studentai už studijas moka tokį patį mokestį, kaip ir bet kurio valstybinio Katalonijos universiteto studentai), kartu tai yra ir privati organizacija, kurios vidiniai procesai organ</w:t>
      </w:r>
      <w:r w:rsidRPr="00D27C6F">
        <w:t>i</w:t>
      </w:r>
      <w:r w:rsidRPr="00D27C6F">
        <w:t>zuojami panašiai kaip privačioje kompanijoje, o ne tradicinėje aukštojo mokslo institucijoje. Univers</w:t>
      </w:r>
      <w:r w:rsidRPr="00D27C6F">
        <w:t>i</w:t>
      </w:r>
      <w:r w:rsidRPr="00D27C6F">
        <w:t>teto juridinis statusas yra ne pelno siekiantis fondas, kurio pagrindinis kontrolės grupės narys yra Katalonijos vyriausybė.</w:t>
      </w:r>
    </w:p>
    <w:p w:rsidR="00E46818" w:rsidRPr="00D27C6F" w:rsidRDefault="00E46818" w:rsidP="005B524E">
      <w:pPr>
        <w:suppressAutoHyphens w:val="0"/>
      </w:pPr>
      <w:r w:rsidRPr="00D27C6F">
        <w:t>Kadangi universitetas buvo kuriamas kaip nauja institucija, buvo diegiama nauja valdymo ir o</w:t>
      </w:r>
      <w:r w:rsidRPr="00D27C6F">
        <w:t>r</w:t>
      </w:r>
      <w:r w:rsidRPr="00D27C6F">
        <w:t xml:space="preserve">ganizavimo forma. Pagrindinis siekis – gebėti tiesiogiai tenkinti studentų poreikius, tad pasirinkta </w:t>
      </w:r>
      <w:r w:rsidRPr="00D27C6F">
        <w:rPr>
          <w:b/>
        </w:rPr>
        <w:t>Procesų valdymo sistema</w:t>
      </w:r>
      <w:r w:rsidRPr="00D27C6F">
        <w:t xml:space="preserve"> (</w:t>
      </w:r>
      <w:r w:rsidRPr="00D27C6F">
        <w:rPr>
          <w:i/>
        </w:rPr>
        <w:t xml:space="preserve">angl. </w:t>
      </w:r>
      <w:r w:rsidRPr="00543D58">
        <w:rPr>
          <w:i/>
          <w:lang w:val="en-US"/>
        </w:rPr>
        <w:t>Process Management System</w:t>
      </w:r>
      <w:r w:rsidRPr="00D27C6F">
        <w:rPr>
          <w:i/>
        </w:rPr>
        <w:t>, PMS</w:t>
      </w:r>
      <w:r w:rsidRPr="00D27C6F">
        <w:t xml:space="preserve">) ir </w:t>
      </w:r>
      <w:r w:rsidRPr="00D27C6F">
        <w:rPr>
          <w:b/>
        </w:rPr>
        <w:t>Europos kokybės vertinimo fondo</w:t>
      </w:r>
      <w:r w:rsidRPr="00D27C6F">
        <w:t xml:space="preserve"> (</w:t>
      </w:r>
      <w:proofErr w:type="gramStart"/>
      <w:r w:rsidR="00543D58">
        <w:rPr>
          <w:i/>
        </w:rPr>
        <w:t>angl</w:t>
      </w:r>
      <w:proofErr w:type="gramEnd"/>
      <w:r w:rsidR="00543D58">
        <w:rPr>
          <w:i/>
        </w:rPr>
        <w:t xml:space="preserve">. </w:t>
      </w:r>
      <w:proofErr w:type="gramStart"/>
      <w:r w:rsidRPr="00543D58">
        <w:rPr>
          <w:i/>
          <w:lang w:val="en-US"/>
        </w:rPr>
        <w:t>European Foundation for Quality Management</w:t>
      </w:r>
      <w:r w:rsidRPr="00D27C6F">
        <w:rPr>
          <w:i/>
        </w:rPr>
        <w:t>, EFQM</w:t>
      </w:r>
      <w:r w:rsidRPr="00D27C6F">
        <w:t>) modelis (Sagna, 2005; Rutkau</w:t>
      </w:r>
      <w:r w:rsidRPr="00D27C6F">
        <w:t>s</w:t>
      </w:r>
      <w:r w:rsidRPr="00D27C6F">
        <w:t>kienė ir kt., 2006).</w:t>
      </w:r>
      <w:proofErr w:type="gramEnd"/>
    </w:p>
    <w:p w:rsidR="00E46818" w:rsidRPr="00D27C6F" w:rsidRDefault="00E46818" w:rsidP="005B524E">
      <w:pPr>
        <w:suppressAutoHyphens w:val="0"/>
      </w:pPr>
      <w:r w:rsidRPr="00D27C6F">
        <w:t>UOC taiko šį valdymo modelį trijose srityse:</w:t>
      </w:r>
    </w:p>
    <w:p w:rsidR="00E46818" w:rsidRPr="00D27C6F" w:rsidRDefault="00E46818" w:rsidP="005B524E">
      <w:pPr>
        <w:pStyle w:val="ListParagraph"/>
        <w:widowControl/>
        <w:numPr>
          <w:ilvl w:val="0"/>
          <w:numId w:val="30"/>
        </w:numPr>
        <w:suppressAutoHyphens w:val="0"/>
        <w:spacing w:after="200"/>
      </w:pPr>
      <w:r w:rsidRPr="00D27C6F">
        <w:t>strategijoje;</w:t>
      </w:r>
    </w:p>
    <w:p w:rsidR="00E46818" w:rsidRPr="00D27C6F" w:rsidRDefault="00E46818" w:rsidP="005B524E">
      <w:pPr>
        <w:pStyle w:val="ListParagraph"/>
        <w:widowControl/>
        <w:numPr>
          <w:ilvl w:val="0"/>
          <w:numId w:val="30"/>
        </w:numPr>
        <w:suppressAutoHyphens w:val="0"/>
        <w:spacing w:after="200"/>
      </w:pPr>
      <w:r w:rsidRPr="00D27C6F">
        <w:t>švietimo programose;</w:t>
      </w:r>
    </w:p>
    <w:p w:rsidR="00E46818" w:rsidRPr="00D27C6F" w:rsidRDefault="00E46818" w:rsidP="005B524E">
      <w:pPr>
        <w:pStyle w:val="ListParagraph"/>
        <w:widowControl/>
        <w:numPr>
          <w:ilvl w:val="0"/>
          <w:numId w:val="30"/>
        </w:numPr>
        <w:suppressAutoHyphens w:val="0"/>
        <w:spacing w:after="200"/>
      </w:pPr>
      <w:r w:rsidRPr="00D27C6F">
        <w:t>darbo procedūrose.</w:t>
      </w:r>
    </w:p>
    <w:p w:rsidR="00E46818" w:rsidRPr="00D27C6F" w:rsidRDefault="00E46818" w:rsidP="005B524E">
      <w:pPr>
        <w:suppressAutoHyphens w:val="0"/>
      </w:pPr>
      <w:r w:rsidRPr="00D27C6F">
        <w:t>Patį modelio pasirinkimą lėmė tikslai:</w:t>
      </w:r>
    </w:p>
    <w:p w:rsidR="00E46818" w:rsidRPr="00D27C6F" w:rsidRDefault="00E46818" w:rsidP="005B524E">
      <w:pPr>
        <w:pStyle w:val="ListParagraph"/>
        <w:widowControl/>
        <w:numPr>
          <w:ilvl w:val="0"/>
          <w:numId w:val="31"/>
        </w:numPr>
        <w:suppressAutoHyphens w:val="0"/>
        <w:spacing w:after="200"/>
      </w:pPr>
      <w:r w:rsidRPr="00D27C6F">
        <w:t>garantuoti į klientą orientuotą požiūrį;</w:t>
      </w:r>
    </w:p>
    <w:p w:rsidR="00E46818" w:rsidRPr="00D27C6F" w:rsidRDefault="00E46818" w:rsidP="005B524E">
      <w:pPr>
        <w:pStyle w:val="ListParagraph"/>
        <w:widowControl/>
        <w:numPr>
          <w:ilvl w:val="0"/>
          <w:numId w:val="31"/>
        </w:numPr>
        <w:suppressAutoHyphens w:val="0"/>
        <w:spacing w:after="200"/>
      </w:pPr>
      <w:r w:rsidRPr="00D27C6F">
        <w:t>vengti horizontalaus komunikavimo problemų;</w:t>
      </w:r>
    </w:p>
    <w:p w:rsidR="00E46818" w:rsidRPr="00D27C6F" w:rsidRDefault="00E46818" w:rsidP="005B524E">
      <w:pPr>
        <w:pStyle w:val="ListParagraph"/>
        <w:widowControl/>
        <w:numPr>
          <w:ilvl w:val="0"/>
          <w:numId w:val="31"/>
        </w:numPr>
        <w:suppressAutoHyphens w:val="0"/>
        <w:spacing w:after="200"/>
      </w:pPr>
      <w:r w:rsidRPr="00D27C6F">
        <w:t>įtraukti personalą į UOC, kaip virtualaus universiteto, kūrimo procesus;</w:t>
      </w:r>
    </w:p>
    <w:p w:rsidR="00E46818" w:rsidRPr="00D27C6F" w:rsidRDefault="00E46818" w:rsidP="005B524E">
      <w:pPr>
        <w:pStyle w:val="ListParagraph"/>
        <w:widowControl/>
        <w:numPr>
          <w:ilvl w:val="0"/>
          <w:numId w:val="31"/>
        </w:numPr>
        <w:suppressAutoHyphens w:val="0"/>
        <w:spacing w:after="200"/>
      </w:pPr>
      <w:r w:rsidRPr="00D27C6F">
        <w:t>gerinti vidines informavimo ir komunikavimo sistemas;</w:t>
      </w:r>
    </w:p>
    <w:p w:rsidR="00E46818" w:rsidRPr="00D27C6F" w:rsidRDefault="00E46818" w:rsidP="005B524E">
      <w:pPr>
        <w:pStyle w:val="ListParagraph"/>
        <w:widowControl/>
        <w:numPr>
          <w:ilvl w:val="0"/>
          <w:numId w:val="31"/>
        </w:numPr>
        <w:suppressAutoHyphens w:val="0"/>
        <w:spacing w:after="200"/>
      </w:pPr>
      <w:r w:rsidRPr="00D27C6F">
        <w:t>užtikrinti visų procesų kokybę.</w:t>
      </w:r>
    </w:p>
    <w:p w:rsidR="00E46818" w:rsidRPr="00D27C6F" w:rsidRDefault="00864D58" w:rsidP="005B524E">
      <w:pPr>
        <w:suppressAutoHyphens w:val="0"/>
      </w:pPr>
      <w:r w:rsidRPr="00864D58">
        <w:lastRenderedPageBreak/>
        <w:t>A</w:t>
      </w:r>
      <w:r w:rsidR="00E46818" w:rsidRPr="00864D58">
        <w:t>tsižvelgiant</w:t>
      </w:r>
      <w:r w:rsidR="00E46818" w:rsidRPr="00D27C6F">
        <w:t xml:space="preserve"> į šiuos tikslus, universitetas nuo pat pradžių buvo kuriamas tiek viešojo, tiek priv</w:t>
      </w:r>
      <w:r w:rsidR="00E46818" w:rsidRPr="00D27C6F">
        <w:t>a</w:t>
      </w:r>
      <w:r w:rsidR="00E46818" w:rsidRPr="00D27C6F">
        <w:t xml:space="preserve">taus sektorių partnerystės pagrindais. </w:t>
      </w:r>
    </w:p>
    <w:p w:rsidR="00E46818" w:rsidRPr="00D27C6F" w:rsidRDefault="00E46818" w:rsidP="005B524E">
      <w:pPr>
        <w:suppressAutoHyphens w:val="0"/>
      </w:pPr>
      <w:r w:rsidRPr="00D27C6F">
        <w:t>Virtualus universitetas yra neatsiejamas nuo IRT naudojimo, todėl Atvirojo Katalonijos univers</w:t>
      </w:r>
      <w:r w:rsidRPr="00D27C6F">
        <w:t>i</w:t>
      </w:r>
      <w:r w:rsidRPr="00D27C6F">
        <w:t xml:space="preserve">teto kūrimo pradžioje IRT partneriu buvo pasirinkta </w:t>
      </w:r>
      <w:r w:rsidRPr="00082F82">
        <w:rPr>
          <w:lang w:val="en-US"/>
        </w:rPr>
        <w:t>Sun™ Microsystems</w:t>
      </w:r>
      <w:r w:rsidRPr="00D27C6F">
        <w:t xml:space="preserve"> </w:t>
      </w:r>
      <w:r w:rsidR="00AA05BC">
        <w:t>–</w:t>
      </w:r>
      <w:r w:rsidR="00D321E2">
        <w:t xml:space="preserve"> </w:t>
      </w:r>
      <w:r w:rsidRPr="00D27C6F">
        <w:t>visame pasaulyje žinoma kompiuterių programinės ir techninės įrangos gamintojas. Kompleksinis sprendimas iš serverių, programinės įrangos,</w:t>
      </w:r>
      <w:r w:rsidR="000E20F0">
        <w:t xml:space="preserve"> </w:t>
      </w:r>
      <w:r w:rsidRPr="00D27C6F">
        <w:t xml:space="preserve">tinklo struktūrų ir t. t. padėjo išsaugoti kaštus, garantavo visų procesų kokybę bei sistemų suderinamumą, o bendradarbiavimas užtikrino sėkmę: eksponentinis studentų skaičiaus augimas – nuo 200 studentų pirmais metais iki 27,000 šiais metais. Be to, 2004 m. partnerystės įgavo naują statusą </w:t>
      </w:r>
      <w:r w:rsidR="00AA05BC">
        <w:t>–</w:t>
      </w:r>
      <w:r w:rsidR="00D321E2">
        <w:t xml:space="preserve"> </w:t>
      </w:r>
      <w:r w:rsidRPr="00082F82">
        <w:rPr>
          <w:lang w:val="en-US"/>
        </w:rPr>
        <w:t>Sun™ Microsystems</w:t>
      </w:r>
      <w:r w:rsidRPr="00D27C6F">
        <w:t xml:space="preserve"> buvo pripažintas Atvirojo Katalonijos universiteto e</w:t>
      </w:r>
      <w:r w:rsidR="00AA05BC">
        <w:t xml:space="preserve">. </w:t>
      </w:r>
      <w:r w:rsidRPr="00D27C6F">
        <w:t xml:space="preserve">mokymo(si) kompetencijos centru. Nuo centro </w:t>
      </w:r>
      <w:r w:rsidR="00F15E75" w:rsidRPr="00D27C6F">
        <w:t>sukūrimo</w:t>
      </w:r>
      <w:r w:rsidRPr="00D27C6F">
        <w:t xml:space="preserve"> </w:t>
      </w:r>
      <w:r w:rsidRPr="00082F82">
        <w:rPr>
          <w:lang w:val="en-US"/>
        </w:rPr>
        <w:t>Sun™ Microsystems</w:t>
      </w:r>
      <w:r w:rsidRPr="00D27C6F">
        <w:t xml:space="preserve"> ir Atvirasis Katalonijos universitetas bendradarbiauja vystydamos bei parduodamos savo </w:t>
      </w:r>
      <w:r w:rsidR="00AA05BC">
        <w:t xml:space="preserve">e. </w:t>
      </w:r>
      <w:r w:rsidRPr="00D27C6F">
        <w:t>mokymo(si) technologijas ir žinias kitiems universitetams Pietų Amerikoje ir Afrikoje;</w:t>
      </w:r>
    </w:p>
    <w:p w:rsidR="00E46818" w:rsidRPr="00D27C6F" w:rsidRDefault="00E46818" w:rsidP="005B524E">
      <w:pPr>
        <w:suppressAutoHyphens w:val="0"/>
      </w:pPr>
      <w:r w:rsidRPr="00D27C6F">
        <w:t>Vėliau, siekdamas įžengti į tarptautinę ispaniškai kalbančių žmonių švietimo rinką, Atvirasis K</w:t>
      </w:r>
      <w:r w:rsidRPr="00D27C6F">
        <w:t>a</w:t>
      </w:r>
      <w:r w:rsidRPr="00D27C6F">
        <w:t>talonijos universitetas sudarė partnerystę su leidybos kompanija, ir tai lėmė papildomas 16 mln. JAV dolerių investicijas. Be to, UOC tyrimams finansuoti lėšos pritraukiamos per susitarimus su privači</w:t>
      </w:r>
      <w:r w:rsidRPr="00D27C6F">
        <w:t>o</w:t>
      </w:r>
      <w:r w:rsidRPr="00D27C6F">
        <w:t xml:space="preserve">mis kompanijomis. </w:t>
      </w:r>
      <w:proofErr w:type="spellStart"/>
      <w:r w:rsidRPr="00082F82">
        <w:rPr>
          <w:lang w:val="en-US"/>
        </w:rPr>
        <w:t>Telefonica</w:t>
      </w:r>
      <w:proofErr w:type="spellEnd"/>
      <w:r w:rsidRPr="00D27C6F">
        <w:t>, IBM, HP ir kt. prisideda prie UOC tyrimų programų finansavimo ir skiria lėšų akademinio personalo etatams išlaikyti, interneto puslapiams, duomenų bazėms kurti bei įvairių tyrimų projektams plėtoti.</w:t>
      </w:r>
      <w:r w:rsidR="000E20F0">
        <w:t xml:space="preserve"> </w:t>
      </w:r>
      <w:r w:rsidRPr="00D27C6F">
        <w:t xml:space="preserve">Valstybės dotacijos katalonų kalba vykdomoms veikloms sudaro apie pusę UOC pajamų, o studentų mokami mokesčiai už mokslą – apie trečdalį pajamų. Likusią dalį sudaro pajamos iš verslo dotacijų, konsultacinių paslaugų, kitų programų ir pan. </w:t>
      </w:r>
    </w:p>
    <w:p w:rsidR="00BA7426" w:rsidRDefault="00E46818" w:rsidP="005B524E">
      <w:pPr>
        <w:pStyle w:val="BodyText"/>
        <w:suppressAutoHyphens w:val="0"/>
        <w:ind w:firstLine="567"/>
      </w:pPr>
      <w:r w:rsidRPr="00D27C6F">
        <w:t>K</w:t>
      </w:r>
      <w:r w:rsidR="00243D35">
        <w:t xml:space="preserve">itas gerosios praktikos </w:t>
      </w:r>
      <w:r w:rsidR="00F15E75">
        <w:t>pavyzdys</w:t>
      </w:r>
      <w:r w:rsidR="00243D35">
        <w:t xml:space="preserve"> </w:t>
      </w:r>
      <w:r w:rsidR="00F15E75">
        <w:t xml:space="preserve">gali būti nagrinėjamas </w:t>
      </w:r>
      <w:r w:rsidRPr="00D27C6F">
        <w:rPr>
          <w:i/>
        </w:rPr>
        <w:t>egzistuojančios institucijos evoliucijos modelio</w:t>
      </w:r>
      <w:r w:rsidRPr="00D27C6F">
        <w:t xml:space="preserve"> vieš</w:t>
      </w:r>
      <w:r w:rsidR="00243D35">
        <w:t>asis</w:t>
      </w:r>
      <w:r w:rsidRPr="00D27C6F">
        <w:t xml:space="preserve"> </w:t>
      </w:r>
      <w:r w:rsidRPr="00D27C6F">
        <w:rPr>
          <w:b/>
        </w:rPr>
        <w:t xml:space="preserve">Pietų Kvinslando universitetą </w:t>
      </w:r>
      <w:r w:rsidRPr="00D27C6F">
        <w:t>(</w:t>
      </w:r>
      <w:r w:rsidRPr="00D27C6F">
        <w:rPr>
          <w:i/>
        </w:rPr>
        <w:t xml:space="preserve">angl. </w:t>
      </w:r>
      <w:proofErr w:type="gramStart"/>
      <w:r w:rsidRPr="00543D58">
        <w:rPr>
          <w:i/>
          <w:lang w:val="en-US"/>
        </w:rPr>
        <w:t>University of Southern Queensland</w:t>
      </w:r>
      <w:r w:rsidRPr="00D27C6F">
        <w:rPr>
          <w:i/>
        </w:rPr>
        <w:t>, USQ</w:t>
      </w:r>
      <w:r w:rsidRPr="00D27C6F">
        <w:t>), kuris studentams teikia tiek tradicinio universiteto, tiek virtualias paslaugas.</w:t>
      </w:r>
      <w:proofErr w:type="gramEnd"/>
      <w:r w:rsidRPr="00D27C6F">
        <w:t xml:space="preserve"> Pastarosiomis paslaug</w:t>
      </w:r>
      <w:r w:rsidRPr="00D27C6F">
        <w:t>o</w:t>
      </w:r>
      <w:r w:rsidRPr="00D27C6F">
        <w:t xml:space="preserve">mis naudojasi apie 75 </w:t>
      </w:r>
      <w:r w:rsidR="008B7096">
        <w:t>proc.</w:t>
      </w:r>
      <w:r w:rsidRPr="00D27C6F">
        <w:t xml:space="preserve"> visų studentų. Iki tol Pietų Kvinslando universitetas</w:t>
      </w:r>
      <w:r w:rsidRPr="00D27C6F">
        <w:rPr>
          <w:b/>
        </w:rPr>
        <w:t xml:space="preserve"> </w:t>
      </w:r>
      <w:r w:rsidRPr="00D27C6F">
        <w:t xml:space="preserve">turėjo dvidešimties metų nuotolinio mokymo patirties. USQ </w:t>
      </w:r>
      <w:r w:rsidRPr="00543D58">
        <w:rPr>
          <w:lang w:val="en-US"/>
        </w:rPr>
        <w:t>Online</w:t>
      </w:r>
      <w:r w:rsidRPr="00D27C6F">
        <w:t xml:space="preserve"> padalinys buvo įsteigtas 1997 metais, siekiant teikti internetu grįstus kursus ir programas bei siūlyti kitas švietimo paslaugas. Kad galėtų finansuoti tokio universiteto plėtrą, institucija pakeitė savo likvidumo laipsnį bei investavo į privačią kompaniją</w:t>
      </w:r>
      <w:r w:rsidR="00A93181">
        <w:t xml:space="preserve"> </w:t>
      </w:r>
      <w:proofErr w:type="spellStart"/>
      <w:r w:rsidR="00A93181" w:rsidRPr="002670C8">
        <w:rPr>
          <w:rFonts w:eastAsia="Times New Roman" w:cs="TimesNewRomanPSMT"/>
          <w:kern w:val="0"/>
        </w:rPr>
        <w:t>NextEd</w:t>
      </w:r>
      <w:proofErr w:type="spellEnd"/>
      <w:r w:rsidR="00A93181" w:rsidRPr="002670C8">
        <w:rPr>
          <w:rFonts w:eastAsia="Times New Roman" w:cs="TimesNewRomanPSMT"/>
          <w:kern w:val="0"/>
        </w:rPr>
        <w:t xml:space="preserve"> Ltd.</w:t>
      </w:r>
      <w:r w:rsidRPr="00D27C6F">
        <w:t>, kuri sukūrė programinės įrangos platformą ir teikė susijusias paslaugas (</w:t>
      </w:r>
      <w:r w:rsidRPr="00D27C6F">
        <w:rPr>
          <w:i/>
        </w:rPr>
        <w:t>Taylor, 2006; Rutkauskienė ir kt., 2006</w:t>
      </w:r>
      <w:r w:rsidRPr="00D27C6F">
        <w:t>).</w:t>
      </w:r>
    </w:p>
    <w:p w:rsidR="00895F5C" w:rsidRPr="001D1438" w:rsidRDefault="00803A8C" w:rsidP="005B524E">
      <w:pPr>
        <w:suppressAutoHyphens w:val="0"/>
      </w:pPr>
      <w:r w:rsidRPr="00D27C6F">
        <w:t>Taigi įvertinę minėtas tendencijas, galime teigti, kad pastebimas persiorientavimas</w:t>
      </w:r>
      <w:r w:rsidR="001774AF">
        <w:t xml:space="preserve"> </w:t>
      </w:r>
      <w:r w:rsidRPr="00D27C6F">
        <w:t xml:space="preserve">link </w:t>
      </w:r>
      <w:proofErr w:type="spellStart"/>
      <w:r w:rsidRPr="00D27C6F">
        <w:t>konso</w:t>
      </w:r>
      <w:r w:rsidRPr="00D27C6F">
        <w:t>r</w:t>
      </w:r>
      <w:r w:rsidRPr="00D27C6F">
        <w:t>cinių</w:t>
      </w:r>
      <w:proofErr w:type="spellEnd"/>
      <w:r w:rsidRPr="00D27C6F">
        <w:t xml:space="preserve"> modelių</w:t>
      </w:r>
      <w:r w:rsidR="00472820">
        <w:t xml:space="preserve"> bei VPSP</w:t>
      </w:r>
      <w:r w:rsidRPr="00D27C6F">
        <w:t xml:space="preserve">. </w:t>
      </w:r>
    </w:p>
    <w:p w:rsidR="00895F5C" w:rsidRDefault="00895F5C" w:rsidP="005B524E">
      <w:pPr>
        <w:pStyle w:val="Heading2"/>
        <w:suppressAutoHyphens w:val="0"/>
      </w:pPr>
      <w:bookmarkStart w:id="42" w:name="_Toc248687470"/>
      <w:bookmarkStart w:id="43" w:name="_Toc251011259"/>
      <w:r>
        <w:t>Virtualaus universiteto kūrimas Lietuvoje</w:t>
      </w:r>
      <w:bookmarkEnd w:id="42"/>
      <w:bookmarkEnd w:id="43"/>
    </w:p>
    <w:p w:rsidR="0036393D" w:rsidRDefault="00654791" w:rsidP="005B524E">
      <w:pPr>
        <w:suppressAutoHyphens w:val="0"/>
      </w:pPr>
      <w:r w:rsidRPr="00654791">
        <w:t>Pasaulyje kuriasi ir sparčiai savo veiklą plečia virtualieji</w:t>
      </w:r>
      <w:r>
        <w:t xml:space="preserve"> universitetai</w:t>
      </w:r>
      <w:r w:rsidRPr="00654791">
        <w:t>, suteikiantys galimybę joje gauti</w:t>
      </w:r>
      <w:r w:rsidR="002802A5">
        <w:t xml:space="preserve"> </w:t>
      </w:r>
      <w:r w:rsidRPr="00654791">
        <w:t>elektroninio mokymo(si) paslaugas, taip mažinant gyvenamosios (darbo)</w:t>
      </w:r>
      <w:r w:rsidR="002D5D92">
        <w:t xml:space="preserve"> </w:t>
      </w:r>
      <w:r w:rsidRPr="00654791">
        <w:t>vietos bei laiko riboj</w:t>
      </w:r>
      <w:r w:rsidRPr="00654791">
        <w:t>i</w:t>
      </w:r>
      <w:r w:rsidRPr="00654791">
        <w:lastRenderedPageBreak/>
        <w:t xml:space="preserve">mų keliamas problemas. Šių universitetų veikla nesiriboja konkrečia šalimi – jau formuojasi pasaulinė </w:t>
      </w:r>
      <w:r w:rsidR="00F15E75" w:rsidRPr="00654791">
        <w:t>e. mokymosi</w:t>
      </w:r>
      <w:r w:rsidRPr="00654791">
        <w:t xml:space="preserve"> paslaugų rinka. (Rutkauskienė ir kt., 2006).</w:t>
      </w:r>
      <w:r w:rsidR="008E41B9">
        <w:t xml:space="preserve"> Tačiau ilgą laiką </w:t>
      </w:r>
      <w:r w:rsidRPr="00654791">
        <w:t>Lietuvoje tokio universiteto n</w:t>
      </w:r>
      <w:r w:rsidR="008E41B9">
        <w:t>ebuvo</w:t>
      </w:r>
      <w:r w:rsidR="00E13068">
        <w:t xml:space="preserve">, nes nebuvo sudarytos universiteto veiklai būtinos </w:t>
      </w:r>
      <w:r w:rsidR="00F15E75">
        <w:t>prielaidos</w:t>
      </w:r>
      <w:r w:rsidR="006962AC">
        <w:t xml:space="preserve">: </w:t>
      </w:r>
      <w:r w:rsidR="006962AC" w:rsidRPr="00DF1A04">
        <w:t>pakankamai pralaidūs kompiut</w:t>
      </w:r>
      <w:r w:rsidR="006962AC" w:rsidRPr="00DF1A04">
        <w:t>e</w:t>
      </w:r>
      <w:r w:rsidR="006962AC" w:rsidRPr="00DF1A04">
        <w:t xml:space="preserve">rių tinklai, sukurta </w:t>
      </w:r>
      <w:r w:rsidR="00F15E75" w:rsidRPr="00DF1A04">
        <w:t>e. mokymo</w:t>
      </w:r>
      <w:r w:rsidR="006962AC">
        <w:t>(</w:t>
      </w:r>
      <w:r w:rsidR="006962AC" w:rsidRPr="00DF1A04">
        <w:t>si</w:t>
      </w:r>
      <w:r w:rsidR="006962AC">
        <w:t>)</w:t>
      </w:r>
      <w:r w:rsidR="006962AC" w:rsidRPr="00DF1A04">
        <w:t xml:space="preserve"> infrastruktūra, kompiuterinį raštingumą įgiję gyventojai, sukaupta virtuali mokslo ir studijų literatūra, yra virtualaus administravimo priemonės.</w:t>
      </w:r>
    </w:p>
    <w:p w:rsidR="00654791" w:rsidRPr="00654791" w:rsidRDefault="0036393D" w:rsidP="005B524E">
      <w:pPr>
        <w:suppressAutoHyphens w:val="0"/>
      </w:pPr>
      <w:r>
        <w:t xml:space="preserve">Bet situacija keičiasi, </w:t>
      </w:r>
      <w:r w:rsidRPr="00DF1A04">
        <w:t xml:space="preserve">LVU programoje pažymima, </w:t>
      </w:r>
      <w:r w:rsidR="00F353B1">
        <w:t xml:space="preserve">kad </w:t>
      </w:r>
      <w:r w:rsidRPr="00DF1A04">
        <w:t>Lietuva šiuos reikalavimus tenkina, arba padėtis sparčiai gerėja ir reikalavimai bus patenkinti jau artimiausiu metu.</w:t>
      </w:r>
    </w:p>
    <w:p w:rsidR="003A046F" w:rsidRPr="003A046F" w:rsidRDefault="00BB3B1D" w:rsidP="005B524E">
      <w:pPr>
        <w:suppressAutoHyphens w:val="0"/>
      </w:pPr>
      <w:r>
        <w:t xml:space="preserve">Be to, </w:t>
      </w:r>
      <w:r w:rsidR="00CC31F5" w:rsidRPr="001D1438">
        <w:t>„</w:t>
      </w:r>
      <w:r>
        <w:t>p</w:t>
      </w:r>
      <w:r w:rsidR="003A046F" w:rsidRPr="003A046F">
        <w:t xml:space="preserve">astaruoju metu intensyviai bandoma integruoti </w:t>
      </w:r>
      <w:r w:rsidR="00F15E75" w:rsidRPr="003A046F">
        <w:t>e. mokymo</w:t>
      </w:r>
      <w:r w:rsidR="00555641">
        <w:t>(</w:t>
      </w:r>
      <w:r w:rsidR="003A046F" w:rsidRPr="003A046F">
        <w:t>si</w:t>
      </w:r>
      <w:r w:rsidR="00555641">
        <w:t>)</w:t>
      </w:r>
      <w:r w:rsidR="003A046F" w:rsidRPr="003A046F">
        <w:t xml:space="preserve"> kursus bei mokymo</w:t>
      </w:r>
      <w:r w:rsidR="00555641">
        <w:t>(</w:t>
      </w:r>
      <w:r w:rsidR="003A046F" w:rsidRPr="003A046F">
        <w:t>si</w:t>
      </w:r>
      <w:r w:rsidR="00555641">
        <w:t>)</w:t>
      </w:r>
      <w:r w:rsidR="003A046F" w:rsidRPr="003A046F">
        <w:t xml:space="preserve"> resursus į vieną bendrą virtualią erdvę, kuri būtų prieinama ne tik akademinės bendruomenės, bet ir platesnei visuomenė</w:t>
      </w:r>
      <w:r w:rsidR="00DA23A8">
        <w:t xml:space="preserve">s </w:t>
      </w:r>
      <w:r w:rsidR="00DA23A8" w:rsidRPr="00DA23A8">
        <w:t>daliai</w:t>
      </w:r>
      <w:r w:rsidR="00CC31F5" w:rsidRPr="001D1438">
        <w:t>“</w:t>
      </w:r>
      <w:r w:rsidR="003A046F" w:rsidRPr="00DA23A8">
        <w:t xml:space="preserve"> </w:t>
      </w:r>
      <w:r w:rsidR="00DA23A8" w:rsidRPr="00DA23A8">
        <w:t>(Butkevičienė ir kt., 2008).</w:t>
      </w:r>
      <w:r w:rsidR="00DA23A8">
        <w:rPr>
          <w:b/>
          <w:sz w:val="20"/>
          <w:szCs w:val="20"/>
        </w:rPr>
        <w:t xml:space="preserve"> </w:t>
      </w:r>
      <w:r w:rsidR="00DA23A8" w:rsidRPr="00DA23A8">
        <w:t>Tokia bendra virtuali erdvė kuriama Lietuvos virtualaus universiteto programos rėmuose.</w:t>
      </w:r>
    </w:p>
    <w:p w:rsidR="00A751F6" w:rsidRDefault="00895F5C" w:rsidP="005B524E">
      <w:pPr>
        <w:suppressAutoHyphens w:val="0"/>
      </w:pPr>
      <w:r w:rsidRPr="00E2347C">
        <w:rPr>
          <w:b/>
        </w:rPr>
        <w:t>Lietuvos virtualus universitetas</w:t>
      </w:r>
      <w:r w:rsidRPr="001D1438">
        <w:t xml:space="preserve"> yra kuriamas ir plėtojamas pagal LR Švietimo ir mokslo m</w:t>
      </w:r>
      <w:r w:rsidRPr="001D1438">
        <w:t>i</w:t>
      </w:r>
      <w:r w:rsidRPr="001D1438">
        <w:t>nisterijos parengtą programą „Lietuvos virtualus universitetas (2007</w:t>
      </w:r>
      <w:r w:rsidR="00AA05BC">
        <w:t>–</w:t>
      </w:r>
      <w:r w:rsidRPr="001D1438">
        <w:t>2012)“</w:t>
      </w:r>
      <w:r w:rsidR="00B634EA">
        <w:t xml:space="preserve"> (toliau – Programa)</w:t>
      </w:r>
      <w:r w:rsidRPr="001D1438">
        <w:t>, kuri tęsia bei išplečia ankstesnioj</w:t>
      </w:r>
      <w:r>
        <w:t>oj</w:t>
      </w:r>
      <w:r w:rsidRPr="001D1438">
        <w:t xml:space="preserve">e programoje „Informacinės technologijos mokslui ir studijoms (2001 </w:t>
      </w:r>
      <w:r w:rsidR="00AA05BC">
        <w:t>–</w:t>
      </w:r>
      <w:r w:rsidRPr="001D1438">
        <w:t xml:space="preserve"> 2006)“ vykdytas veiklas bei į jų įgyvendinimą įtraukia naujas institucijas.</w:t>
      </w:r>
      <w:r w:rsidR="00287887">
        <w:t xml:space="preserve"> </w:t>
      </w:r>
    </w:p>
    <w:p w:rsidR="00287887" w:rsidRDefault="00287887" w:rsidP="005B524E">
      <w:pPr>
        <w:suppressAutoHyphens w:val="0"/>
      </w:pPr>
      <w:r>
        <w:t>Lietuvos virtualus universitetas neregistruotas juridinių asmenų registre bei neįsteigtas kaip a</w:t>
      </w:r>
      <w:r>
        <w:t>t</w:t>
      </w:r>
      <w:r>
        <w:t xml:space="preserve">skiras juridinis asmuo, nes pagal LR Civilinį kodeksą (2000) </w:t>
      </w:r>
      <w:r w:rsidRPr="00547854">
        <w:rPr>
          <w:rStyle w:val="BodyTextChar"/>
        </w:rPr>
        <w:t>„</w:t>
      </w:r>
      <w:r>
        <w:rPr>
          <w:rStyle w:val="BodyTextChar"/>
        </w:rPr>
        <w:t>j</w:t>
      </w:r>
      <w:r w:rsidRPr="00547854">
        <w:rPr>
          <w:rStyle w:val="BodyTextChar"/>
        </w:rPr>
        <w:t>uridinis asmuo laikomas įsteigtu nuo jo įregistravimo juridinių asmenų registre“</w:t>
      </w:r>
      <w:r w:rsidR="00CE13CA">
        <w:t xml:space="preserve">. Bendrai </w:t>
      </w:r>
      <w:r w:rsidR="00CE13CA" w:rsidRPr="00CE13CA">
        <w:rPr>
          <w:b/>
        </w:rPr>
        <w:t>Lietuvos virtualus universitetas</w:t>
      </w:r>
      <w:r w:rsidRPr="00CE13CA">
        <w:rPr>
          <w:b/>
        </w:rPr>
        <w:t xml:space="preserve"> </w:t>
      </w:r>
      <w:r>
        <w:t xml:space="preserve">yra suprantamas ir traktuojamas kaip </w:t>
      </w:r>
      <w:r w:rsidRPr="00287887">
        <w:t>kompleksas priemonių, sudarančių prielaidas Programą įgyvendinančioms instituc</w:t>
      </w:r>
      <w:r w:rsidRPr="00287887">
        <w:t>i</w:t>
      </w:r>
      <w:r w:rsidRPr="00287887">
        <w:t>joms plėsti savo veiklą virtualioje erdvėje</w:t>
      </w:r>
      <w:r>
        <w:t>.</w:t>
      </w:r>
    </w:p>
    <w:p w:rsidR="00A751F6" w:rsidRDefault="00A751F6" w:rsidP="005B524E">
      <w:pPr>
        <w:pStyle w:val="BodyText"/>
        <w:suppressAutoHyphens w:val="0"/>
      </w:pPr>
      <w:r>
        <w:rPr>
          <w:b/>
          <w:bCs/>
        </w:rPr>
        <w:t xml:space="preserve">Pagrindinis LVU programos tikslas </w:t>
      </w:r>
      <w:r>
        <w:t xml:space="preserve">– panaudojant jau turimus išteklius, plėsti Lietuvos mokslo ir studijų informacinę infrastruktūrą, skirtą: </w:t>
      </w:r>
    </w:p>
    <w:p w:rsidR="00A751F6" w:rsidRPr="00802EAC" w:rsidRDefault="00A751F6" w:rsidP="005B524E">
      <w:pPr>
        <w:numPr>
          <w:ilvl w:val="0"/>
          <w:numId w:val="27"/>
        </w:numPr>
        <w:suppressAutoHyphens w:val="0"/>
      </w:pPr>
      <w:r w:rsidRPr="00802EAC">
        <w:t xml:space="preserve">kurti efektyvią ir darnią, visiems prieinamą ir tęstinę švietimo sistemą, sudarant sąlygas mokytis visą gyvenimą; </w:t>
      </w:r>
    </w:p>
    <w:p w:rsidR="00A751F6" w:rsidRPr="00802EAC" w:rsidRDefault="00A751F6" w:rsidP="005B524E">
      <w:pPr>
        <w:numPr>
          <w:ilvl w:val="0"/>
          <w:numId w:val="27"/>
        </w:numPr>
        <w:suppressAutoHyphens w:val="0"/>
      </w:pPr>
      <w:r w:rsidRPr="00802EAC">
        <w:t>užtikrinti švietimo sistemos kokybę integruojantis į bendrąją Europos šalių švietimo er</w:t>
      </w:r>
      <w:r w:rsidRPr="00802EAC">
        <w:t>d</w:t>
      </w:r>
      <w:r w:rsidRPr="00802EAC">
        <w:t xml:space="preserve">vę; </w:t>
      </w:r>
    </w:p>
    <w:p w:rsidR="00A751F6" w:rsidRPr="00802EAC" w:rsidRDefault="00A751F6" w:rsidP="005B524E">
      <w:pPr>
        <w:numPr>
          <w:ilvl w:val="0"/>
          <w:numId w:val="27"/>
        </w:numPr>
        <w:suppressAutoHyphens w:val="0"/>
      </w:pPr>
      <w:r w:rsidRPr="00802EAC">
        <w:t xml:space="preserve">rengti aukščiausios kvalifikacijos specialistus; </w:t>
      </w:r>
    </w:p>
    <w:p w:rsidR="00A751F6" w:rsidRPr="00802EAC" w:rsidRDefault="00A751F6" w:rsidP="005B524E">
      <w:pPr>
        <w:numPr>
          <w:ilvl w:val="0"/>
          <w:numId w:val="27"/>
        </w:numPr>
        <w:suppressAutoHyphens w:val="0"/>
      </w:pPr>
      <w:r w:rsidRPr="00802EAC">
        <w:t xml:space="preserve">vykdyti mokslinius tyrimus; </w:t>
      </w:r>
    </w:p>
    <w:p w:rsidR="00A751F6" w:rsidRPr="00802EAC" w:rsidRDefault="00A751F6" w:rsidP="005B524E">
      <w:pPr>
        <w:numPr>
          <w:ilvl w:val="0"/>
          <w:numId w:val="27"/>
        </w:numPr>
        <w:suppressAutoHyphens w:val="0"/>
      </w:pPr>
      <w:r w:rsidRPr="00802EAC">
        <w:t xml:space="preserve">užtikrinti Lietuvos gyventojams galimybę įgyti žinių, įgūdžių ir kvalifikaciją, kurie leistų, lanksčiau prisitaikyti prie greitai kintančių gyvenimo ir darbo sąlygų; </w:t>
      </w:r>
    </w:p>
    <w:p w:rsidR="00074C90" w:rsidRDefault="00A751F6" w:rsidP="005B524E">
      <w:pPr>
        <w:numPr>
          <w:ilvl w:val="0"/>
          <w:numId w:val="27"/>
        </w:numPr>
        <w:suppressAutoHyphens w:val="0"/>
      </w:pPr>
      <w:r w:rsidRPr="00802EAC">
        <w:t xml:space="preserve">plėtoti neįgalių žmonių ar žmonių, turinčių ypatingų poreikių, įsitraukimo į informacinę visuomenę programas, panaudojant informacinių technologijų galimybes. </w:t>
      </w:r>
    </w:p>
    <w:p w:rsidR="008B7096" w:rsidRDefault="00566928" w:rsidP="005B524E">
      <w:pPr>
        <w:suppressAutoHyphens w:val="0"/>
        <w:rPr>
          <w:rFonts w:ascii="TimesNewRoman" w:eastAsia="Times New Roman" w:hAnsi="TimesNewRoman" w:cs="TimesNewRoman"/>
          <w:kern w:val="0"/>
        </w:rPr>
      </w:pPr>
      <w:bookmarkStart w:id="44" w:name="_Toc119509986"/>
      <w:r w:rsidRPr="00566928">
        <w:t>P</w:t>
      </w:r>
      <w:r w:rsidR="00CF0D79" w:rsidRPr="00566928">
        <w:t xml:space="preserve">rogramai įgyvendinti 2008 m. buvo skirta </w:t>
      </w:r>
      <w:r w:rsidR="00CF0D79" w:rsidRPr="00566928">
        <w:rPr>
          <w:kern w:val="0"/>
        </w:rPr>
        <w:t>10 mln. 800 tūkst. litų iš valstybės biudžeto.</w:t>
      </w:r>
      <w:r w:rsidRPr="00566928">
        <w:rPr>
          <w:b/>
          <w:kern w:val="0"/>
        </w:rPr>
        <w:t xml:space="preserve"> </w:t>
      </w:r>
      <w:r w:rsidRPr="00566928">
        <w:rPr>
          <w:kern w:val="0"/>
        </w:rPr>
        <w:t>Prelim</w:t>
      </w:r>
      <w:r w:rsidRPr="00566928">
        <w:rPr>
          <w:kern w:val="0"/>
        </w:rPr>
        <w:t>i</w:t>
      </w:r>
      <w:r w:rsidRPr="00566928">
        <w:rPr>
          <w:kern w:val="0"/>
        </w:rPr>
        <w:t xml:space="preserve">nariais įvertinimais, programa įgyvendinti 2007–2012 metais iš valstybės </w:t>
      </w:r>
      <w:r w:rsidRPr="00566928">
        <w:rPr>
          <w:rFonts w:ascii="TimesNewRoman" w:eastAsia="Times New Roman" w:hAnsi="TimesNewRoman" w:cs="TimesNewRoman"/>
          <w:kern w:val="0"/>
        </w:rPr>
        <w:t xml:space="preserve">biudžeto reikėtų 110 mln. </w:t>
      </w:r>
      <w:r w:rsidR="0008582B" w:rsidRPr="00543D58">
        <w:rPr>
          <w:rFonts w:asciiTheme="minorHAnsi" w:eastAsia="Times New Roman" w:hAnsiTheme="minorHAnsi" w:cs="TimesNewRoman"/>
          <w:kern w:val="0"/>
        </w:rPr>
        <w:lastRenderedPageBreak/>
        <w:t>l</w:t>
      </w:r>
      <w:r w:rsidRPr="00543D58">
        <w:rPr>
          <w:rFonts w:ascii="TimesNewRoman" w:eastAsia="Times New Roman" w:hAnsi="TimesNewRoman" w:cs="TimesNewRoman"/>
          <w:kern w:val="0"/>
        </w:rPr>
        <w:t>itų</w:t>
      </w:r>
      <w:r w:rsidR="0008582B">
        <w:rPr>
          <w:rFonts w:ascii="TimesNewRoman" w:eastAsia="Times New Roman" w:hAnsi="TimesNewRoman" w:cs="TimesNewRoman"/>
          <w:kern w:val="0"/>
        </w:rPr>
        <w:t>.</w:t>
      </w:r>
    </w:p>
    <w:p w:rsidR="0008582B" w:rsidRDefault="0008582B" w:rsidP="005B524E">
      <w:pPr>
        <w:pStyle w:val="BodyText"/>
        <w:suppressAutoHyphens w:val="0"/>
      </w:pPr>
      <w:r>
        <w:t xml:space="preserve">Programą sudaro keturi pagrindiniai tarpusavyje glaudžiai susiję uždaviniai (žr. </w:t>
      </w:r>
      <w:r w:rsidRPr="003E0580">
        <w:rPr>
          <w:b/>
        </w:rPr>
        <w:t xml:space="preserve">Schema </w:t>
      </w:r>
      <w:r>
        <w:rPr>
          <w:b/>
          <w:lang w:val="ru-RU"/>
        </w:rPr>
        <w:t>4</w:t>
      </w:r>
      <w:r>
        <w:t xml:space="preserve">): </w:t>
      </w:r>
    </w:p>
    <w:p w:rsidR="0008582B" w:rsidRDefault="0008582B" w:rsidP="005B524E">
      <w:pPr>
        <w:pStyle w:val="BodyText"/>
        <w:numPr>
          <w:ilvl w:val="0"/>
          <w:numId w:val="26"/>
        </w:numPr>
        <w:suppressAutoHyphens w:val="0"/>
        <w:rPr>
          <w:b/>
        </w:rPr>
      </w:pPr>
      <w:r w:rsidRPr="005E6AD1">
        <w:rPr>
          <w:b/>
          <w:bCs/>
          <w:iCs/>
        </w:rPr>
        <w:t>„E. mokymosi procesų skatinimas virtualioje erdvėje“</w:t>
      </w:r>
      <w:r w:rsidRPr="00967974">
        <w:rPr>
          <w:bCs/>
          <w:iCs/>
        </w:rPr>
        <w:t xml:space="preserve">, </w:t>
      </w:r>
      <w:r>
        <w:rPr>
          <w:bCs/>
          <w:iCs/>
        </w:rPr>
        <w:t xml:space="preserve">kuriuo pagrindinis tikslas </w:t>
      </w:r>
      <w:r>
        <w:t xml:space="preserve">– </w:t>
      </w:r>
      <w:r w:rsidRPr="00705D9A">
        <w:t>plėtoti ir palaikyti institucijų bendrus veiklos procesus virtualioje erdvėje, sudaryti prielaidas studijų kokybės gerinimui, Lietuvos akademinio sektoriaus tarptautinio konkure</w:t>
      </w:r>
      <w:r w:rsidRPr="00705D9A">
        <w:t>n</w:t>
      </w:r>
      <w:r w:rsidRPr="00705D9A">
        <w:t>cingumo didinimui ir glaudesnei integracijai į Europos aukštojo mokslo erdvę.</w:t>
      </w:r>
      <w:r>
        <w:t xml:space="preserve"> </w:t>
      </w:r>
    </w:p>
    <w:p w:rsidR="0008582B" w:rsidRPr="002B3CCE" w:rsidRDefault="0008582B" w:rsidP="005B524E">
      <w:pPr>
        <w:pStyle w:val="BodyText"/>
        <w:numPr>
          <w:ilvl w:val="0"/>
          <w:numId w:val="26"/>
        </w:numPr>
        <w:suppressAutoHyphens w:val="0"/>
        <w:rPr>
          <w:b/>
        </w:rPr>
      </w:pPr>
      <w:r w:rsidRPr="005E6AD1">
        <w:rPr>
          <w:b/>
          <w:bCs/>
          <w:iCs/>
        </w:rPr>
        <w:t>„Lietuvos e. mokymosi infrastruktūros plėtra</w:t>
      </w:r>
      <w:r w:rsidRPr="003740C7">
        <w:rPr>
          <w:b/>
        </w:rPr>
        <w:t>“</w:t>
      </w:r>
      <w:r w:rsidR="00881E38" w:rsidRPr="00464CF1">
        <w:rPr>
          <w:bCs/>
          <w:iCs/>
        </w:rPr>
        <w:t xml:space="preserve">, </w:t>
      </w:r>
      <w:r>
        <w:rPr>
          <w:bCs/>
          <w:iCs/>
        </w:rPr>
        <w:t xml:space="preserve">kuriuo pagrindinis tikslas </w:t>
      </w:r>
      <w:r>
        <w:t xml:space="preserve">–plėtoti </w:t>
      </w:r>
      <w:r w:rsidRPr="00342783">
        <w:t>ir koordinuoti informacijos ir komunikacijos technologijomis pagrįstą aukštojo mokslo studijų ir tęstinio mokymosi sistemą, skatinant informacinės visuomenės formavimąsi Li</w:t>
      </w:r>
      <w:r w:rsidRPr="00342783">
        <w:t>e</w:t>
      </w:r>
      <w:r w:rsidRPr="00342783">
        <w:t>tuvoje.</w:t>
      </w:r>
    </w:p>
    <w:p w:rsidR="0008582B" w:rsidRPr="00457B14" w:rsidRDefault="0008582B" w:rsidP="005B524E">
      <w:pPr>
        <w:pStyle w:val="BodyText"/>
        <w:numPr>
          <w:ilvl w:val="0"/>
          <w:numId w:val="26"/>
        </w:numPr>
        <w:suppressAutoHyphens w:val="0"/>
        <w:rPr>
          <w:b/>
        </w:rPr>
      </w:pPr>
      <w:r w:rsidRPr="002B3CCE">
        <w:rPr>
          <w:b/>
        </w:rPr>
        <w:t>„Lietuvos mokslo ir studijų integruotos informacinės erdvės plėtra</w:t>
      </w:r>
      <w:r w:rsidRPr="003740C7">
        <w:rPr>
          <w:b/>
        </w:rPr>
        <w:t>“</w:t>
      </w:r>
      <w:r w:rsidRPr="00967974">
        <w:t>,</w:t>
      </w:r>
      <w:r w:rsidRPr="002B3CCE">
        <w:rPr>
          <w:b/>
        </w:rPr>
        <w:t xml:space="preserve"> </w:t>
      </w:r>
      <w:r>
        <w:t>kuriuo pagri</w:t>
      </w:r>
      <w:r>
        <w:t>n</w:t>
      </w:r>
      <w:r>
        <w:t xml:space="preserve">dinis tikslas – </w:t>
      </w:r>
      <w:r w:rsidRPr="002B3CCE">
        <w:t>sukurti integruotą, informacinėmis technologijomis grįstą informacinę Li</w:t>
      </w:r>
      <w:r w:rsidRPr="002B3CCE">
        <w:t>e</w:t>
      </w:r>
      <w:r w:rsidRPr="002B3CCE">
        <w:t>tuvos mokslo ir studijų erdvę, apimančią tradicines ir e. bibliotekas, e. leidybą, informac</w:t>
      </w:r>
      <w:r w:rsidRPr="002B3CCE">
        <w:t>i</w:t>
      </w:r>
      <w:r w:rsidRPr="002B3CCE">
        <w:t>jos paiešką ir pateikimą vartotojams, teikiančią virtualias paslaugas Lietuvos mokslo ir studijų, švietimo institucijų darbuotojams, studentams, mokiniams, gyventojams ir k</w:t>
      </w:r>
      <w:r w:rsidRPr="002B3CCE">
        <w:t>i</w:t>
      </w:r>
      <w:r w:rsidRPr="002B3CCE">
        <w:t>tiems e. sistemos vartotojams.</w:t>
      </w:r>
    </w:p>
    <w:p w:rsidR="0008582B" w:rsidRPr="0008582B" w:rsidRDefault="0008582B" w:rsidP="005B524E">
      <w:pPr>
        <w:pStyle w:val="BodyText"/>
        <w:numPr>
          <w:ilvl w:val="0"/>
          <w:numId w:val="26"/>
        </w:numPr>
        <w:suppressAutoHyphens w:val="0"/>
      </w:pPr>
      <w:r w:rsidRPr="00BE5910">
        <w:rPr>
          <w:b/>
        </w:rPr>
        <w:t>„Lietuvos mokslo ir studijų planavimo, valdymo ir savitarnos infrastruktūros plė</w:t>
      </w:r>
      <w:r w:rsidRPr="00BE5910">
        <w:rPr>
          <w:b/>
        </w:rPr>
        <w:t>t</w:t>
      </w:r>
      <w:r w:rsidRPr="00BE5910">
        <w:rPr>
          <w:b/>
        </w:rPr>
        <w:t>ra“</w:t>
      </w:r>
      <w:r>
        <w:t xml:space="preserve">, kuriuo pagrindinis tikslas – </w:t>
      </w:r>
      <w:r w:rsidRPr="00457B14">
        <w:t>teikti institucijoms, jų atstovams (administratoriams, dėstytojams, studentams) paslaugas planuojant ir valdant finansų, žmogiškuosius, studijų, mokslinių tyrimų ir tęstinio bei profesinio mokymosi išteklius, sukurti tam būtinas sav</w:t>
      </w:r>
      <w:r w:rsidRPr="00457B14">
        <w:t>i</w:t>
      </w:r>
      <w:r w:rsidRPr="00457B14">
        <w:t>tarnos priemones.</w:t>
      </w:r>
    </w:p>
    <w:bookmarkEnd w:id="44"/>
    <w:p w:rsidR="00A415BA" w:rsidRPr="00F73C50" w:rsidRDefault="00A415BA" w:rsidP="005B524E">
      <w:pPr>
        <w:suppressAutoHyphens w:val="0"/>
      </w:pPr>
      <w:r w:rsidRPr="00D656F4">
        <w:t>Plėtojant Lietuvos nuotolinio mokymosi tinklą LieDM padaryta ir vykdant PHARE</w:t>
      </w:r>
      <w:r w:rsidRPr="00F73C50">
        <w:t xml:space="preserve"> projektą 79-PHARE-LI-PAO parengta studija „Nuotolinis</w:t>
      </w:r>
      <w:r>
        <w:t xml:space="preserve"> </w:t>
      </w:r>
      <w:r w:rsidRPr="00F73C50">
        <w:t>švietimas Lietuvoje“ bei „Lietuvos nuotolinio mokym</w:t>
      </w:r>
      <w:r w:rsidRPr="00F73C50">
        <w:t>o</w:t>
      </w:r>
      <w:r w:rsidRPr="00F73C50">
        <w:t>si tinklo pl</w:t>
      </w:r>
      <w:r>
        <w:t>ė</w:t>
      </w:r>
      <w:r w:rsidRPr="00F73C50">
        <w:t>tros nacionalin</w:t>
      </w:r>
      <w:r>
        <w:t>ė</w:t>
      </w:r>
      <w:r w:rsidRPr="00F73C50">
        <w:t xml:space="preserve"> strategija“</w:t>
      </w:r>
      <w:r>
        <w:t>,</w:t>
      </w:r>
      <w:r w:rsidRPr="00F73C50">
        <w:t xml:space="preserve"> </w:t>
      </w:r>
      <w:r>
        <w:t>o</w:t>
      </w:r>
      <w:r w:rsidRPr="00F73C50">
        <w:t xml:space="preserve"> vykdant ITMiS programą išleista monografija „Lietuvos virtualus universitetas“. Šiuose dokumentuose atlikta esamų virtualių (atvirųjų, e.) universitetų apžva</w:t>
      </w:r>
      <w:r w:rsidRPr="00F73C50">
        <w:t>l</w:t>
      </w:r>
      <w:r w:rsidRPr="00F73C50">
        <w:t>ga, rekomenduota Lietuvai pasirinkti tinklinį virtualaus universiteto modelį kaip geriau išnaudojantį esamų mokslo ir studijų institucijų potencialą</w:t>
      </w:r>
      <w:r>
        <w:t xml:space="preserve">. LVU programoje buvo atsižvelgta į rekomendacijas bei įtvirtintas </w:t>
      </w:r>
      <w:r w:rsidRPr="00E740F7">
        <w:rPr>
          <w:i/>
        </w:rPr>
        <w:t>tinklinis modelis</w:t>
      </w:r>
      <w:r>
        <w:t>.</w:t>
      </w:r>
      <w:r w:rsidR="001D5473">
        <w:t xml:space="preserve"> </w:t>
      </w:r>
    </w:p>
    <w:p w:rsidR="00A415BA" w:rsidRDefault="00A415BA" w:rsidP="005B524E">
      <w:pPr>
        <w:suppressAutoHyphens w:val="0"/>
      </w:pPr>
      <w:r w:rsidRPr="00A415BA">
        <w:t>Programą įgyvendina mokslo ir studijų institucijos bei švietimo įstaigos, raštu</w:t>
      </w:r>
      <w:r>
        <w:t xml:space="preserve"> </w:t>
      </w:r>
      <w:r w:rsidRPr="00A415BA">
        <w:t>pareiškusios Li</w:t>
      </w:r>
      <w:r w:rsidRPr="00A415BA">
        <w:t>e</w:t>
      </w:r>
      <w:r w:rsidRPr="00A415BA">
        <w:t>tuvos virtualaus universiteto 2007–2012 metų</w:t>
      </w:r>
      <w:r>
        <w:t xml:space="preserve"> programos tarybai </w:t>
      </w:r>
      <w:r w:rsidRPr="00A415BA">
        <w:t>pageidavimą dalyvauti vykdant Programą ar įgyvendinant atskirą jos uždavinį</w:t>
      </w:r>
      <w:r>
        <w:t xml:space="preserve"> (</w:t>
      </w:r>
      <w:r w:rsidRPr="00B71FA4">
        <w:t>Lietuvos virtualaus universiteto programa 2007</w:t>
      </w:r>
      <w:r w:rsidR="00AA05BC">
        <w:t>–</w:t>
      </w:r>
      <w:r w:rsidRPr="00B71FA4">
        <w:t>2012 m.</w:t>
      </w:r>
      <w:r>
        <w:t>, 2007)</w:t>
      </w:r>
      <w:r w:rsidR="00CF266E">
        <w:t>.</w:t>
      </w:r>
    </w:p>
    <w:p w:rsidR="006138BF" w:rsidRDefault="00B11165" w:rsidP="005B524E">
      <w:pPr>
        <w:suppressAutoHyphens w:val="0"/>
      </w:pPr>
      <w:r w:rsidRPr="00B71FA4">
        <w:t>LVU programoje yra numatom</w:t>
      </w:r>
      <w:r w:rsidR="00A76207" w:rsidRPr="00B71FA4">
        <w:t>a, kad v</w:t>
      </w:r>
      <w:r w:rsidR="00981E17" w:rsidRPr="00B71FA4">
        <w:t xml:space="preserve">ykdant institucijų </w:t>
      </w:r>
      <w:r w:rsidR="00F15E75" w:rsidRPr="00B71FA4">
        <w:t>e. mokymo</w:t>
      </w:r>
      <w:r w:rsidR="00BE5910" w:rsidRPr="00B71FA4">
        <w:t>(</w:t>
      </w:r>
      <w:r w:rsidR="00981E17" w:rsidRPr="00B71FA4">
        <w:t>si</w:t>
      </w:r>
      <w:r w:rsidR="00BE5910" w:rsidRPr="00B71FA4">
        <w:t>)</w:t>
      </w:r>
      <w:r w:rsidR="00981E17" w:rsidRPr="00B71FA4">
        <w:t xml:space="preserve"> techninių galimybių pl</w:t>
      </w:r>
      <w:r w:rsidR="00981E17" w:rsidRPr="00B71FA4">
        <w:t>ė</w:t>
      </w:r>
      <w:r w:rsidR="00981E17" w:rsidRPr="00B71FA4">
        <w:t xml:space="preserve">tojimo priemonę </w:t>
      </w:r>
      <w:r w:rsidR="00E20CE7" w:rsidRPr="00B71FA4">
        <w:t>būtina</w:t>
      </w:r>
      <w:r w:rsidR="00981E17" w:rsidRPr="00B71FA4">
        <w:t xml:space="preserve"> sudaryti sąlygas privačiam sektoriui įsitraukti į Lietuvos e.</w:t>
      </w:r>
      <w:r w:rsidR="00A74F4B">
        <w:t xml:space="preserve"> </w:t>
      </w:r>
      <w:r w:rsidR="00981E17" w:rsidRPr="00B71FA4">
        <w:t xml:space="preserve">mokymosi tinklo </w:t>
      </w:r>
      <w:r w:rsidR="00981E17" w:rsidRPr="00B71FA4">
        <w:lastRenderedPageBreak/>
        <w:t>veiklą</w:t>
      </w:r>
      <w:r w:rsidR="00ED435E" w:rsidRPr="00B71FA4">
        <w:t xml:space="preserve">, bet plačiau veiksmų planas nedetalizuojamas. </w:t>
      </w:r>
      <w:r w:rsidR="00C94AB9">
        <w:t>Kita vertus,</w:t>
      </w:r>
      <w:r w:rsidR="006138BF" w:rsidRPr="00B71FA4">
        <w:t xml:space="preserve"> iš „E. mokymosi ypatybių švietimo sektoriuose studijos“ </w:t>
      </w:r>
      <w:r w:rsidR="003610FB" w:rsidRPr="00B71FA4">
        <w:t>(</w:t>
      </w:r>
      <w:r w:rsidR="00895629" w:rsidRPr="00B71FA4">
        <w:t>Butkevičienė ir kt., 2008</w:t>
      </w:r>
      <w:r w:rsidR="003610FB" w:rsidRPr="00B71FA4">
        <w:t>)</w:t>
      </w:r>
      <w:r w:rsidR="00B71FA4" w:rsidRPr="00B71FA4">
        <w:t>, kuria fin</w:t>
      </w:r>
      <w:r w:rsidR="00F15E75">
        <w:t>an</w:t>
      </w:r>
      <w:r w:rsidR="00B71FA4" w:rsidRPr="00B71FA4">
        <w:t>savo „Lietuvos virtualaus universiteto programa 2007</w:t>
      </w:r>
      <w:r w:rsidR="00AA05BC">
        <w:t>–</w:t>
      </w:r>
      <w:r w:rsidR="00B71FA4" w:rsidRPr="00B71FA4">
        <w:t xml:space="preserve">2012 m.“ </w:t>
      </w:r>
      <w:r w:rsidR="00B634EA">
        <w:t xml:space="preserve">bei atsižvelgiant į tai kas gali tapti </w:t>
      </w:r>
      <w:r w:rsidR="00B634EA" w:rsidRPr="00C7364D">
        <w:t>Programos dalyviais</w:t>
      </w:r>
      <w:r w:rsidR="00B634EA" w:rsidRPr="00F15E75">
        <w:rPr>
          <w:rFonts w:eastAsia="Times New Roman" w:cs="TimesNewRoman"/>
          <w:kern w:val="0"/>
        </w:rPr>
        <w:t xml:space="preserve"> </w:t>
      </w:r>
      <w:r w:rsidR="00B634EA">
        <w:t>galima daryti</w:t>
      </w:r>
      <w:r w:rsidR="00B71FA4" w:rsidRPr="00B71FA4">
        <w:t xml:space="preserve"> išvadą, kad turima omenyje nevalstybinio švietimo sektoriaus integracij</w:t>
      </w:r>
      <w:r w:rsidR="00B71FA4">
        <w:t>a</w:t>
      </w:r>
      <w:r w:rsidR="00B71FA4" w:rsidRPr="00B71FA4">
        <w:t xml:space="preserve"> į bendrą nuotolinio mokymosi paslaugų teikimo erdvę.</w:t>
      </w:r>
    </w:p>
    <w:p w:rsidR="00ED211F" w:rsidRDefault="00ED211F" w:rsidP="005B524E">
      <w:pPr>
        <w:pStyle w:val="Caption"/>
        <w:suppressAutoHyphens w:val="0"/>
        <w:rPr>
          <w:szCs w:val="22"/>
        </w:rPr>
      </w:pPr>
      <w:bookmarkStart w:id="45" w:name="_Toc248866384"/>
      <w:r w:rsidRPr="0065719D">
        <w:t xml:space="preserve">Schema </w:t>
      </w:r>
      <w:fldSimple w:instr=" SEQ Schema \* ARABIC ">
        <w:r w:rsidR="00E32C21">
          <w:rPr>
            <w:noProof/>
          </w:rPr>
          <w:t>4</w:t>
        </w:r>
      </w:fldSimple>
      <w:r w:rsidRPr="0065719D">
        <w:t xml:space="preserve"> </w:t>
      </w:r>
      <w:r w:rsidRPr="0065719D">
        <w:rPr>
          <w:szCs w:val="22"/>
        </w:rPr>
        <w:t>Pagrindiniai LVU uždaviniai</w:t>
      </w:r>
      <w:bookmarkEnd w:id="45"/>
    </w:p>
    <w:p w:rsidR="00ED211F" w:rsidRPr="001D1438" w:rsidRDefault="00ED211F" w:rsidP="005B524E">
      <w:pPr>
        <w:pStyle w:val="Caption"/>
        <w:suppressAutoHyphens w:val="0"/>
        <w:ind w:firstLine="0"/>
        <w:rPr>
          <w:kern w:val="0"/>
          <w:lang w:eastAsia="lt-LT"/>
        </w:rPr>
      </w:pPr>
      <w:r w:rsidRPr="00F527F2">
        <w:rPr>
          <w:noProof/>
          <w:kern w:val="0"/>
          <w:lang w:val="en-US"/>
        </w:rPr>
        <w:drawing>
          <wp:inline distT="0" distB="0" distL="0" distR="0">
            <wp:extent cx="6330950" cy="4584700"/>
            <wp:effectExtent l="0" t="0" r="0" b="0"/>
            <wp:docPr id="10" name="D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ED211F" w:rsidRPr="00ED211F" w:rsidRDefault="00ED211F" w:rsidP="005B524E">
      <w:pPr>
        <w:suppressAutoHyphens w:val="0"/>
        <w:spacing w:before="120" w:after="100" w:afterAutospacing="1"/>
        <w:ind w:firstLine="0"/>
        <w:rPr>
          <w:b/>
          <w:kern w:val="0"/>
          <w:sz w:val="20"/>
          <w:szCs w:val="20"/>
          <w:lang w:eastAsia="lt-LT"/>
        </w:rPr>
      </w:pPr>
      <w:r w:rsidRPr="001D1438">
        <w:rPr>
          <w:b/>
          <w:sz w:val="20"/>
          <w:szCs w:val="20"/>
        </w:rPr>
        <w:t xml:space="preserve">Šaltinis: </w:t>
      </w:r>
      <w:r w:rsidRPr="00F55EA3">
        <w:rPr>
          <w:b/>
          <w:sz w:val="20"/>
          <w:szCs w:val="32"/>
        </w:rPr>
        <w:t>Butkevičienė</w:t>
      </w:r>
      <w:r>
        <w:rPr>
          <w:b/>
          <w:sz w:val="20"/>
          <w:szCs w:val="32"/>
        </w:rPr>
        <w:t xml:space="preserve"> ir kt.</w:t>
      </w:r>
      <w:r w:rsidRPr="001D1438">
        <w:rPr>
          <w:b/>
          <w:sz w:val="20"/>
          <w:szCs w:val="20"/>
        </w:rPr>
        <w:t>, 2008</w:t>
      </w:r>
    </w:p>
    <w:p w:rsidR="00CD659D" w:rsidRDefault="0045612B" w:rsidP="005B524E">
      <w:pPr>
        <w:suppressAutoHyphens w:val="0"/>
      </w:pPr>
      <w:r w:rsidRPr="0045612B">
        <w:t>LVU programos valdymo organai: LVU taryba ir kiekvieno uždavinio tarybos. LVU Tarybos pe</w:t>
      </w:r>
      <w:r w:rsidRPr="0045612B">
        <w:t>r</w:t>
      </w:r>
      <w:r w:rsidRPr="0045612B">
        <w:t xml:space="preserve">sonalinę sudėtį, Tarybos pirmininką, Tarybos pirmininko pavaduotoją ir Programos koordinatorių (Tarybos narį) tvirtina švietimo ir mokslo ministras. Uždavinių tarybų personalinę sudėtį, tarybų pirmininkus ir Programos uždavinio koordinatorius (tarybos narius) </w:t>
      </w:r>
      <w:r>
        <w:t xml:space="preserve">taip pat </w:t>
      </w:r>
      <w:r w:rsidRPr="0045612B">
        <w:t>tvirtina švietimo ir mokslo ministras.</w:t>
      </w:r>
    </w:p>
    <w:p w:rsidR="00DD2AFA" w:rsidRDefault="00DD2AFA" w:rsidP="005B524E">
      <w:pPr>
        <w:suppressAutoHyphens w:val="0"/>
      </w:pPr>
      <w:r w:rsidRPr="00DD2AFA">
        <w:t>Lietuvos virtua</w:t>
      </w:r>
      <w:r>
        <w:t xml:space="preserve">laus universiteto 2007-2012 m. </w:t>
      </w:r>
      <w:r w:rsidRPr="00DD2AFA">
        <w:t>programos tarybą sudaro:</w:t>
      </w:r>
    </w:p>
    <w:p w:rsidR="00CD659D" w:rsidRDefault="00CD659D" w:rsidP="005B524E">
      <w:pPr>
        <w:pStyle w:val="ListParagraph"/>
        <w:numPr>
          <w:ilvl w:val="0"/>
          <w:numId w:val="59"/>
        </w:numPr>
        <w:suppressAutoHyphens w:val="0"/>
      </w:pPr>
      <w:r w:rsidRPr="00CD659D">
        <w:rPr>
          <w:i/>
        </w:rPr>
        <w:t>Nerija Putinaitė</w:t>
      </w:r>
      <w:r>
        <w:t xml:space="preserve"> – Švietimo ir mokslo viceministrė (tarybos pirmininkė);</w:t>
      </w:r>
    </w:p>
    <w:p w:rsidR="00CD659D" w:rsidRDefault="00CD659D" w:rsidP="005B524E">
      <w:pPr>
        <w:pStyle w:val="ListParagraph"/>
        <w:numPr>
          <w:ilvl w:val="0"/>
          <w:numId w:val="59"/>
        </w:numPr>
        <w:suppressAutoHyphens w:val="0"/>
      </w:pPr>
      <w:r w:rsidRPr="00CD659D">
        <w:rPr>
          <w:i/>
        </w:rPr>
        <w:t>Antanas Levickas</w:t>
      </w:r>
      <w:r>
        <w:t xml:space="preserve"> – Švietimo ir mokslo ministerijos Studijų departamento direktorius (t</w:t>
      </w:r>
      <w:r>
        <w:t>a</w:t>
      </w:r>
      <w:r>
        <w:lastRenderedPageBreak/>
        <w:t>rybos pirmininko pavaduotojas);</w:t>
      </w:r>
    </w:p>
    <w:p w:rsidR="00CD659D" w:rsidRDefault="00CD659D" w:rsidP="005B524E">
      <w:pPr>
        <w:pStyle w:val="ListParagraph"/>
        <w:numPr>
          <w:ilvl w:val="0"/>
          <w:numId w:val="59"/>
        </w:numPr>
        <w:suppressAutoHyphens w:val="0"/>
      </w:pPr>
      <w:proofErr w:type="spellStart"/>
      <w:r w:rsidRPr="00CD659D">
        <w:rPr>
          <w:i/>
        </w:rPr>
        <w:t>Vaino</w:t>
      </w:r>
      <w:proofErr w:type="spellEnd"/>
      <w:r w:rsidRPr="00CD659D">
        <w:rPr>
          <w:i/>
        </w:rPr>
        <w:t xml:space="preserve"> Brazdeikis</w:t>
      </w:r>
      <w:r>
        <w:t xml:space="preserve"> – Švietimo informacinių technologijų centro direktorius (programos k</w:t>
      </w:r>
      <w:r>
        <w:t>o</w:t>
      </w:r>
      <w:r>
        <w:t>ordinatorius);</w:t>
      </w:r>
    </w:p>
    <w:p w:rsidR="00CD659D" w:rsidRDefault="00CD659D" w:rsidP="005B524E">
      <w:pPr>
        <w:pStyle w:val="ListParagraph"/>
        <w:numPr>
          <w:ilvl w:val="0"/>
          <w:numId w:val="59"/>
        </w:numPr>
        <w:suppressAutoHyphens w:val="0"/>
      </w:pPr>
      <w:r w:rsidRPr="00CD659D">
        <w:rPr>
          <w:i/>
        </w:rPr>
        <w:t>Gintautas Bužinskas</w:t>
      </w:r>
      <w:r>
        <w:t xml:space="preserve"> – Utenos kolegijos direktorius;</w:t>
      </w:r>
    </w:p>
    <w:p w:rsidR="00CD659D" w:rsidRDefault="00CD659D" w:rsidP="005B524E">
      <w:pPr>
        <w:pStyle w:val="ListParagraph"/>
        <w:numPr>
          <w:ilvl w:val="0"/>
          <w:numId w:val="59"/>
        </w:numPr>
        <w:suppressAutoHyphens w:val="0"/>
      </w:pPr>
      <w:r w:rsidRPr="00CD659D">
        <w:rPr>
          <w:i/>
        </w:rPr>
        <w:t>Aušra Kumetaitienė</w:t>
      </w:r>
      <w:r>
        <w:t xml:space="preserve"> – Informacinės visuomenės plėtros komiteto prie Lietuvos Respubl</w:t>
      </w:r>
      <w:r>
        <w:t>i</w:t>
      </w:r>
      <w:r>
        <w:t>kos Vyriausybės, Elektroninių ryšių ir inovacijų skyriaus vedėjos pavaduotoja;</w:t>
      </w:r>
    </w:p>
    <w:p w:rsidR="00CD659D" w:rsidRDefault="00CD659D" w:rsidP="005B524E">
      <w:pPr>
        <w:pStyle w:val="ListParagraph"/>
        <w:numPr>
          <w:ilvl w:val="0"/>
          <w:numId w:val="59"/>
        </w:numPr>
        <w:suppressAutoHyphens w:val="0"/>
      </w:pPr>
      <w:r w:rsidRPr="00CD659D">
        <w:rPr>
          <w:i/>
        </w:rPr>
        <w:t>Paulius Subačius</w:t>
      </w:r>
      <w:r>
        <w:t xml:space="preserve"> – Švietimo ir mokslo ministro visuomeninis konsultantas;</w:t>
      </w:r>
    </w:p>
    <w:p w:rsidR="00CD659D" w:rsidRDefault="00CD659D" w:rsidP="005B524E">
      <w:pPr>
        <w:pStyle w:val="ListParagraph"/>
        <w:numPr>
          <w:ilvl w:val="0"/>
          <w:numId w:val="59"/>
        </w:numPr>
        <w:suppressAutoHyphens w:val="0"/>
      </w:pPr>
      <w:r w:rsidRPr="00CD659D">
        <w:rPr>
          <w:i/>
        </w:rPr>
        <w:t>Gintautas Žintelis</w:t>
      </w:r>
      <w:r>
        <w:t xml:space="preserve"> –Kauno technologijos universiteto prorektorius.</w:t>
      </w:r>
    </w:p>
    <w:p w:rsidR="00CD659D" w:rsidRDefault="00CD659D" w:rsidP="005B524E">
      <w:pPr>
        <w:suppressAutoHyphens w:val="0"/>
      </w:pPr>
      <w:r>
        <w:t xml:space="preserve">2009 m. lapkričio 13 </w:t>
      </w:r>
      <w:r w:rsidRPr="00CD659D">
        <w:t xml:space="preserve">d. </w:t>
      </w:r>
      <w:r>
        <w:t>Švietimo ir mokslo ministro įsakymu Nr.</w:t>
      </w:r>
      <w:r w:rsidR="00543D58">
        <w:t xml:space="preserve"> </w:t>
      </w:r>
      <w:r>
        <w:t>ISAK-</w:t>
      </w:r>
      <w:r w:rsidRPr="00CD659D">
        <w:t>2315</w:t>
      </w:r>
      <w:r>
        <w:t xml:space="preserve"> </w:t>
      </w:r>
      <w:r w:rsidR="00E52971">
        <w:t xml:space="preserve">ankstesnė taryba </w:t>
      </w:r>
      <w:r>
        <w:t>pripažin</w:t>
      </w:r>
      <w:r w:rsidRPr="00CD659D">
        <w:t>t</w:t>
      </w:r>
      <w:r>
        <w:t>a</w:t>
      </w:r>
      <w:r w:rsidRPr="00CD659D">
        <w:t xml:space="preserve"> netekusiu galios</w:t>
      </w:r>
      <w:r>
        <w:t xml:space="preserve">. </w:t>
      </w:r>
      <w:r w:rsidR="00CF2264">
        <w:t>Ją</w:t>
      </w:r>
      <w:r>
        <w:t xml:space="preserve"> sudarė:</w:t>
      </w:r>
    </w:p>
    <w:p w:rsidR="00511114" w:rsidRDefault="00511114" w:rsidP="005B524E">
      <w:pPr>
        <w:pStyle w:val="ListParagraph"/>
        <w:numPr>
          <w:ilvl w:val="0"/>
          <w:numId w:val="58"/>
        </w:numPr>
        <w:suppressAutoHyphens w:val="0"/>
      </w:pPr>
      <w:r w:rsidRPr="00511114">
        <w:rPr>
          <w:i/>
        </w:rPr>
        <w:t>Giedrius Viliūnas</w:t>
      </w:r>
      <w:r>
        <w:t xml:space="preserve"> – Švietimo ir mokslo ministerijos sekretorius (tarybos pirmininkas); </w:t>
      </w:r>
    </w:p>
    <w:p w:rsidR="00511114" w:rsidRDefault="00511114" w:rsidP="005B524E">
      <w:pPr>
        <w:pStyle w:val="ListParagraph"/>
        <w:numPr>
          <w:ilvl w:val="0"/>
          <w:numId w:val="58"/>
        </w:numPr>
        <w:suppressAutoHyphens w:val="0"/>
      </w:pPr>
      <w:r w:rsidRPr="00511114">
        <w:rPr>
          <w:i/>
        </w:rPr>
        <w:t>Albertas Žalys</w:t>
      </w:r>
      <w:r>
        <w:t xml:space="preserve"> – Švietimo ir mokslo ministerijos Mokslo ir technologijų departamento d</w:t>
      </w:r>
      <w:r>
        <w:t>i</w:t>
      </w:r>
      <w:r>
        <w:t xml:space="preserve">rektorius (tarybos pirmininko pavaduotojas); </w:t>
      </w:r>
    </w:p>
    <w:p w:rsidR="00511114" w:rsidRDefault="00511114" w:rsidP="005B524E">
      <w:pPr>
        <w:pStyle w:val="ListParagraph"/>
        <w:numPr>
          <w:ilvl w:val="0"/>
          <w:numId w:val="58"/>
        </w:numPr>
        <w:suppressAutoHyphens w:val="0"/>
      </w:pPr>
      <w:r w:rsidRPr="00511114">
        <w:rPr>
          <w:i/>
        </w:rPr>
        <w:t>Aleksandras Targamadzė</w:t>
      </w:r>
      <w:r>
        <w:t xml:space="preserve"> – Kauno technologijos universiteto Informatikos fakulteto d</w:t>
      </w:r>
      <w:r>
        <w:t>e</w:t>
      </w:r>
      <w:r>
        <w:t xml:space="preserve">kanas (programos koordinatorius); </w:t>
      </w:r>
    </w:p>
    <w:p w:rsidR="00511114" w:rsidRDefault="00511114" w:rsidP="005B524E">
      <w:pPr>
        <w:pStyle w:val="ListParagraph"/>
        <w:numPr>
          <w:ilvl w:val="0"/>
          <w:numId w:val="58"/>
        </w:numPr>
        <w:suppressAutoHyphens w:val="0"/>
      </w:pPr>
      <w:r w:rsidRPr="00511114">
        <w:rPr>
          <w:i/>
        </w:rPr>
        <w:t>Gintautas Bražiūnas</w:t>
      </w:r>
      <w:r>
        <w:t xml:space="preserve"> – Vilniaus kolegijos direktorius; </w:t>
      </w:r>
    </w:p>
    <w:p w:rsidR="00511114" w:rsidRDefault="00511114" w:rsidP="005B524E">
      <w:pPr>
        <w:pStyle w:val="ListParagraph"/>
        <w:numPr>
          <w:ilvl w:val="0"/>
          <w:numId w:val="58"/>
        </w:numPr>
        <w:suppressAutoHyphens w:val="0"/>
      </w:pPr>
      <w:r w:rsidRPr="00A763EB">
        <w:rPr>
          <w:i/>
        </w:rPr>
        <w:t>Alfonsas Daniūnas</w:t>
      </w:r>
      <w:r>
        <w:t xml:space="preserve"> – Vilniaus Gedimino technikos universiteto studijų prorektorius; </w:t>
      </w:r>
    </w:p>
    <w:p w:rsidR="00511114" w:rsidRDefault="00511114" w:rsidP="005B524E">
      <w:pPr>
        <w:pStyle w:val="ListParagraph"/>
        <w:numPr>
          <w:ilvl w:val="0"/>
          <w:numId w:val="58"/>
        </w:numPr>
        <w:suppressAutoHyphens w:val="0"/>
      </w:pPr>
      <w:r w:rsidRPr="00A763EB">
        <w:rPr>
          <w:i/>
        </w:rPr>
        <w:t>Gintautas Dzemyda</w:t>
      </w:r>
      <w:r>
        <w:t xml:space="preserve"> – Matematikos ir informatikos instituto direktorius; </w:t>
      </w:r>
    </w:p>
    <w:p w:rsidR="00511114" w:rsidRDefault="00511114" w:rsidP="005B524E">
      <w:pPr>
        <w:pStyle w:val="ListParagraph"/>
        <w:numPr>
          <w:ilvl w:val="0"/>
          <w:numId w:val="58"/>
        </w:numPr>
        <w:suppressAutoHyphens w:val="0"/>
      </w:pPr>
      <w:r w:rsidRPr="00A763EB">
        <w:rPr>
          <w:i/>
        </w:rPr>
        <w:t>Vita Minalgaitė</w:t>
      </w:r>
      <w:r>
        <w:t xml:space="preserve"> – Informacinės visuomenės plėtros komiteto prie Lietuvos Respublikos Vyriausybės Planavimo ir stebėsenos skyriaus vyriausioji specialistė; </w:t>
      </w:r>
    </w:p>
    <w:p w:rsidR="00511114" w:rsidRDefault="00511114" w:rsidP="005B524E">
      <w:pPr>
        <w:pStyle w:val="ListParagraph"/>
        <w:numPr>
          <w:ilvl w:val="0"/>
          <w:numId w:val="58"/>
        </w:numPr>
        <w:suppressAutoHyphens w:val="0"/>
      </w:pPr>
      <w:r w:rsidRPr="00A763EB">
        <w:rPr>
          <w:i/>
        </w:rPr>
        <w:t>Algirdas Monkevičius</w:t>
      </w:r>
      <w:r>
        <w:t xml:space="preserve"> – Lietuvos Respublikos Seimo Informacinės visuomenės plėtros komiteto narys; </w:t>
      </w:r>
    </w:p>
    <w:p w:rsidR="00511114" w:rsidRDefault="00511114" w:rsidP="005B524E">
      <w:pPr>
        <w:pStyle w:val="ListParagraph"/>
        <w:numPr>
          <w:ilvl w:val="0"/>
          <w:numId w:val="58"/>
        </w:numPr>
        <w:suppressAutoHyphens w:val="0"/>
      </w:pPr>
      <w:r w:rsidRPr="00A763EB">
        <w:rPr>
          <w:i/>
        </w:rPr>
        <w:t>Laimutis Telksnys</w:t>
      </w:r>
      <w:r>
        <w:t xml:space="preserve"> – Matematikos informatikos instituto Atpažinimo procesų skyriaus v</w:t>
      </w:r>
      <w:r>
        <w:t>a</w:t>
      </w:r>
      <w:r>
        <w:t xml:space="preserve">dovas; </w:t>
      </w:r>
    </w:p>
    <w:p w:rsidR="00511114" w:rsidRDefault="00511114" w:rsidP="005B524E">
      <w:pPr>
        <w:pStyle w:val="ListParagraph"/>
        <w:numPr>
          <w:ilvl w:val="0"/>
          <w:numId w:val="58"/>
        </w:numPr>
        <w:suppressAutoHyphens w:val="0"/>
      </w:pPr>
      <w:r w:rsidRPr="00A763EB">
        <w:rPr>
          <w:i/>
        </w:rPr>
        <w:t>Jūras Banys</w:t>
      </w:r>
      <w:r>
        <w:t xml:space="preserve"> – Vilniaus universiteto mokslo reikalų prorektorius; </w:t>
      </w:r>
    </w:p>
    <w:p w:rsidR="00511114" w:rsidRDefault="00511114" w:rsidP="005B524E">
      <w:pPr>
        <w:pStyle w:val="ListParagraph"/>
        <w:numPr>
          <w:ilvl w:val="0"/>
          <w:numId w:val="58"/>
        </w:numPr>
        <w:suppressAutoHyphens w:val="0"/>
      </w:pPr>
      <w:r w:rsidRPr="00A763EB">
        <w:rPr>
          <w:i/>
        </w:rPr>
        <w:t>Linas Vingelis</w:t>
      </w:r>
      <w:r>
        <w:t xml:space="preserve"> – Lietuvos Respublikos Vyriausybės kanceliarijos Švietimo, mokslo ir ku</w:t>
      </w:r>
      <w:r>
        <w:t>l</w:t>
      </w:r>
      <w:r>
        <w:t xml:space="preserve">tūros skyriaus vedėjas; </w:t>
      </w:r>
    </w:p>
    <w:p w:rsidR="00511114" w:rsidRDefault="00511114" w:rsidP="005B524E">
      <w:pPr>
        <w:pStyle w:val="ListParagraph"/>
        <w:numPr>
          <w:ilvl w:val="0"/>
          <w:numId w:val="58"/>
        </w:numPr>
        <w:suppressAutoHyphens w:val="0"/>
      </w:pPr>
      <w:r w:rsidRPr="00A763EB">
        <w:rPr>
          <w:i/>
        </w:rPr>
        <w:t>Gintautas Žintelis</w:t>
      </w:r>
      <w:r>
        <w:t xml:space="preserve"> – Kauno technologijos universiteto strateginės plėtros prorektorius; </w:t>
      </w:r>
    </w:p>
    <w:p w:rsidR="00511114" w:rsidRDefault="00511114" w:rsidP="005B524E">
      <w:pPr>
        <w:pStyle w:val="ListParagraph"/>
        <w:numPr>
          <w:ilvl w:val="0"/>
          <w:numId w:val="58"/>
        </w:numPr>
        <w:suppressAutoHyphens w:val="0"/>
      </w:pPr>
      <w:r w:rsidRPr="00A763EB">
        <w:rPr>
          <w:i/>
        </w:rPr>
        <w:t>Stanislovas Žurauskas</w:t>
      </w:r>
      <w:r>
        <w:t xml:space="preserve"> – Švietimo ir mokslo ministerijos Mokslo ir technologijų skyriaus vedėjo pavaduotojas; </w:t>
      </w:r>
    </w:p>
    <w:p w:rsidR="00511114" w:rsidRDefault="00511114" w:rsidP="005B524E">
      <w:pPr>
        <w:pStyle w:val="ListParagraph"/>
        <w:numPr>
          <w:ilvl w:val="0"/>
          <w:numId w:val="58"/>
        </w:numPr>
        <w:suppressAutoHyphens w:val="0"/>
      </w:pPr>
      <w:r w:rsidRPr="00A763EB">
        <w:rPr>
          <w:i/>
        </w:rPr>
        <w:t>Juozas Galginaitis</w:t>
      </w:r>
      <w:r>
        <w:t xml:space="preserve"> – Vilniaus universiteto akademinių reikalų prorektorius;</w:t>
      </w:r>
    </w:p>
    <w:p w:rsidR="000433CA" w:rsidRDefault="000433CA" w:rsidP="000433CA">
      <w:pPr>
        <w:suppressAutoHyphens w:val="0"/>
      </w:pPr>
    </w:p>
    <w:p w:rsidR="000433CA" w:rsidRDefault="000433CA" w:rsidP="000433CA">
      <w:pPr>
        <w:suppressAutoHyphens w:val="0"/>
      </w:pPr>
    </w:p>
    <w:p w:rsidR="00A10B7D" w:rsidRPr="000D722D" w:rsidRDefault="00895F5C" w:rsidP="005B524E">
      <w:pPr>
        <w:pStyle w:val="Heading1"/>
        <w:suppressAutoHyphens w:val="0"/>
      </w:pPr>
      <w:bookmarkStart w:id="46" w:name="_Toc248687471"/>
      <w:bookmarkStart w:id="47" w:name="_Toc251011260"/>
      <w:r w:rsidRPr="000D722D">
        <w:lastRenderedPageBreak/>
        <w:t>Viešojo ir privataus sektorių partnerystės gal</w:t>
      </w:r>
      <w:r w:rsidRPr="000D722D">
        <w:t>i</w:t>
      </w:r>
      <w:r w:rsidRPr="000D722D">
        <w:t xml:space="preserve">mybių ir </w:t>
      </w:r>
      <w:proofErr w:type="gramStart"/>
      <w:r w:rsidRPr="000D722D">
        <w:t>poreikio</w:t>
      </w:r>
      <w:proofErr w:type="gramEnd"/>
      <w:r w:rsidRPr="000D722D">
        <w:t xml:space="preserve"> vertinimo Lietuvos </w:t>
      </w:r>
      <w:r w:rsidR="00F00398" w:rsidRPr="000D722D">
        <w:t>virtualaus universiteto programoje</w:t>
      </w:r>
      <w:r w:rsidRPr="000D722D">
        <w:t xml:space="preserve"> </w:t>
      </w:r>
      <w:r w:rsidR="00A10B7D" w:rsidRPr="000D722D">
        <w:t>metodologija</w:t>
      </w:r>
      <w:bookmarkEnd w:id="46"/>
      <w:bookmarkEnd w:id="47"/>
    </w:p>
    <w:p w:rsidR="00DC247E" w:rsidRDefault="00455D08" w:rsidP="005B524E">
      <w:pPr>
        <w:pStyle w:val="Heading2"/>
        <w:suppressAutoHyphens w:val="0"/>
      </w:pPr>
      <w:bookmarkStart w:id="48" w:name="_Toc251011261"/>
      <w:r w:rsidRPr="00455D08">
        <w:t xml:space="preserve">Tyrimo </w:t>
      </w:r>
      <w:r w:rsidRPr="008514E3">
        <w:t>me</w:t>
      </w:r>
      <w:r w:rsidR="00A92841" w:rsidRPr="008514E3">
        <w:t>todologija</w:t>
      </w:r>
      <w:bookmarkEnd w:id="48"/>
    </w:p>
    <w:p w:rsidR="005A0A3F" w:rsidRDefault="00442C3A" w:rsidP="005B524E">
      <w:pPr>
        <w:suppressAutoHyphens w:val="0"/>
      </w:pPr>
      <w:r w:rsidRPr="00442C3A">
        <w:rPr>
          <w:i/>
        </w:rPr>
        <w:t>Tyrimo tikslas</w:t>
      </w:r>
      <w:r>
        <w:rPr>
          <w:b/>
        </w:rPr>
        <w:t xml:space="preserve"> </w:t>
      </w:r>
      <w:r w:rsidRPr="001D1438">
        <w:t xml:space="preserve">– pagrįsti literatūros </w:t>
      </w:r>
      <w:r>
        <w:t xml:space="preserve">ir atvejų </w:t>
      </w:r>
      <w:r w:rsidRPr="001D1438">
        <w:t>analizės būdu išrinktus v</w:t>
      </w:r>
      <w:r w:rsidRPr="002670C8">
        <w:rPr>
          <w:kern w:val="24"/>
        </w:rPr>
        <w:t>iešojo ir privataus sektorių partnerystė</w:t>
      </w:r>
      <w:r w:rsidRPr="001D1438">
        <w:t xml:space="preserve">s galimybių taikymą </w:t>
      </w:r>
      <w:r>
        <w:t xml:space="preserve">bei poreikį Lietuvos virtualaus universiteto programoje. </w:t>
      </w:r>
      <w:r w:rsidR="00895F5C" w:rsidRPr="001D1438">
        <w:t>Tyrimui bu</w:t>
      </w:r>
      <w:r w:rsidR="00455D08">
        <w:t>vo</w:t>
      </w:r>
      <w:r w:rsidR="00895F5C" w:rsidRPr="001D1438">
        <w:t xml:space="preserve"> panaudotas ekspertų vertinimo metodas. Anot </w:t>
      </w:r>
      <w:r w:rsidR="00F1462B">
        <w:t xml:space="preserve">tyrėjų (Kardelis, </w:t>
      </w:r>
      <w:r w:rsidR="00895F5C" w:rsidRPr="001D1438">
        <w:t>2002</w:t>
      </w:r>
      <w:r w:rsidR="002A0B84">
        <w:t>;</w:t>
      </w:r>
      <w:r w:rsidR="002A0B84" w:rsidRPr="002A0B84">
        <w:t xml:space="preserve"> </w:t>
      </w:r>
      <w:r w:rsidR="002A0B84" w:rsidRPr="001D1438">
        <w:t>Tidiki</w:t>
      </w:r>
      <w:r w:rsidR="002A0B84">
        <w:t>s, 2003</w:t>
      </w:r>
      <w:r w:rsidR="00895F5C" w:rsidRPr="001D1438">
        <w:t>), šis metodas yra tinkam</w:t>
      </w:r>
      <w:r w:rsidR="0013777C">
        <w:t>iausias</w:t>
      </w:r>
      <w:r w:rsidR="00895F5C" w:rsidRPr="001D1438">
        <w:t xml:space="preserve"> duomenų patikrinimui arba pagrindimui.</w:t>
      </w:r>
      <w:r w:rsidR="002369D9">
        <w:t xml:space="preserve"> </w:t>
      </w:r>
      <w:r w:rsidR="005A0A3F">
        <w:t>Ekspertas – asmuo, kuris dėl savo profesinės arba gyvenimo patirties turi didžiausią kompetenciją ir patikimiausią bei pakankamai išsamią inform</w:t>
      </w:r>
      <w:r w:rsidR="005A0A3F">
        <w:t>a</w:t>
      </w:r>
      <w:r w:rsidR="005A0A3F">
        <w:t xml:space="preserve">ciją apie </w:t>
      </w:r>
      <w:r w:rsidR="00C02BCE">
        <w:t>tiriamą</w:t>
      </w:r>
      <w:r w:rsidR="005A0A3F">
        <w:t xml:space="preserve"> problemą (Tidikis, 2003)</w:t>
      </w:r>
      <w:r w:rsidR="0013777C">
        <w:t xml:space="preserve">. </w:t>
      </w:r>
      <w:r w:rsidR="00455D08">
        <w:t xml:space="preserve">Be to, </w:t>
      </w:r>
      <w:r w:rsidR="002B4AF1">
        <w:t xml:space="preserve">realaus pasaulio praktikos panaudojimas – yra gerai žinomas metodas </w:t>
      </w:r>
      <w:r w:rsidR="008E490C">
        <w:t>teoriniam pagrindui kurti bei vystyti pačią teoriją</w:t>
      </w:r>
      <w:r w:rsidR="00455D08">
        <w:t xml:space="preserve"> (</w:t>
      </w:r>
      <w:proofErr w:type="spellStart"/>
      <w:r w:rsidR="00455D08">
        <w:t>Eisenhardt</w:t>
      </w:r>
      <w:proofErr w:type="spellEnd"/>
      <w:r w:rsidR="00455D08">
        <w:t>, 1989)</w:t>
      </w:r>
      <w:r w:rsidR="002B4AF1">
        <w:t>.</w:t>
      </w:r>
    </w:p>
    <w:p w:rsidR="00A6278F" w:rsidRDefault="002369D9" w:rsidP="005B524E">
      <w:pPr>
        <w:suppressAutoHyphens w:val="0"/>
      </w:pPr>
      <w:r>
        <w:t xml:space="preserve">Ekspertų vertinimui atlikti pasirinktas </w:t>
      </w:r>
      <w:r w:rsidRPr="002369D9">
        <w:rPr>
          <w:i/>
        </w:rPr>
        <w:t>interviu</w:t>
      </w:r>
      <w:r w:rsidR="009D5F1D" w:rsidRPr="009D5F1D">
        <w:t>, kuris yra</w:t>
      </w:r>
      <w:r w:rsidR="009D5F1D">
        <w:t xml:space="preserve"> vienas iš efektyvių kokybinio tyrimo metodų. (</w:t>
      </w:r>
      <w:r w:rsidR="008713CA" w:rsidRPr="00F1462B">
        <w:t>McNamara,1999</w:t>
      </w:r>
      <w:r w:rsidR="008713CA">
        <w:t xml:space="preserve">; </w:t>
      </w:r>
      <w:r w:rsidR="009D5F1D">
        <w:t>Tidikis, 2003).</w:t>
      </w:r>
      <w:r>
        <w:t xml:space="preserve"> </w:t>
      </w:r>
      <w:r w:rsidRPr="002369D9">
        <w:t>Interviu (</w:t>
      </w:r>
      <w:r w:rsidRPr="002369D9">
        <w:rPr>
          <w:i/>
        </w:rPr>
        <w:t xml:space="preserve">angl. </w:t>
      </w:r>
      <w:r w:rsidRPr="00543D58">
        <w:rPr>
          <w:i/>
          <w:lang w:val="en-US"/>
        </w:rPr>
        <w:t>interview</w:t>
      </w:r>
      <w:r w:rsidRPr="002369D9">
        <w:rPr>
          <w:i/>
        </w:rPr>
        <w:t xml:space="preserve"> – pokalbis</w:t>
      </w:r>
      <w:r w:rsidRPr="002369D9">
        <w:t>) – socialinės psichol</w:t>
      </w:r>
      <w:r w:rsidRPr="002369D9">
        <w:t>o</w:t>
      </w:r>
      <w:r w:rsidRPr="002369D9">
        <w:t>ginės informacijos gavimas žodine apklausa, naudojama siekiant sukurti darbines hipotezes, domina</w:t>
      </w:r>
      <w:r w:rsidRPr="002369D9">
        <w:t>n</w:t>
      </w:r>
      <w:r w:rsidRPr="002369D9">
        <w:t>čias tyrėją, norint papildyti ar patikslinti duomenis, gautus kitais tyrimo metodais, ar panaudoti kaip pagrindinį duomenų rinkimo būdą</w:t>
      </w:r>
      <w:r>
        <w:t xml:space="preserve"> (</w:t>
      </w:r>
      <w:r w:rsidRPr="002369D9">
        <w:t>Tarptautinių žodžių žodynas</w:t>
      </w:r>
      <w:r>
        <w:t xml:space="preserve">, </w:t>
      </w:r>
      <w:r w:rsidR="00111129" w:rsidRPr="00111129">
        <w:t>2001</w:t>
      </w:r>
      <w:r>
        <w:t>)</w:t>
      </w:r>
      <w:r w:rsidR="007159C4">
        <w:t>.</w:t>
      </w:r>
      <w:r w:rsidR="00961F25">
        <w:t xml:space="preserve"> </w:t>
      </w:r>
    </w:p>
    <w:p w:rsidR="00036D65" w:rsidRDefault="00365B40" w:rsidP="005B524E">
      <w:pPr>
        <w:suppressAutoHyphens w:val="0"/>
      </w:pPr>
      <w:r>
        <w:t xml:space="preserve">Norint išvengti </w:t>
      </w:r>
      <w:r w:rsidRPr="00B71FA4">
        <w:t>„</w:t>
      </w:r>
      <w:r w:rsidR="00CB273F" w:rsidRPr="0092394E">
        <w:t>interviuotojo</w:t>
      </w:r>
      <w:r>
        <w:t xml:space="preserve"> efekto</w:t>
      </w:r>
      <w:r w:rsidRPr="00B71FA4">
        <w:t>“</w:t>
      </w:r>
      <w:r>
        <w:t xml:space="preserve">, kai pokalbio </w:t>
      </w:r>
      <w:r w:rsidRPr="00365B40">
        <w:t>vedantysis</w:t>
      </w:r>
      <w:r w:rsidR="00F63B58">
        <w:t xml:space="preserve"> daro įtaką </w:t>
      </w:r>
      <w:r w:rsidR="00F63B58" w:rsidRPr="00F63B58">
        <w:t>atsakinėjan</w:t>
      </w:r>
      <w:r w:rsidR="00F63B58">
        <w:t>čiajam, b</w:t>
      </w:r>
      <w:r w:rsidR="00F63B58">
        <w:t>u</w:t>
      </w:r>
      <w:r w:rsidR="00F63B58">
        <w:t xml:space="preserve">vo pasirinktas </w:t>
      </w:r>
      <w:r w:rsidR="00F63B58" w:rsidRPr="00F63B58">
        <w:rPr>
          <w:i/>
        </w:rPr>
        <w:t>pusiau standartizuotas interviu</w:t>
      </w:r>
      <w:r w:rsidR="00F63B58">
        <w:rPr>
          <w:i/>
        </w:rPr>
        <w:t xml:space="preserve"> (rus</w:t>
      </w:r>
      <w:r w:rsidR="00F63B58" w:rsidRPr="00DD7932">
        <w:rPr>
          <w:i/>
        </w:rPr>
        <w:t>.</w:t>
      </w:r>
      <w:r w:rsidR="00DD7932" w:rsidRPr="00DD7932">
        <w:rPr>
          <w:i/>
        </w:rPr>
        <w:t xml:space="preserve"> </w:t>
      </w:r>
      <w:r w:rsidR="00DD7932" w:rsidRPr="00FF361D">
        <w:rPr>
          <w:i/>
          <w:kern w:val="0"/>
          <w:szCs w:val="23"/>
          <w:lang w:val="ru-RU"/>
        </w:rPr>
        <w:t>полуформализ</w:t>
      </w:r>
      <w:r w:rsidR="00DD7932" w:rsidRPr="00FF361D">
        <w:rPr>
          <w:i/>
        </w:rPr>
        <w:t>о</w:t>
      </w:r>
      <w:r w:rsidR="00DD7932" w:rsidRPr="00FF361D">
        <w:rPr>
          <w:i/>
          <w:kern w:val="0"/>
          <w:szCs w:val="23"/>
          <w:lang w:val="ru-RU"/>
        </w:rPr>
        <w:t>ванное интервью</w:t>
      </w:r>
      <w:r w:rsidR="00DD7932" w:rsidRPr="002670C8">
        <w:rPr>
          <w:kern w:val="0"/>
          <w:szCs w:val="23"/>
        </w:rPr>
        <w:t>), kuris,</w:t>
      </w:r>
      <w:r>
        <w:t xml:space="preserve"> </w:t>
      </w:r>
      <w:r w:rsidR="00DD7932">
        <w:t>a</w:t>
      </w:r>
      <w:r w:rsidR="00A6278F">
        <w:t xml:space="preserve">not </w:t>
      </w:r>
      <w:proofErr w:type="spellStart"/>
      <w:r w:rsidR="00A6278F">
        <w:t>Veselovos</w:t>
      </w:r>
      <w:proofErr w:type="spellEnd"/>
      <w:r w:rsidR="00A6278F">
        <w:t xml:space="preserve"> (1994, 1995), </w:t>
      </w:r>
      <w:r w:rsidR="00DD7932">
        <w:t xml:space="preserve">subalansuotai </w:t>
      </w:r>
      <w:proofErr w:type="spellStart"/>
      <w:r w:rsidR="00DD7932">
        <w:t>nedirektyvus</w:t>
      </w:r>
      <w:proofErr w:type="spellEnd"/>
      <w:r w:rsidR="00DD7932">
        <w:t xml:space="preserve">, t.y. </w:t>
      </w:r>
      <w:r w:rsidR="00D6771B">
        <w:t>daranti</w:t>
      </w:r>
      <w:r w:rsidR="009D5F1D">
        <w:t xml:space="preserve">s </w:t>
      </w:r>
      <w:r w:rsidR="009D5F1D" w:rsidRPr="009D5F1D">
        <w:t xml:space="preserve">teigiamą įtaką </w:t>
      </w:r>
      <w:r w:rsidR="001336AD">
        <w:t xml:space="preserve">bendravimui </w:t>
      </w:r>
      <w:r w:rsidR="009D5F1D" w:rsidRPr="009D5F1D">
        <w:t>ir skat</w:t>
      </w:r>
      <w:r w:rsidR="009D5F1D" w:rsidRPr="009D5F1D">
        <w:t>i</w:t>
      </w:r>
      <w:r w:rsidR="009D5F1D" w:rsidRPr="009D5F1D">
        <w:t>na</w:t>
      </w:r>
      <w:r w:rsidR="00D6771B">
        <w:t>nti</w:t>
      </w:r>
      <w:r w:rsidR="009D5F1D">
        <w:t>s</w:t>
      </w:r>
      <w:r w:rsidR="009D5F1D" w:rsidRPr="009D5F1D">
        <w:t xml:space="preserve"> </w:t>
      </w:r>
      <w:r w:rsidR="001336AD">
        <w:t>dalyvių savitarpio supratimą.</w:t>
      </w:r>
      <w:r w:rsidR="00F5523D">
        <w:t xml:space="preserve"> Š</w:t>
      </w:r>
      <w:r w:rsidR="00F5523D" w:rsidRPr="00F5523D">
        <w:t>iam metodui būdinga vidinė struktūra, tačiau respondentui leidžiama netrukdomai reikšti savo mintis. Jis taikomas apklausiant specialistus, nes jie nelinkę kalbėti nežinoma tema.</w:t>
      </w:r>
    </w:p>
    <w:p w:rsidR="00036D65" w:rsidRDefault="002333A5" w:rsidP="005B524E">
      <w:pPr>
        <w:suppressAutoHyphens w:val="0"/>
      </w:pPr>
      <w:proofErr w:type="spellStart"/>
      <w:r w:rsidRPr="006844BF">
        <w:t>Guest</w:t>
      </w:r>
      <w:proofErr w:type="spellEnd"/>
      <w:r>
        <w:t xml:space="preserve"> et al. (2006) ir </w:t>
      </w:r>
      <w:r w:rsidR="00036D65">
        <w:t>Yin (2008) pažymi, kad tokio pobūdžio tyrimui atlikti užtenka 5-8 ekspertų interviu.</w:t>
      </w:r>
    </w:p>
    <w:p w:rsidR="00DC247E" w:rsidRDefault="003531F4" w:rsidP="005B524E">
      <w:pPr>
        <w:pStyle w:val="Heading2"/>
        <w:suppressAutoHyphens w:val="0"/>
      </w:pPr>
      <w:bookmarkStart w:id="49" w:name="_Toc251011262"/>
      <w:r w:rsidRPr="003531F4">
        <w:t xml:space="preserve">Respondentų </w:t>
      </w:r>
      <w:r w:rsidR="008514E3">
        <w:t>charakteristikos</w:t>
      </w:r>
      <w:bookmarkEnd w:id="49"/>
    </w:p>
    <w:p w:rsidR="00F641BB" w:rsidRDefault="003531F4" w:rsidP="00FF361D">
      <w:pPr>
        <w:suppressAutoHyphens w:val="0"/>
      </w:pPr>
      <w:r>
        <w:t xml:space="preserve"> </w:t>
      </w:r>
      <w:r w:rsidR="00455D08">
        <w:t>Interviu</w:t>
      </w:r>
      <w:r w:rsidR="002676DA">
        <w:t xml:space="preserve"> </w:t>
      </w:r>
      <w:r w:rsidR="00455D08">
        <w:t xml:space="preserve">buvo pakviesti dalyvauti </w:t>
      </w:r>
      <w:r w:rsidR="002676DA" w:rsidRPr="002670C8">
        <w:rPr>
          <w:kern w:val="0"/>
          <w:szCs w:val="23"/>
        </w:rPr>
        <w:t>Lietuvoje dirbantys eksper</w:t>
      </w:r>
      <w:r w:rsidR="00FF1A4F" w:rsidRPr="002670C8">
        <w:rPr>
          <w:kern w:val="0"/>
          <w:szCs w:val="23"/>
        </w:rPr>
        <w:t>tai, atsakingi arba dalyvavę</w:t>
      </w:r>
      <w:r w:rsidR="002676DA" w:rsidRPr="002670C8">
        <w:rPr>
          <w:kern w:val="0"/>
          <w:szCs w:val="23"/>
        </w:rPr>
        <w:t xml:space="preserve"> organ</w:t>
      </w:r>
      <w:r w:rsidR="002676DA" w:rsidRPr="002670C8">
        <w:rPr>
          <w:kern w:val="0"/>
          <w:szCs w:val="23"/>
        </w:rPr>
        <w:t>i</w:t>
      </w:r>
      <w:r w:rsidR="002676DA" w:rsidRPr="002670C8">
        <w:rPr>
          <w:kern w:val="0"/>
          <w:szCs w:val="23"/>
        </w:rPr>
        <w:t xml:space="preserve">zuojant ar realizuojant </w:t>
      </w:r>
      <w:r w:rsidR="002676DA" w:rsidRPr="00780409">
        <w:t>V</w:t>
      </w:r>
      <w:r w:rsidR="002676DA">
        <w:t xml:space="preserve">PSP projektus </w:t>
      </w:r>
      <w:r w:rsidR="00455D08">
        <w:t>arba</w:t>
      </w:r>
      <w:r w:rsidR="00780409" w:rsidRPr="00780409">
        <w:t xml:space="preserve"> kurių </w:t>
      </w:r>
      <w:r w:rsidR="00F641BB" w:rsidRPr="00780409">
        <w:t xml:space="preserve">veikla siejasi su </w:t>
      </w:r>
      <w:r w:rsidR="00455D08">
        <w:t xml:space="preserve">LVU kūrimu bei </w:t>
      </w:r>
      <w:r w:rsidR="006930A0">
        <w:t>e. mokymu(si)</w:t>
      </w:r>
      <w:r w:rsidR="007F4F4B">
        <w:t xml:space="preserve">. Norint sumažinti tyrimo </w:t>
      </w:r>
      <w:r w:rsidR="00533189">
        <w:t xml:space="preserve">patikimo </w:t>
      </w:r>
      <w:r w:rsidR="007F4F4B">
        <w:t>paklaidą</w:t>
      </w:r>
      <w:r w:rsidR="007F4F4B" w:rsidRPr="00FF3AA8">
        <w:t xml:space="preserve">, respondentai </w:t>
      </w:r>
      <w:r w:rsidR="007F4F4B">
        <w:t xml:space="preserve">buvo parinkti tokiu būdu, kad jie </w:t>
      </w:r>
      <w:r w:rsidR="007F4F4B" w:rsidRPr="00FF3AA8">
        <w:t>neb</w:t>
      </w:r>
      <w:r w:rsidR="007F4F4B">
        <w:t>ūtų</w:t>
      </w:r>
      <w:r w:rsidR="007F4F4B" w:rsidRPr="00FF3AA8">
        <w:t xml:space="preserve"> </w:t>
      </w:r>
      <w:r w:rsidR="007F4F4B">
        <w:t>dalyvavę tame pačiame projekte</w:t>
      </w:r>
      <w:r w:rsidR="007F4F4B" w:rsidRPr="00FF3AA8">
        <w:t>.</w:t>
      </w:r>
      <w:r w:rsidR="007F4F4B">
        <w:t xml:space="preserve"> </w:t>
      </w:r>
      <w:r w:rsidR="00231700" w:rsidRPr="00231700">
        <w:t>Šiame tyrime ekspert</w:t>
      </w:r>
      <w:r w:rsidR="00893DA5">
        <w:t>ams</w:t>
      </w:r>
      <w:r w:rsidR="00231700" w:rsidRPr="00231700">
        <w:t xml:space="preserve"> atstovavo</w:t>
      </w:r>
      <w:r w:rsidR="00C55A85">
        <w:t xml:space="preserve"> LVU tarybos</w:t>
      </w:r>
      <w:r w:rsidR="00C55A85" w:rsidRPr="00C55A85">
        <w:t>, verslo ir mokslo atstov</w:t>
      </w:r>
      <w:r w:rsidR="00C55A85">
        <w:t>ai</w:t>
      </w:r>
      <w:r w:rsidR="00231700">
        <w:t>:</w:t>
      </w:r>
    </w:p>
    <w:p w:rsidR="00F00398" w:rsidRDefault="00F00398" w:rsidP="005B524E">
      <w:pPr>
        <w:pStyle w:val="BodyText"/>
        <w:numPr>
          <w:ilvl w:val="0"/>
          <w:numId w:val="34"/>
        </w:numPr>
        <w:suppressAutoHyphens w:val="0"/>
      </w:pPr>
      <w:r w:rsidRPr="00F00398">
        <w:rPr>
          <w:i/>
        </w:rPr>
        <w:t>Paulius Subačius</w:t>
      </w:r>
      <w:r>
        <w:t xml:space="preserve"> – </w:t>
      </w:r>
      <w:r w:rsidRPr="00780409">
        <w:t>Švietimo ir mokslo ministro visuomeninis konsultantas;</w:t>
      </w:r>
    </w:p>
    <w:p w:rsidR="00D60B94" w:rsidRDefault="00C5717F" w:rsidP="005B524E">
      <w:pPr>
        <w:pStyle w:val="BodyText"/>
        <w:numPr>
          <w:ilvl w:val="0"/>
          <w:numId w:val="34"/>
        </w:numPr>
        <w:suppressAutoHyphens w:val="0"/>
      </w:pPr>
      <w:r w:rsidRPr="00F00398">
        <w:rPr>
          <w:i/>
        </w:rPr>
        <w:t>Saulius Norvaišas</w:t>
      </w:r>
      <w:r w:rsidR="004C5060">
        <w:t xml:space="preserve"> – </w:t>
      </w:r>
      <w:r>
        <w:t xml:space="preserve">Mykolo </w:t>
      </w:r>
      <w:r w:rsidR="001A6EFF">
        <w:t>R</w:t>
      </w:r>
      <w:r w:rsidR="00F15E75">
        <w:t>omerio</w:t>
      </w:r>
      <w:r>
        <w:t xml:space="preserve"> universiteto, </w:t>
      </w:r>
      <w:r w:rsidRPr="00C5717F">
        <w:t>So</w:t>
      </w:r>
      <w:r>
        <w:t>cialinės informatikos fakulteto dekanas</w:t>
      </w:r>
      <w:r w:rsidR="002123C1">
        <w:t xml:space="preserve">, </w:t>
      </w:r>
      <w:r w:rsidR="002123C1">
        <w:lastRenderedPageBreak/>
        <w:t>įtinklintos mokymo(si) aplinkos vienas iš kūrėjų</w:t>
      </w:r>
      <w:r>
        <w:t>;</w:t>
      </w:r>
    </w:p>
    <w:p w:rsidR="004E4229" w:rsidRDefault="00D60B94" w:rsidP="005B524E">
      <w:pPr>
        <w:pStyle w:val="BodyText"/>
        <w:numPr>
          <w:ilvl w:val="0"/>
          <w:numId w:val="34"/>
        </w:numPr>
        <w:suppressAutoHyphens w:val="0"/>
      </w:pPr>
      <w:r w:rsidRPr="00D60B94">
        <w:rPr>
          <w:i/>
        </w:rPr>
        <w:t>Rimantas Petrauskas</w:t>
      </w:r>
      <w:r w:rsidR="004C5060">
        <w:t xml:space="preserve"> – </w:t>
      </w:r>
      <w:r>
        <w:t xml:space="preserve">Mykolo Romerio universiteto, Socialinės informatikos fakulteto </w:t>
      </w:r>
      <w:r w:rsidRPr="00D60B94">
        <w:t>Elek</w:t>
      </w:r>
      <w:r w:rsidRPr="00D60B94">
        <w:t>t</w:t>
      </w:r>
      <w:r w:rsidRPr="00D60B94">
        <w:t>roninio verslo katedr</w:t>
      </w:r>
      <w:r>
        <w:t>os vedėjas</w:t>
      </w:r>
      <w:r w:rsidR="006B103A">
        <w:t xml:space="preserve">, </w:t>
      </w:r>
      <w:r w:rsidR="006B103A" w:rsidRPr="006B103A">
        <w:t>E</w:t>
      </w:r>
      <w:r w:rsidR="006B103A">
        <w:t xml:space="preserve">uropos </w:t>
      </w:r>
      <w:r w:rsidR="006B103A" w:rsidRPr="006B103A">
        <w:t>K</w:t>
      </w:r>
      <w:r w:rsidR="006B103A">
        <w:t>omisijos</w:t>
      </w:r>
      <w:r w:rsidR="006B103A" w:rsidRPr="006B103A">
        <w:t xml:space="preserve"> „Mokymosi visą gyvenimą programos“ ERASMUS paprogramės daugiašali</w:t>
      </w:r>
      <w:r w:rsidR="006B103A">
        <w:t>o</w:t>
      </w:r>
      <w:r w:rsidR="006B103A" w:rsidRPr="006B103A">
        <w:t xml:space="preserve"> projekt</w:t>
      </w:r>
      <w:r w:rsidR="006B103A">
        <w:t>o</w:t>
      </w:r>
      <w:r w:rsidR="006B103A" w:rsidRPr="006B103A">
        <w:t xml:space="preserve"> „</w:t>
      </w:r>
      <w:r w:rsidR="006B103A" w:rsidRPr="00543D58">
        <w:rPr>
          <w:lang w:val="en-US"/>
        </w:rPr>
        <w:t>LAW&amp;ICT Shared Virtual Campus</w:t>
      </w:r>
      <w:r w:rsidR="006B103A" w:rsidRPr="006B103A">
        <w:t>“</w:t>
      </w:r>
      <w:r w:rsidR="006B103A">
        <w:t xml:space="preserve"> </w:t>
      </w:r>
      <w:r w:rsidR="00D874A9">
        <w:t>(</w:t>
      </w:r>
      <w:r w:rsidR="00D874A9" w:rsidRPr="00D874A9">
        <w:t>Virtual</w:t>
      </w:r>
      <w:r w:rsidR="00D874A9" w:rsidRPr="00D874A9">
        <w:t>u</w:t>
      </w:r>
      <w:r w:rsidR="00D874A9" w:rsidRPr="00D874A9">
        <w:t>sis teisės ir informatikos studijų universitetas</w:t>
      </w:r>
      <w:r w:rsidR="00D874A9">
        <w:t xml:space="preserve">) </w:t>
      </w:r>
      <w:r w:rsidR="006B103A">
        <w:t>dalyvis</w:t>
      </w:r>
      <w:r>
        <w:t>;</w:t>
      </w:r>
    </w:p>
    <w:p w:rsidR="00105886" w:rsidRDefault="004C5060" w:rsidP="005B524E">
      <w:pPr>
        <w:pStyle w:val="BodyText"/>
        <w:numPr>
          <w:ilvl w:val="0"/>
          <w:numId w:val="34"/>
        </w:numPr>
        <w:suppressAutoHyphens w:val="0"/>
      </w:pPr>
      <w:r w:rsidRPr="00FE33AF">
        <w:rPr>
          <w:i/>
        </w:rPr>
        <w:t>Dalia Baziukaitė</w:t>
      </w:r>
      <w:r>
        <w:t xml:space="preserve"> – Klaipėdos universiteto Gamtos ir matematikos mokslų fakulteto </w:t>
      </w:r>
      <w:r w:rsidR="00871AC8">
        <w:t>p</w:t>
      </w:r>
      <w:r w:rsidRPr="004C5060">
        <w:t>lėtros k</w:t>
      </w:r>
      <w:r w:rsidRPr="004C5060">
        <w:t>o</w:t>
      </w:r>
      <w:r w:rsidRPr="004C5060">
        <w:t>ordinatorė</w:t>
      </w:r>
      <w:r>
        <w:t xml:space="preserve">, </w:t>
      </w:r>
      <w:r w:rsidR="00871AC8">
        <w:t>n</w:t>
      </w:r>
      <w:r w:rsidRPr="004C5060">
        <w:t xml:space="preserve">uotolinio mokymo(si) grupės vadovė </w:t>
      </w:r>
      <w:r>
        <w:t>bei virtualios mokymosi aplinkos</w:t>
      </w:r>
      <w:r w:rsidRPr="004C5060">
        <w:t xml:space="preserve"> inžinierė</w:t>
      </w:r>
      <w:r w:rsidR="00CA1809">
        <w:t>, Nacionalinės distancinio mok</w:t>
      </w:r>
      <w:r w:rsidR="00B20AC4">
        <w:t>ymo asociacijos narė;</w:t>
      </w:r>
    </w:p>
    <w:p w:rsidR="00B20AC4" w:rsidRDefault="00B20AC4" w:rsidP="005B524E">
      <w:pPr>
        <w:pStyle w:val="BodyText"/>
        <w:numPr>
          <w:ilvl w:val="0"/>
          <w:numId w:val="34"/>
        </w:numPr>
        <w:suppressAutoHyphens w:val="0"/>
      </w:pPr>
      <w:r>
        <w:rPr>
          <w:i/>
        </w:rPr>
        <w:t xml:space="preserve">Jolita Meškelytė </w:t>
      </w:r>
      <w:r>
        <w:t>– Lietuvos Respublikos teisingumo ministerijos Teisės sistemos departamento Teisės aktų projektų ekspertizės s</w:t>
      </w:r>
      <w:r w:rsidR="00023757">
        <w:t>kyriaus vyriausioji specialistė;</w:t>
      </w:r>
    </w:p>
    <w:p w:rsidR="00023757" w:rsidRDefault="00023757" w:rsidP="005B524E">
      <w:pPr>
        <w:pStyle w:val="BodyText"/>
        <w:numPr>
          <w:ilvl w:val="0"/>
          <w:numId w:val="34"/>
        </w:numPr>
        <w:suppressAutoHyphens w:val="0"/>
      </w:pPr>
      <w:r>
        <w:rPr>
          <w:i/>
        </w:rPr>
        <w:t xml:space="preserve">Ramunė Norkutė </w:t>
      </w:r>
      <w:r>
        <w:t>– UAB „</w:t>
      </w:r>
      <w:r w:rsidRPr="00543D58">
        <w:rPr>
          <w:lang w:val="en-US"/>
        </w:rPr>
        <w:t>Idea Code</w:t>
      </w:r>
      <w:r>
        <w:t xml:space="preserve">“ direktorė, </w:t>
      </w:r>
      <w:r w:rsidR="00013FB9">
        <w:t xml:space="preserve">patogumo naudotis (angl. </w:t>
      </w:r>
      <w:r w:rsidR="00013FB9" w:rsidRPr="00543D58">
        <w:rPr>
          <w:i/>
          <w:lang w:val="en-US"/>
        </w:rPr>
        <w:t>usability</w:t>
      </w:r>
      <w:r w:rsidR="00013FB9">
        <w:t>) sertifiku</w:t>
      </w:r>
      <w:r w:rsidR="00013FB9">
        <w:t>o</w:t>
      </w:r>
      <w:r w:rsidR="00013FB9">
        <w:t xml:space="preserve">ta ekspertė, </w:t>
      </w:r>
      <w:r w:rsidR="00543D58">
        <w:t>Europos Komisijos</w:t>
      </w:r>
      <w:r w:rsidR="00013FB9">
        <w:t xml:space="preserve"> bei Azijos valstybių vyriausybių, verslo ir universitetų bendroji program</w:t>
      </w:r>
      <w:r w:rsidR="005C7DA9">
        <w:t>os</w:t>
      </w:r>
      <w:r w:rsidR="00013FB9">
        <w:t xml:space="preserve"> </w:t>
      </w:r>
      <w:r w:rsidR="00BB6F61">
        <w:t>„</w:t>
      </w:r>
      <w:r w:rsidR="00BB6F61" w:rsidRPr="00543D58">
        <w:rPr>
          <w:lang w:val="en-US"/>
        </w:rPr>
        <w:t xml:space="preserve">Executive Training </w:t>
      </w:r>
      <w:proofErr w:type="spellStart"/>
      <w:r w:rsidR="00BB6F61" w:rsidRPr="00543D58">
        <w:rPr>
          <w:lang w:val="en-US"/>
        </w:rPr>
        <w:t>Programme</w:t>
      </w:r>
      <w:proofErr w:type="spellEnd"/>
      <w:r w:rsidR="00BB6F61" w:rsidRPr="00543D58">
        <w:rPr>
          <w:lang w:val="en-US"/>
        </w:rPr>
        <w:t xml:space="preserve"> in Japan and Korea</w:t>
      </w:r>
      <w:r w:rsidR="00BB6F61">
        <w:t xml:space="preserve">“ </w:t>
      </w:r>
      <w:r w:rsidR="005C7DA9">
        <w:t>dalyvė;</w:t>
      </w:r>
    </w:p>
    <w:p w:rsidR="00F3452A" w:rsidRDefault="00F80665" w:rsidP="005B524E">
      <w:pPr>
        <w:pStyle w:val="BodyText"/>
        <w:numPr>
          <w:ilvl w:val="0"/>
          <w:numId w:val="34"/>
        </w:numPr>
        <w:suppressAutoHyphens w:val="0"/>
      </w:pPr>
      <w:r>
        <w:t>K</w:t>
      </w:r>
      <w:r w:rsidR="0077220F" w:rsidRPr="0077220F">
        <w:t xml:space="preserve">onsultacinės </w:t>
      </w:r>
      <w:r w:rsidR="009C1A6C">
        <w:t xml:space="preserve">ir audito </w:t>
      </w:r>
      <w:r w:rsidR="0077220F" w:rsidRPr="0077220F">
        <w:t>kompanijos</w:t>
      </w:r>
      <w:r w:rsidR="0077220F">
        <w:t xml:space="preserve"> </w:t>
      </w:r>
      <w:r w:rsidR="00C3055D" w:rsidRPr="00C3055D">
        <w:t>U</w:t>
      </w:r>
      <w:r w:rsidR="00C3055D">
        <w:t>AB „</w:t>
      </w:r>
      <w:proofErr w:type="spellStart"/>
      <w:r w:rsidR="00C3055D" w:rsidRPr="00543D58">
        <w:rPr>
          <w:lang w:val="en-US"/>
        </w:rPr>
        <w:t>Ernst&amp;Young</w:t>
      </w:r>
      <w:proofErr w:type="spellEnd"/>
      <w:r w:rsidR="00C3055D" w:rsidRPr="00543D58">
        <w:rPr>
          <w:lang w:val="en-US"/>
        </w:rPr>
        <w:t xml:space="preserve"> Baltic</w:t>
      </w:r>
      <w:r w:rsidR="00C3055D">
        <w:t xml:space="preserve">“ </w:t>
      </w:r>
      <w:r w:rsidR="00015156">
        <w:t>atstovas</w:t>
      </w:r>
      <w:r w:rsidR="00F3452A">
        <w:t>. Šis ekspertas page</w:t>
      </w:r>
      <w:r w:rsidR="00F3452A">
        <w:t>i</w:t>
      </w:r>
      <w:r w:rsidR="00F3452A">
        <w:t>davo, kad jo v</w:t>
      </w:r>
      <w:r w:rsidR="00D6771B">
        <w:t>ardas bei pavardė nebūtų minimi</w:t>
      </w:r>
      <w:r w:rsidR="00F3452A">
        <w:t xml:space="preserve">. </w:t>
      </w:r>
    </w:p>
    <w:p w:rsidR="00DC247E" w:rsidRDefault="000A3E7B" w:rsidP="005B524E">
      <w:pPr>
        <w:pStyle w:val="Heading2"/>
        <w:suppressAutoHyphens w:val="0"/>
      </w:pPr>
      <w:bookmarkStart w:id="50" w:name="_Toc251011263"/>
      <w:r w:rsidRPr="002F2F89">
        <w:t xml:space="preserve">Tyrimo </w:t>
      </w:r>
      <w:r w:rsidR="00BE4752">
        <w:t>eiga</w:t>
      </w:r>
      <w:bookmarkEnd w:id="50"/>
    </w:p>
    <w:p w:rsidR="0092394E" w:rsidRDefault="006C1D1E" w:rsidP="005B524E">
      <w:pPr>
        <w:suppressAutoHyphens w:val="0"/>
      </w:pPr>
      <w:r>
        <w:t xml:space="preserve">Dėl interviu buvo sutariama </w:t>
      </w:r>
      <w:r w:rsidRPr="006C1D1E">
        <w:t>ne mažiau kaip prieš parą.</w:t>
      </w:r>
      <w:r>
        <w:t xml:space="preserve"> Buvo nustatomi interviu laikas, vieta, pokalbio trukmė. </w:t>
      </w:r>
      <w:r w:rsidR="00691AC7" w:rsidRPr="00691AC7">
        <w:t>Kiekvienas</w:t>
      </w:r>
      <w:r w:rsidR="00691AC7">
        <w:t xml:space="preserve"> interviu,</w:t>
      </w:r>
      <w:r w:rsidR="00691AC7" w:rsidRPr="00691AC7">
        <w:t xml:space="preserve"> </w:t>
      </w:r>
      <w:r w:rsidR="00691AC7">
        <w:t>išskyrus paskutin</w:t>
      </w:r>
      <w:r w:rsidR="00023757">
        <w:t>ius</w:t>
      </w:r>
      <w:r w:rsidR="00691AC7">
        <w:t>,</w:t>
      </w:r>
      <w:r w:rsidR="005216A1">
        <w:t xml:space="preserve"> tru</w:t>
      </w:r>
      <w:r w:rsidR="00691AC7" w:rsidRPr="00691AC7">
        <w:t>ko</w:t>
      </w:r>
      <w:r w:rsidR="00691AC7">
        <w:t xml:space="preserve"> </w:t>
      </w:r>
      <w:r w:rsidR="00691AC7" w:rsidRPr="00691AC7">
        <w:t xml:space="preserve">vidutiniškai apie </w:t>
      </w:r>
      <w:r w:rsidR="00691AC7">
        <w:t>45</w:t>
      </w:r>
      <w:r w:rsidR="00691AC7" w:rsidRPr="00691AC7">
        <w:t xml:space="preserve"> minu</w:t>
      </w:r>
      <w:r w:rsidR="00691AC7">
        <w:t>tes</w:t>
      </w:r>
      <w:r w:rsidR="00F5523D">
        <w:t>. Bendr</w:t>
      </w:r>
      <w:r w:rsidR="00F5523D">
        <w:t>a</w:t>
      </w:r>
      <w:r w:rsidR="00F5523D">
        <w:t>vimas</w:t>
      </w:r>
      <w:r w:rsidR="00F5523D" w:rsidRPr="00F5523D">
        <w:t xml:space="preserve"> vyk</w:t>
      </w:r>
      <w:r w:rsidR="00F5523D">
        <w:t>o</w:t>
      </w:r>
      <w:r w:rsidR="00F5523D" w:rsidRPr="00F5523D">
        <w:t xml:space="preserve"> „vienas su vienu“</w:t>
      </w:r>
      <w:r w:rsidR="0092394E">
        <w:t>. Buvo</w:t>
      </w:r>
      <w:r w:rsidR="0092394E" w:rsidRPr="0092394E">
        <w:t xml:space="preserve"> ypatingai steng</w:t>
      </w:r>
      <w:r w:rsidR="0092394E">
        <w:t>iamasi</w:t>
      </w:r>
      <w:r w:rsidR="0092394E" w:rsidRPr="0092394E">
        <w:t>, kad pagalbinės interviuotojo frazės nebūtų pan</w:t>
      </w:r>
      <w:r w:rsidR="0092394E">
        <w:t>ašios į atsakymus</w:t>
      </w:r>
      <w:r w:rsidR="0092394E" w:rsidRPr="0092394E">
        <w:t>.</w:t>
      </w:r>
      <w:r w:rsidR="0092394E">
        <w:t xml:space="preserve"> </w:t>
      </w:r>
      <w:r w:rsidR="0092394E" w:rsidRPr="0092394E">
        <w:t xml:space="preserve">Pagalbinės frazės </w:t>
      </w:r>
      <w:r w:rsidR="0092394E">
        <w:t>buvo naudojamos</w:t>
      </w:r>
      <w:r w:rsidR="0092394E" w:rsidRPr="0092394E">
        <w:t xml:space="preserve"> tik tada, kai susidar</w:t>
      </w:r>
      <w:r w:rsidR="0092394E">
        <w:t>ydavo</w:t>
      </w:r>
      <w:r w:rsidR="0092394E" w:rsidRPr="0092394E">
        <w:t xml:space="preserve"> šios situacijos:</w:t>
      </w:r>
    </w:p>
    <w:p w:rsidR="0092394E" w:rsidRDefault="0092394E" w:rsidP="005B524E">
      <w:pPr>
        <w:pStyle w:val="ListParagraph"/>
        <w:numPr>
          <w:ilvl w:val="0"/>
          <w:numId w:val="41"/>
        </w:numPr>
        <w:suppressAutoHyphens w:val="0"/>
      </w:pPr>
      <w:r>
        <w:t>stoja ilga tyla – respondentas nebeturi ką pasakyti, nors jis dar nieko reikšmingo nepas</w:t>
      </w:r>
      <w:r>
        <w:t>a</w:t>
      </w:r>
      <w:r>
        <w:t>kė; šiuo atveju buvo bandoma atgaivinti pokalbį, pakartojant paskutinius respondento ž</w:t>
      </w:r>
      <w:r>
        <w:t>o</w:t>
      </w:r>
      <w:r>
        <w:t>džius;</w:t>
      </w:r>
    </w:p>
    <w:p w:rsidR="0092394E" w:rsidRDefault="0092394E" w:rsidP="005B524E">
      <w:pPr>
        <w:pStyle w:val="ListParagraph"/>
        <w:numPr>
          <w:ilvl w:val="0"/>
          <w:numId w:val="41"/>
        </w:numPr>
        <w:suppressAutoHyphens w:val="0"/>
      </w:pPr>
      <w:r>
        <w:t xml:space="preserve">respondentas nepakankamai aiškiai išdėstė savo nuomonę. Tam, kad įsitikintų ar gerai buvo suprasta </w:t>
      </w:r>
      <w:r w:rsidR="00DD329C">
        <w:t>bei</w:t>
      </w:r>
      <w:r>
        <w:t xml:space="preserve"> siekiant didesnio tikslumo, buvo bandoma respondento mintis perfo</w:t>
      </w:r>
      <w:r>
        <w:t>r</w:t>
      </w:r>
      <w:r>
        <w:t>muluoti savais žodžiais ir užduoti klausimą patikslinimui</w:t>
      </w:r>
      <w:r w:rsidR="005913F3">
        <w:t>;</w:t>
      </w:r>
    </w:p>
    <w:p w:rsidR="005913F3" w:rsidRDefault="005913F3" w:rsidP="005B524E">
      <w:pPr>
        <w:pStyle w:val="ListParagraph"/>
        <w:numPr>
          <w:ilvl w:val="0"/>
          <w:numId w:val="41"/>
        </w:numPr>
        <w:suppressAutoHyphens w:val="0"/>
      </w:pPr>
      <w:r>
        <w:t xml:space="preserve">respondentas tik palietė temą – plėtojant šią temą toliau buvo naudojama frazę </w:t>
      </w:r>
      <w:r w:rsidRPr="006B103A">
        <w:t>„</w:t>
      </w:r>
      <w:r>
        <w:t>Jūs tik ką pasakėte, kad…</w:t>
      </w:r>
      <w:r w:rsidRPr="006B103A">
        <w:t>“</w:t>
      </w:r>
      <w:r>
        <w:t>.</w:t>
      </w:r>
    </w:p>
    <w:p w:rsidR="006C1D1E" w:rsidRDefault="00352E7E" w:rsidP="005B524E">
      <w:pPr>
        <w:suppressAutoHyphens w:val="0"/>
      </w:pPr>
      <w:r>
        <w:t>Norint</w:t>
      </w:r>
      <w:r w:rsidR="008A5385">
        <w:t xml:space="preserve"> išvengti informacijos praradim</w:t>
      </w:r>
      <w:r w:rsidR="00DD329C">
        <w:t>o</w:t>
      </w:r>
      <w:r>
        <w:t>, v</w:t>
      </w:r>
      <w:r w:rsidR="008F6E54">
        <w:t xml:space="preserve">isi interviu buvo įrašinėjami diktofonu. </w:t>
      </w:r>
      <w:r w:rsidR="008F6E54" w:rsidRPr="008F6E54">
        <w:t xml:space="preserve">Dėl diktofono naudojimo </w:t>
      </w:r>
      <w:r w:rsidR="00F5523D">
        <w:t xml:space="preserve">prieš interviu buvo </w:t>
      </w:r>
      <w:r w:rsidR="008F6E54">
        <w:t>atsiklausta</w:t>
      </w:r>
      <w:r w:rsidR="008F6E54" w:rsidRPr="008F6E54">
        <w:t xml:space="preserve"> pašnekovo.</w:t>
      </w:r>
    </w:p>
    <w:p w:rsidR="00022940" w:rsidRPr="006C1D1E" w:rsidRDefault="00022940" w:rsidP="005B524E">
      <w:pPr>
        <w:suppressAutoHyphens w:val="0"/>
      </w:pPr>
      <w:r>
        <w:t xml:space="preserve">Sudarant interviu klausimus atsižvelgiama į kelis pagrindinius aspektus: </w:t>
      </w:r>
    </w:p>
    <w:p w:rsidR="00022940" w:rsidRDefault="00022940" w:rsidP="005B524E">
      <w:pPr>
        <w:pStyle w:val="BodyText"/>
        <w:numPr>
          <w:ilvl w:val="0"/>
          <w:numId w:val="40"/>
        </w:numPr>
        <w:suppressAutoHyphens w:val="0"/>
      </w:pPr>
      <w:r>
        <w:t xml:space="preserve">Kokia yra </w:t>
      </w:r>
      <w:r w:rsidR="00AE2124">
        <w:t>VPSP</w:t>
      </w:r>
      <w:r>
        <w:t xml:space="preserve"> padėtis </w:t>
      </w:r>
      <w:r w:rsidR="002F2F89">
        <w:t>Lietuvoje</w:t>
      </w:r>
      <w:r>
        <w:t xml:space="preserve">? </w:t>
      </w:r>
    </w:p>
    <w:p w:rsidR="00022940" w:rsidRDefault="00022940" w:rsidP="005B524E">
      <w:pPr>
        <w:pStyle w:val="BodyText"/>
        <w:numPr>
          <w:ilvl w:val="0"/>
          <w:numId w:val="40"/>
        </w:numPr>
        <w:suppressAutoHyphens w:val="0"/>
      </w:pPr>
      <w:r>
        <w:t xml:space="preserve">Kokia yra </w:t>
      </w:r>
      <w:r w:rsidR="002F2F89">
        <w:t>švietimo</w:t>
      </w:r>
      <w:r>
        <w:t xml:space="preserve"> politika </w:t>
      </w:r>
      <w:r w:rsidR="002F2F89">
        <w:t>Lietuvoje</w:t>
      </w:r>
      <w:r>
        <w:t xml:space="preserve">? </w:t>
      </w:r>
    </w:p>
    <w:p w:rsidR="00022940" w:rsidRDefault="00022940" w:rsidP="005B524E">
      <w:pPr>
        <w:pStyle w:val="BodyText"/>
        <w:numPr>
          <w:ilvl w:val="0"/>
          <w:numId w:val="40"/>
        </w:numPr>
        <w:suppressAutoHyphens w:val="0"/>
      </w:pPr>
      <w:r>
        <w:lastRenderedPageBreak/>
        <w:t>Kokiomis</w:t>
      </w:r>
      <w:r w:rsidR="001E6E91">
        <w:t xml:space="preserve"> priemonėmis siekiama plėtoti V</w:t>
      </w:r>
      <w:r>
        <w:t>PS</w:t>
      </w:r>
      <w:r w:rsidR="001E6E91">
        <w:t>P</w:t>
      </w:r>
      <w:r>
        <w:t xml:space="preserve">? </w:t>
      </w:r>
    </w:p>
    <w:p w:rsidR="00022940" w:rsidRDefault="00022940" w:rsidP="005B524E">
      <w:pPr>
        <w:pStyle w:val="BodyText"/>
        <w:numPr>
          <w:ilvl w:val="0"/>
          <w:numId w:val="40"/>
        </w:numPr>
        <w:suppressAutoHyphens w:val="0"/>
      </w:pPr>
      <w:r>
        <w:t>Kaip vertinama bendros virtualios mokymosi erdvės (Lietuvos virtualaus universiteto) kūrimo idėja?</w:t>
      </w:r>
    </w:p>
    <w:p w:rsidR="00D636F9" w:rsidRPr="00D636F9" w:rsidRDefault="00642133" w:rsidP="005B524E">
      <w:pPr>
        <w:suppressAutoHyphens w:val="0"/>
        <w:rPr>
          <w:lang w:eastAsia="ar-SA"/>
        </w:rPr>
      </w:pPr>
      <w:r w:rsidRPr="00642133">
        <w:rPr>
          <w:lang w:eastAsia="ar-SA"/>
        </w:rPr>
        <w:t>Siekiant atsakyti į minėtus klausimus, sudarytas interviu klausimynas</w:t>
      </w:r>
      <w:r w:rsidR="001B29E5">
        <w:rPr>
          <w:lang w:eastAsia="ar-SA"/>
        </w:rPr>
        <w:t xml:space="preserve"> (</w:t>
      </w:r>
      <w:r w:rsidR="001B29E5" w:rsidRPr="001B29E5">
        <w:rPr>
          <w:b/>
          <w:lang w:eastAsia="ar-SA"/>
        </w:rPr>
        <w:t xml:space="preserve">žr. Priedas </w:t>
      </w:r>
      <w:r w:rsidR="001B29E5" w:rsidRPr="00023757">
        <w:rPr>
          <w:b/>
          <w:lang w:eastAsia="ar-SA"/>
        </w:rPr>
        <w:t>1</w:t>
      </w:r>
      <w:r w:rsidR="001B29E5">
        <w:rPr>
          <w:lang w:eastAsia="ar-SA"/>
        </w:rPr>
        <w:t xml:space="preserve">). </w:t>
      </w:r>
      <w:r w:rsidR="00D636F9" w:rsidRPr="00D636F9">
        <w:t xml:space="preserve">Interviu pravesti </w:t>
      </w:r>
      <w:r w:rsidR="00D636F9" w:rsidRPr="00023757">
        <w:t xml:space="preserve">2009 m. </w:t>
      </w:r>
      <w:r w:rsidR="00D636F9" w:rsidRPr="00D636F9">
        <w:t>lapkričio – gruodžio mėnesiais.</w:t>
      </w:r>
    </w:p>
    <w:p w:rsidR="00D942B9" w:rsidRDefault="006E0200" w:rsidP="005B524E">
      <w:pPr>
        <w:suppressAutoHyphens w:val="0"/>
        <w:ind w:left="567" w:firstLine="0"/>
      </w:pPr>
      <w:r>
        <w:t xml:space="preserve">Klausimai buvo suskirstyti į </w:t>
      </w:r>
      <w:r w:rsidR="00ED6227" w:rsidRPr="00DC247E">
        <w:rPr>
          <w:b/>
        </w:rPr>
        <w:t>4</w:t>
      </w:r>
      <w:r w:rsidRPr="00DC247E">
        <w:rPr>
          <w:b/>
        </w:rPr>
        <w:t xml:space="preserve"> blokus</w:t>
      </w:r>
      <w:r>
        <w:t>:</w:t>
      </w:r>
    </w:p>
    <w:p w:rsidR="006E0200" w:rsidRPr="006E0200" w:rsidRDefault="006E0200" w:rsidP="005B524E">
      <w:pPr>
        <w:pStyle w:val="ListParagraph"/>
        <w:numPr>
          <w:ilvl w:val="0"/>
          <w:numId w:val="42"/>
        </w:numPr>
        <w:suppressAutoHyphens w:val="0"/>
      </w:pPr>
      <w:r w:rsidRPr="006E0200">
        <w:t xml:space="preserve">Požiūris į </w:t>
      </w:r>
      <w:r>
        <w:t>virtualaus universiteto idėją</w:t>
      </w:r>
      <w:r w:rsidRPr="006E0200">
        <w:t xml:space="preserve"> ir LVU programą</w:t>
      </w:r>
      <w:r>
        <w:t xml:space="preserve"> (</w:t>
      </w:r>
      <w:r w:rsidRPr="006E0200">
        <w:rPr>
          <w:lang w:val="en-US"/>
        </w:rPr>
        <w:t xml:space="preserve">1-2 </w:t>
      </w:r>
      <w:r w:rsidRPr="00543D58">
        <w:t>klausimai</w:t>
      </w:r>
      <w:r>
        <w:rPr>
          <w:lang w:val="en-US"/>
        </w:rPr>
        <w:t>);</w:t>
      </w:r>
    </w:p>
    <w:p w:rsidR="006E0200" w:rsidRDefault="00E50182" w:rsidP="005B524E">
      <w:pPr>
        <w:pStyle w:val="ListParagraph"/>
        <w:numPr>
          <w:ilvl w:val="0"/>
          <w:numId w:val="42"/>
        </w:numPr>
        <w:suppressAutoHyphens w:val="0"/>
      </w:pPr>
      <w:r>
        <w:t>VPSP Lietuvoje</w:t>
      </w:r>
      <w:r w:rsidR="00924CD8">
        <w:t xml:space="preserve"> (</w:t>
      </w:r>
      <w:r w:rsidR="00924CD8">
        <w:rPr>
          <w:lang w:val="ru-RU"/>
        </w:rPr>
        <w:t xml:space="preserve">3-4 </w:t>
      </w:r>
      <w:r w:rsidR="00924CD8">
        <w:t>klausimai)</w:t>
      </w:r>
      <w:r>
        <w:t>;</w:t>
      </w:r>
    </w:p>
    <w:p w:rsidR="00116C2C" w:rsidRPr="00ED6227" w:rsidRDefault="00E50182" w:rsidP="005B524E">
      <w:pPr>
        <w:pStyle w:val="ListParagraph"/>
        <w:numPr>
          <w:ilvl w:val="0"/>
          <w:numId w:val="42"/>
        </w:numPr>
        <w:suppressAutoHyphens w:val="0"/>
      </w:pPr>
      <w:r>
        <w:t>VPSP Lietuvos virtualaus universiteto programoje</w:t>
      </w:r>
      <w:r w:rsidR="00924CD8">
        <w:t xml:space="preserve"> (</w:t>
      </w:r>
      <w:r w:rsidR="00924CD8" w:rsidRPr="00ED6227">
        <w:rPr>
          <w:lang w:val="en-US"/>
        </w:rPr>
        <w:t xml:space="preserve">5-9 </w:t>
      </w:r>
      <w:r w:rsidR="00924CD8">
        <w:t>klausimai)</w:t>
      </w:r>
      <w:r>
        <w:t>;</w:t>
      </w:r>
    </w:p>
    <w:p w:rsidR="00ED6227" w:rsidRPr="00E50182" w:rsidRDefault="00ED6227" w:rsidP="005B524E">
      <w:pPr>
        <w:pStyle w:val="ListParagraph"/>
        <w:numPr>
          <w:ilvl w:val="0"/>
          <w:numId w:val="42"/>
        </w:numPr>
        <w:suppressAutoHyphens w:val="0"/>
      </w:pPr>
      <w:r>
        <w:t>Požiūris į VPSP sutarčių naudojimą (</w:t>
      </w:r>
      <w:r w:rsidRPr="00ED6227">
        <w:t xml:space="preserve">10 </w:t>
      </w:r>
      <w:r w:rsidRPr="00F83064">
        <w:t>klausimas)</w:t>
      </w:r>
      <w:r w:rsidR="00F83064">
        <w:t>.</w:t>
      </w:r>
    </w:p>
    <w:p w:rsidR="0013777C" w:rsidRDefault="00116C2C" w:rsidP="005B524E">
      <w:pPr>
        <w:suppressAutoHyphens w:val="0"/>
      </w:pPr>
      <w:r w:rsidRPr="00832051">
        <w:t xml:space="preserve">Nors </w:t>
      </w:r>
      <w:r w:rsidR="00832051" w:rsidRPr="00832051">
        <w:t>iš pradžių buvo manoma</w:t>
      </w:r>
      <w:r w:rsidR="00832051">
        <w:t>, kad respondentų</w:t>
      </w:r>
      <w:r w:rsidRPr="00832051">
        <w:t xml:space="preserve"> skaičius</w:t>
      </w:r>
      <w:r w:rsidR="00832051">
        <w:t xml:space="preserve"> yra </w:t>
      </w:r>
      <w:r w:rsidRPr="00832051">
        <w:t xml:space="preserve">mažas, </w:t>
      </w:r>
      <w:r w:rsidR="00832051">
        <w:t xml:space="preserve">tačiau </w:t>
      </w:r>
      <w:r w:rsidRPr="00832051">
        <w:t>interviu buvo paka</w:t>
      </w:r>
      <w:r w:rsidRPr="00832051">
        <w:t>n</w:t>
      </w:r>
      <w:r w:rsidRPr="00832051">
        <w:t>kamai išsam</w:t>
      </w:r>
      <w:r w:rsidR="00832051">
        <w:t>us ir su</w:t>
      </w:r>
      <w:r w:rsidRPr="00832051">
        <w:t>gener</w:t>
      </w:r>
      <w:r w:rsidR="00FF3AF5">
        <w:t>avo</w:t>
      </w:r>
      <w:r w:rsidRPr="00832051">
        <w:t xml:space="preserve"> didelį kiekį duomenų. Duomenų soties</w:t>
      </w:r>
      <w:r w:rsidR="00FF3AF5">
        <w:t xml:space="preserve"> (</w:t>
      </w:r>
      <w:r w:rsidR="00FF3AF5" w:rsidRPr="00FF3AF5">
        <w:rPr>
          <w:i/>
        </w:rPr>
        <w:t xml:space="preserve">angl. </w:t>
      </w:r>
      <w:r w:rsidR="00FF3AF5" w:rsidRPr="00543D58">
        <w:rPr>
          <w:i/>
          <w:lang w:val="en-US"/>
        </w:rPr>
        <w:t>data saturation</w:t>
      </w:r>
      <w:r w:rsidR="00FF3AF5">
        <w:t>)</w:t>
      </w:r>
      <w:r w:rsidRPr="00832051">
        <w:t xml:space="preserve"> (Yin, 2008)</w:t>
      </w:r>
      <w:r w:rsidR="00FF3AF5">
        <w:t xml:space="preserve"> rodiklis buvo pasiektas po 5 interviu, nes respondentai pradėjo kartoti punktus, kurie jau buvo minėti bei neiškėlė</w:t>
      </w:r>
      <w:r w:rsidRPr="00832051">
        <w:t xml:space="preserve"> jokių reikšmingų naujų punktų arba idėjų.</w:t>
      </w:r>
      <w:r w:rsidR="00FF3AF5">
        <w:t xml:space="preserve"> Buvo sprendžiama ar </w:t>
      </w:r>
      <w:r w:rsidR="000B35E6">
        <w:t>reikšminga</w:t>
      </w:r>
      <w:r w:rsidR="00023757">
        <w:t xml:space="preserve"> atlikti paskutinius planuotu</w:t>
      </w:r>
      <w:r w:rsidR="00FF3AF5">
        <w:t xml:space="preserve"> interviu ir prieita prie išvados, kad interviu turėtų būti atlikt</w:t>
      </w:r>
      <w:r w:rsidR="00023757">
        <w:t>i, tačiau gali būti nutraukti</w:t>
      </w:r>
      <w:r w:rsidR="00FF3AF5">
        <w:t xml:space="preserve"> anksčiau, jei bus kartojami jau išsiaiškinti aspektai.</w:t>
      </w:r>
      <w:r w:rsidR="000B35E6">
        <w:t xml:space="preserve"> Taip ir įvyko, </w:t>
      </w:r>
      <w:r w:rsidR="00E72CB0">
        <w:t xml:space="preserve">dėl šios priežasties </w:t>
      </w:r>
      <w:r w:rsidR="005216A1">
        <w:t>interviu tru</w:t>
      </w:r>
      <w:r w:rsidR="000B35E6">
        <w:t>ko trumpiau nei vidutiniškai.</w:t>
      </w:r>
    </w:p>
    <w:p w:rsidR="001E6E91" w:rsidRPr="00C44C02" w:rsidRDefault="001E6E91" w:rsidP="005B524E">
      <w:pPr>
        <w:suppressAutoHyphens w:val="0"/>
        <w:rPr>
          <w:b/>
        </w:rPr>
      </w:pPr>
      <w:r w:rsidRPr="00C44C02">
        <w:rPr>
          <w:b/>
        </w:rPr>
        <w:t>Tyrimo rezultatų analizė</w:t>
      </w:r>
      <w:r>
        <w:rPr>
          <w:b/>
        </w:rPr>
        <w:t>.</w:t>
      </w:r>
      <w:r w:rsidRPr="00C44C02">
        <w:rPr>
          <w:b/>
        </w:rPr>
        <w:t xml:space="preserve"> </w:t>
      </w:r>
      <w:r>
        <w:t xml:space="preserve">Duomenų analizės metodas – panaudojant MacOS X Snow Leopard skirtą </w:t>
      </w:r>
      <w:r w:rsidRPr="00610BA2">
        <w:t>OmniOutliner</w:t>
      </w:r>
      <w:r>
        <w:t xml:space="preserve"> programinę įrangą, gautų rezultatų sisteminimas, analizavimas ir lyginimas tarpusavyje.</w:t>
      </w:r>
    </w:p>
    <w:p w:rsidR="00072AE8" w:rsidRDefault="001E6E91" w:rsidP="005B524E">
      <w:pPr>
        <w:pStyle w:val="BodyText"/>
        <w:suppressAutoHyphens w:val="0"/>
      </w:pPr>
      <w:r>
        <w:rPr>
          <w:b/>
        </w:rPr>
        <w:t xml:space="preserve">Tyrimo rezultatų apibendrinimas. </w:t>
      </w:r>
      <w:r>
        <w:t>Apibendrinimo metodas – apibendrinami ir vertinami du</w:t>
      </w:r>
      <w:r>
        <w:t>o</w:t>
      </w:r>
      <w:r>
        <w:t>menys, gauti duomenų analizės ir palyginimo metu, teikiamos preliminarios išvados.</w:t>
      </w:r>
    </w:p>
    <w:p w:rsidR="001E6E91" w:rsidRPr="00016BB8" w:rsidRDefault="00072AE8" w:rsidP="005B524E">
      <w:pPr>
        <w:pStyle w:val="BodyText"/>
        <w:suppressAutoHyphens w:val="0"/>
      </w:pPr>
      <w:r w:rsidRPr="004F4364">
        <w:t>Ap</w:t>
      </w:r>
      <w:r>
        <w:t>ibendrinat ekspertin</w:t>
      </w:r>
      <w:r w:rsidR="005216A1">
        <w:t>į</w:t>
      </w:r>
      <w:r>
        <w:t xml:space="preserve"> interviu</w:t>
      </w:r>
      <w:r w:rsidR="005216A1">
        <w:t>,</w:t>
      </w:r>
      <w:r w:rsidRPr="004F4364">
        <w:t xml:space="preserve"> rezultat</w:t>
      </w:r>
      <w:r w:rsidR="005216A1">
        <w:t>ai</w:t>
      </w:r>
      <w:r w:rsidRPr="004F4364">
        <w:t xml:space="preserve"> buvo sugrupuoti pagal klausymų suskirstymą į 4 bl</w:t>
      </w:r>
      <w:r w:rsidRPr="004F4364">
        <w:t>o</w:t>
      </w:r>
      <w:r w:rsidRPr="004F4364">
        <w:t>kus.</w:t>
      </w:r>
    </w:p>
    <w:p w:rsidR="00BD7A33" w:rsidRDefault="00C12401" w:rsidP="005B524E">
      <w:pPr>
        <w:pStyle w:val="Heading1"/>
        <w:suppressAutoHyphens w:val="0"/>
      </w:pPr>
      <w:bookmarkStart w:id="51" w:name="_Toc248687472"/>
      <w:bookmarkStart w:id="52" w:name="_Toc251011264"/>
      <w:r w:rsidRPr="00D207F1">
        <w:t>Tyrimo rezultatai</w:t>
      </w:r>
      <w:bookmarkEnd w:id="51"/>
      <w:bookmarkEnd w:id="52"/>
    </w:p>
    <w:p w:rsidR="008274AA" w:rsidRPr="004841C3" w:rsidRDefault="00FE7464" w:rsidP="005B524E">
      <w:pPr>
        <w:pStyle w:val="Heading2"/>
        <w:suppressAutoHyphens w:val="0"/>
        <w:rPr>
          <w:szCs w:val="24"/>
        </w:rPr>
      </w:pPr>
      <w:bookmarkStart w:id="53" w:name="_Toc251011265"/>
      <w:r w:rsidRPr="004841C3">
        <w:t xml:space="preserve">Požiūris į </w:t>
      </w:r>
      <w:r w:rsidR="00907DDF" w:rsidRPr="004841C3">
        <w:t xml:space="preserve">e. mokymą(si), </w:t>
      </w:r>
      <w:r w:rsidRPr="004841C3">
        <w:t>virtualaus uni</w:t>
      </w:r>
      <w:r w:rsidR="008274AA" w:rsidRPr="004841C3">
        <w:t xml:space="preserve">versiteto idėją ir </w:t>
      </w:r>
      <w:r w:rsidR="00442A85" w:rsidRPr="004841C3">
        <w:t xml:space="preserve">LVU </w:t>
      </w:r>
      <w:r w:rsidR="008274AA" w:rsidRPr="004841C3">
        <w:t>programą</w:t>
      </w:r>
      <w:bookmarkEnd w:id="53"/>
    </w:p>
    <w:p w:rsidR="006E4C8F" w:rsidRPr="006E4C8F" w:rsidRDefault="006E4C8F" w:rsidP="005B524E">
      <w:pPr>
        <w:pStyle w:val="Heading3"/>
        <w:suppressAutoHyphens w:val="0"/>
      </w:pPr>
      <w:bookmarkStart w:id="54" w:name="_Toc251011266"/>
      <w:r>
        <w:t>E. mokymas(</w:t>
      </w:r>
      <w:proofErr w:type="spellStart"/>
      <w:r>
        <w:t>is</w:t>
      </w:r>
      <w:proofErr w:type="spellEnd"/>
      <w:r>
        <w:t>) ir virtualaus universiteto idėja</w:t>
      </w:r>
      <w:bookmarkEnd w:id="54"/>
    </w:p>
    <w:p w:rsidR="00016BB8" w:rsidRDefault="00016BB8" w:rsidP="005B524E">
      <w:pPr>
        <w:pStyle w:val="BodyText"/>
        <w:suppressAutoHyphens w:val="0"/>
      </w:pPr>
      <w:r w:rsidRPr="004F4364">
        <w:t>Nors pirmasis blokas buvo labiau skirtas susipažinimui bei apšilimui, tačiau beveik visi ekspertai iškart įsijung</w:t>
      </w:r>
      <w:r w:rsidR="00D6771B">
        <w:t>ė</w:t>
      </w:r>
      <w:r w:rsidRPr="004F4364">
        <w:t xml:space="preserve"> į pokalbį bei dėstė savo požiūrį, idėjas bei mintis.</w:t>
      </w:r>
      <w:r w:rsidR="00F74A33">
        <w:t xml:space="preserve"> Pastebimų nuomonių skirtumų tarp ekspertų iš universiteto, verslo bei viešojo sektoriaus beveik nebuvo. </w:t>
      </w:r>
    </w:p>
    <w:p w:rsidR="00F1557D" w:rsidRPr="004F4364" w:rsidRDefault="00860ECB" w:rsidP="005B524E">
      <w:pPr>
        <w:pStyle w:val="BodyText"/>
        <w:suppressAutoHyphens w:val="0"/>
      </w:pPr>
      <w:r w:rsidRPr="004F4364">
        <w:t>Dauguma</w:t>
      </w:r>
      <w:r w:rsidR="00650D1E" w:rsidRPr="004F4364">
        <w:t xml:space="preserve"> r</w:t>
      </w:r>
      <w:r w:rsidRPr="004F4364">
        <w:t>espondentų</w:t>
      </w:r>
      <w:r w:rsidR="00C105BD" w:rsidRPr="004F4364">
        <w:t xml:space="preserve"> palankiai įvertino virtualaus universiteto idėją kaip alternatyvų mok</w:t>
      </w:r>
      <w:r w:rsidR="00C105BD" w:rsidRPr="004F4364">
        <w:t>y</w:t>
      </w:r>
      <w:r w:rsidR="00C105BD" w:rsidRPr="004F4364">
        <w:t xml:space="preserve">mo(si) būdą, tačiau beveik visi ekspertai prisipažino, jog šiame virtualiųjų universitetų vystymosi etape </w:t>
      </w:r>
      <w:r w:rsidR="007830BC" w:rsidRPr="004F4364">
        <w:lastRenderedPageBreak/>
        <w:t xml:space="preserve">šio metodo </w:t>
      </w:r>
      <w:r w:rsidR="00C105BD" w:rsidRPr="004F4364">
        <w:t xml:space="preserve">neįsivaizduoja kaip pagrindinio šalies ar regiono mokymo(si) būdo, nes norint sukurti </w:t>
      </w:r>
      <w:r w:rsidR="00C105BD" w:rsidRPr="004F4364">
        <w:rPr>
          <w:i/>
        </w:rPr>
        <w:t>visiškai virtual</w:t>
      </w:r>
      <w:r w:rsidR="009B018C">
        <w:rPr>
          <w:i/>
        </w:rPr>
        <w:t>ų</w:t>
      </w:r>
      <w:r w:rsidR="00C105BD" w:rsidRPr="004F4364">
        <w:rPr>
          <w:i/>
        </w:rPr>
        <w:t xml:space="preserve"> universitetą</w:t>
      </w:r>
      <w:r w:rsidR="00C105BD" w:rsidRPr="004F4364">
        <w:t xml:space="preserve"> </w:t>
      </w:r>
      <w:r w:rsidR="00065F6C" w:rsidRPr="004F4364">
        <w:t>(turima omenyje, kad visa tradicinio universiteto veikla perkelta į virtu</w:t>
      </w:r>
      <w:r w:rsidR="00065F6C" w:rsidRPr="004F4364">
        <w:t>a</w:t>
      </w:r>
      <w:r w:rsidR="00065F6C" w:rsidRPr="004F4364">
        <w:t xml:space="preserve">liąją erdvę) </w:t>
      </w:r>
      <w:r w:rsidR="00C105BD" w:rsidRPr="004F4364">
        <w:t xml:space="preserve">būtina įveikti pakankamai daug barjerų. </w:t>
      </w:r>
      <w:r w:rsidR="00F1557D" w:rsidRPr="004F4364">
        <w:t>Vien</w:t>
      </w:r>
      <w:r w:rsidR="00D6771B">
        <w:t>o</w:t>
      </w:r>
      <w:r w:rsidR="00F1557D" w:rsidRPr="004F4364">
        <w:t xml:space="preserve"> eksperto nuomone</w:t>
      </w:r>
      <w:r w:rsidR="00ED18DE" w:rsidRPr="004F4364">
        <w:t xml:space="preserve">, </w:t>
      </w:r>
      <w:r w:rsidR="00F1557D" w:rsidRPr="004F4364">
        <w:t xml:space="preserve">universitetas yra vieta, kurioje žmogus turi būti išmokomas savarankiškai mąstyti ir gauti gebėjimų teorines žinias pritaikyti praktiškai, </w:t>
      </w:r>
      <w:r w:rsidR="00ED18DE" w:rsidRPr="004F4364">
        <w:t>be to</w:t>
      </w:r>
      <w:r w:rsidR="00F1557D" w:rsidRPr="004F4364">
        <w:t xml:space="preserve"> </w:t>
      </w:r>
      <w:r w:rsidR="00ED18DE" w:rsidRPr="004F4364">
        <w:t>turi būti</w:t>
      </w:r>
      <w:r w:rsidR="00F1557D" w:rsidRPr="004F4364">
        <w:t xml:space="preserve"> lavina</w:t>
      </w:r>
      <w:r w:rsidR="00ED18DE" w:rsidRPr="004F4364">
        <w:t>mi</w:t>
      </w:r>
      <w:r w:rsidR="00F1557D" w:rsidRPr="004F4364">
        <w:t xml:space="preserve"> ir kit</w:t>
      </w:r>
      <w:r w:rsidR="00ED18DE" w:rsidRPr="004F4364">
        <w:t>i</w:t>
      </w:r>
      <w:r w:rsidR="00F1557D" w:rsidRPr="004F4364">
        <w:t xml:space="preserve"> įgūdži</w:t>
      </w:r>
      <w:r w:rsidR="00ED18DE" w:rsidRPr="004F4364">
        <w:t>ai</w:t>
      </w:r>
      <w:r w:rsidR="00F1557D" w:rsidRPr="004F4364">
        <w:t>. Dėl šios priežasties baigusiems mokyklą, universit</w:t>
      </w:r>
      <w:r w:rsidR="00F1557D" w:rsidRPr="004F4364">
        <w:t>e</w:t>
      </w:r>
      <w:r w:rsidR="00F1557D" w:rsidRPr="004F4364">
        <w:t>tas turi būti įstaiga, kuri realiai egzistuoja, todėl virtualus universitetas galėtų būti nebent neakivaizd</w:t>
      </w:r>
      <w:r w:rsidR="00F1557D" w:rsidRPr="004F4364">
        <w:t>i</w:t>
      </w:r>
      <w:r w:rsidR="00F1557D" w:rsidRPr="004F4364">
        <w:t xml:space="preserve">nių studijų </w:t>
      </w:r>
      <w:r w:rsidR="005216A1">
        <w:t>pakaitalas arba kompetencijos kė</w:t>
      </w:r>
      <w:r w:rsidR="00F1557D" w:rsidRPr="004F4364">
        <w:t>limo būdas.</w:t>
      </w:r>
    </w:p>
    <w:p w:rsidR="00C63778" w:rsidRPr="004F4364" w:rsidRDefault="00C105BD" w:rsidP="005B524E">
      <w:pPr>
        <w:pStyle w:val="BodyText"/>
        <w:suppressAutoHyphens w:val="0"/>
      </w:pPr>
      <w:r w:rsidRPr="004F4364">
        <w:t xml:space="preserve">Viena iš svarbiausių problemų – parengti </w:t>
      </w:r>
      <w:r w:rsidR="009B0C44" w:rsidRPr="004F4364">
        <w:t>kokybišką</w:t>
      </w:r>
      <w:r w:rsidRPr="004F4364">
        <w:t xml:space="preserve"> mokymo</w:t>
      </w:r>
      <w:r w:rsidR="0012166D" w:rsidRPr="004F4364">
        <w:t>(</w:t>
      </w:r>
      <w:r w:rsidRPr="004F4364">
        <w:t>si</w:t>
      </w:r>
      <w:r w:rsidR="0012166D" w:rsidRPr="004F4364">
        <w:t>)</w:t>
      </w:r>
      <w:r w:rsidRPr="004F4364">
        <w:t xml:space="preserve"> kursą</w:t>
      </w:r>
      <w:r w:rsidR="000E4FFA" w:rsidRPr="004F4364">
        <w:t xml:space="preserve">, išmanant mokymo(si) virtualioje erdvėje ypatumus. </w:t>
      </w:r>
      <w:r w:rsidR="006B6F58" w:rsidRPr="004F4364">
        <w:t>Pažymima, kad specialistų, gebančių tinkamai parengti mokymo</w:t>
      </w:r>
      <w:r w:rsidR="00561C20" w:rsidRPr="004F4364">
        <w:t>(</w:t>
      </w:r>
      <w:r w:rsidR="006B6F58" w:rsidRPr="004F4364">
        <w:t>si</w:t>
      </w:r>
      <w:r w:rsidR="00561C20" w:rsidRPr="004F4364">
        <w:t>)</w:t>
      </w:r>
      <w:r w:rsidR="006B6F58" w:rsidRPr="004F4364">
        <w:t xml:space="preserve"> kursą ar modulį tiek Lietuvoje, tiek visame pasaulyje, išties nėra daug.</w:t>
      </w:r>
      <w:r w:rsidR="00467E0F" w:rsidRPr="004F4364">
        <w:t xml:space="preserve"> </w:t>
      </w:r>
    </w:p>
    <w:p w:rsidR="00B87DC6" w:rsidRPr="004F4364" w:rsidRDefault="00B87DC6" w:rsidP="005B524E">
      <w:pPr>
        <w:pStyle w:val="BodyText"/>
        <w:suppressAutoHyphens w:val="0"/>
      </w:pPr>
      <w:r w:rsidRPr="004F4364">
        <w:t xml:space="preserve">Dar vienas barjeras – neigiamas visuomenės požiūris į </w:t>
      </w:r>
      <w:r w:rsidR="00FD62B0" w:rsidRPr="004F4364">
        <w:t xml:space="preserve">e. </w:t>
      </w:r>
      <w:r w:rsidRPr="004F4364">
        <w:t>mokymą(si) bei bendrai į alternatyvius mokymo(si) būdus. Manoma, kad tokiu būdu „ką nors dorai negalima išmokti“.</w:t>
      </w:r>
      <w:r w:rsidR="00A13490" w:rsidRPr="004F4364">
        <w:t xml:space="preserve"> Ekspertai pažymi, kad toks nepasitikėjimas bei neigiamas požiūris atsiranda iš besimokančiųjų kontrolės trūkumo.</w:t>
      </w:r>
    </w:p>
    <w:p w:rsidR="001D4BE7" w:rsidRPr="004F4364" w:rsidRDefault="001D4BE7" w:rsidP="005B524E">
      <w:pPr>
        <w:pStyle w:val="BodyText"/>
        <w:suppressAutoHyphens w:val="0"/>
      </w:pPr>
      <w:r w:rsidRPr="004F4364">
        <w:t>Taip pat respondentai įvardino „mažos šalies barjerą“</w:t>
      </w:r>
      <w:r w:rsidR="00AF5E9B" w:rsidRPr="004F4364">
        <w:t>, t.y. bet kuris Lietuvoje gyventis asmuo, nors ir būdamas toli nuo didmiesčių ar universitet</w:t>
      </w:r>
      <w:r w:rsidR="005216A1">
        <w:t>ų</w:t>
      </w:r>
      <w:r w:rsidR="00AF5E9B" w:rsidRPr="004F4364">
        <w:t>, Lietuvos masteliais nėra labai nutolęs nuo bet kurio taško Lietuvoje.</w:t>
      </w:r>
      <w:r w:rsidR="00561C88" w:rsidRPr="004F4364">
        <w:t xml:space="preserve"> Todėl neakivaizdinių studijų studentai, anot ekspertų, gali s</w:t>
      </w:r>
      <w:r w:rsidR="005C13CA" w:rsidRPr="004F4364">
        <w:t xml:space="preserve">ėkmingai važinėti į sesijas be </w:t>
      </w:r>
      <w:r w:rsidR="00561C88" w:rsidRPr="004F4364">
        <w:t>jokių didelių laiko ir finansinių sąnaudų.</w:t>
      </w:r>
      <w:r w:rsidR="009875BA" w:rsidRPr="004F4364">
        <w:t xml:space="preserve"> Taigi, Lietuvoje šis </w:t>
      </w:r>
      <w:proofErr w:type="spellStart"/>
      <w:r w:rsidR="009875BA" w:rsidRPr="004F4364">
        <w:t>socioekonominis</w:t>
      </w:r>
      <w:proofErr w:type="spellEnd"/>
      <w:r w:rsidR="009875BA" w:rsidRPr="004F4364">
        <w:t xml:space="preserve"> faktorius yra ne toks svarbus, kaip antai JAV ar Skandinavijos va</w:t>
      </w:r>
      <w:r w:rsidR="000F5C4B" w:rsidRPr="004F4364">
        <w:t>lstybėse, tačiau, vienas respondentas pažymėjo, kad šis būdas bene vienintelė galimybė studijuoti specialiųjų poreikių asmenims</w:t>
      </w:r>
      <w:r w:rsidR="002776C0" w:rsidRPr="004F4364">
        <w:t>, todėl „socialiai atsakinga valstybė negali nesvarstyti virtualaus universiteto ar nuotolinių studijų įgyvendinimo kla</w:t>
      </w:r>
      <w:r w:rsidR="002776C0" w:rsidRPr="004F4364">
        <w:t>u</w:t>
      </w:r>
      <w:r w:rsidR="002776C0" w:rsidRPr="004F4364">
        <w:t>simo“.</w:t>
      </w:r>
    </w:p>
    <w:p w:rsidR="00C105BD" w:rsidRPr="004F4364" w:rsidRDefault="00F844CC" w:rsidP="005B524E">
      <w:pPr>
        <w:pStyle w:val="BodyText"/>
        <w:suppressAutoHyphens w:val="0"/>
      </w:pPr>
      <w:r w:rsidRPr="004F4364">
        <w:t>Kaip atskirą barjerą</w:t>
      </w:r>
      <w:r w:rsidR="006B6F58" w:rsidRPr="004F4364">
        <w:t xml:space="preserve"> </w:t>
      </w:r>
      <w:r w:rsidR="00467E0F" w:rsidRPr="004F4364">
        <w:t xml:space="preserve">ekspertai </w:t>
      </w:r>
      <w:r w:rsidR="00483E64" w:rsidRPr="004F4364">
        <w:t>įvardino</w:t>
      </w:r>
      <w:r w:rsidR="00467E0F" w:rsidRPr="004F4364">
        <w:t xml:space="preserve"> sąvokos „virtualus universitetas“ detalaus apibrėžimo</w:t>
      </w:r>
      <w:r w:rsidR="00483E64" w:rsidRPr="004F4364">
        <w:t xml:space="preserve"> n</w:t>
      </w:r>
      <w:r w:rsidR="00483E64" w:rsidRPr="004F4364">
        <w:t>e</w:t>
      </w:r>
      <w:r w:rsidR="00483E64" w:rsidRPr="004F4364">
        <w:t>buvimą</w:t>
      </w:r>
      <w:r w:rsidR="00467E0F" w:rsidRPr="004F4364">
        <w:t xml:space="preserve">. Dėl šios priežasties dažnai sunku suprasti, kas yra turima omeny vartojant šį terminą – ar </w:t>
      </w:r>
      <w:r w:rsidR="004D6D3A">
        <w:t>nuotolinį</w:t>
      </w:r>
      <w:r w:rsidR="00467E0F" w:rsidRPr="004F4364">
        <w:t xml:space="preserve"> mokymą(si), ar medžiagos pateikimą internete, ar infrastruktūros ir priemonių </w:t>
      </w:r>
      <w:r w:rsidR="008B1108" w:rsidRPr="004F4364">
        <w:t>rinkinį</w:t>
      </w:r>
      <w:r w:rsidR="00467E0F" w:rsidRPr="004F4364">
        <w:t xml:space="preserve"> ir t. t.</w:t>
      </w:r>
    </w:p>
    <w:p w:rsidR="00160982" w:rsidRPr="004F4364" w:rsidRDefault="00160982" w:rsidP="005B524E">
      <w:pPr>
        <w:pStyle w:val="BodyText"/>
        <w:suppressAutoHyphens w:val="0"/>
      </w:pPr>
      <w:r w:rsidRPr="004F4364">
        <w:t>Vienas ekspertas paminėjo, kad dažniausiai visos virtualiame universitete naudojamos program</w:t>
      </w:r>
      <w:r w:rsidRPr="004F4364">
        <w:t>i</w:t>
      </w:r>
      <w:r w:rsidRPr="004F4364">
        <w:t xml:space="preserve">nės priemonės (mokymo(si) aplinka, bibliotekos katalogas, grįžtamojo ryšio priemonės ir t. t.) </w:t>
      </w:r>
      <w:r w:rsidR="007E3584" w:rsidRPr="004F4364">
        <w:t>yra nepatogios vartotojams ir sudaro sunkumus tiek studentas, tiek dėstytojams, tiek ir kitiems dalyviams.</w:t>
      </w:r>
    </w:p>
    <w:p w:rsidR="00FB71CB" w:rsidRPr="004F4364" w:rsidRDefault="00FB71CB" w:rsidP="005B524E">
      <w:pPr>
        <w:pStyle w:val="BodyText"/>
        <w:suppressAutoHyphens w:val="0"/>
      </w:pPr>
      <w:r w:rsidRPr="004F4364">
        <w:t>Kitas ekspertas išsakė nuomon</w:t>
      </w:r>
      <w:r w:rsidR="005216A1">
        <w:t>ę</w:t>
      </w:r>
      <w:r w:rsidRPr="004F4364">
        <w:t xml:space="preserve">, kad </w:t>
      </w:r>
      <w:proofErr w:type="spellStart"/>
      <w:r w:rsidRPr="004F4364">
        <w:t>virtualumas</w:t>
      </w:r>
      <w:proofErr w:type="spellEnd"/>
      <w:r w:rsidRPr="004F4364">
        <w:t xml:space="preserve"> turi būti suprantamas kaip įrankis, o virtualus (ar </w:t>
      </w:r>
      <w:r w:rsidR="004D6D3A">
        <w:t>nuotolinis</w:t>
      </w:r>
      <w:r w:rsidRPr="004F4364">
        <w:t>, ar įtinklintas) mok</w:t>
      </w:r>
      <w:r w:rsidR="00240DE0" w:rsidRPr="004F4364">
        <w:t>ymas(</w:t>
      </w:r>
      <w:proofErr w:type="spellStart"/>
      <w:r w:rsidR="00240DE0" w:rsidRPr="004F4364">
        <w:t>is</w:t>
      </w:r>
      <w:proofErr w:type="spellEnd"/>
      <w:r w:rsidR="00240DE0" w:rsidRPr="004F4364">
        <w:t>)</w:t>
      </w:r>
      <w:r w:rsidRPr="004F4364">
        <w:t xml:space="preserve"> – kaip </w:t>
      </w:r>
      <w:r w:rsidR="005E0A4B" w:rsidRPr="004F4364">
        <w:t>tradi</w:t>
      </w:r>
      <w:r w:rsidRPr="004F4364">
        <w:t>cinis, pažymint erdvės išskirtinumą.</w:t>
      </w:r>
    </w:p>
    <w:p w:rsidR="00FF2C3A" w:rsidRPr="004F4364" w:rsidRDefault="0062003F" w:rsidP="005B524E">
      <w:pPr>
        <w:pStyle w:val="BodyText"/>
        <w:suppressAutoHyphens w:val="0"/>
      </w:pPr>
      <w:r w:rsidRPr="004F4364">
        <w:t>Ne</w:t>
      </w:r>
      <w:r w:rsidR="00A7276D">
        <w:t xml:space="preserve">paisant </w:t>
      </w:r>
      <w:r w:rsidRPr="004F4364">
        <w:t>išsakytų minčių, virtualaus universiteto idėją vis tiek yra patraukli, nes tai laiko atžvi</w:t>
      </w:r>
      <w:r w:rsidRPr="004F4364">
        <w:t>l</w:t>
      </w:r>
      <w:r w:rsidRPr="004F4364">
        <w:t xml:space="preserve">giu labai lanksti sistema, leidžianti mokytis kada nori ir kur nori. </w:t>
      </w:r>
    </w:p>
    <w:p w:rsidR="002C682F" w:rsidRPr="004F4364" w:rsidRDefault="00FF2C3A" w:rsidP="005B524E">
      <w:pPr>
        <w:pStyle w:val="BodyText"/>
        <w:suppressAutoHyphens w:val="0"/>
      </w:pPr>
      <w:r w:rsidRPr="004F4364">
        <w:t xml:space="preserve">Ekspertai </w:t>
      </w:r>
      <w:r w:rsidR="00DE0278" w:rsidRPr="004F4364">
        <w:t>minėjo</w:t>
      </w:r>
      <w:r w:rsidRPr="004F4364">
        <w:t xml:space="preserve"> ne tik trūkumus, bet ir virtualaus universiteto teikiamas naudas. </w:t>
      </w:r>
      <w:r w:rsidR="00B53D43" w:rsidRPr="004F4364">
        <w:t xml:space="preserve">Buvo </w:t>
      </w:r>
      <w:r w:rsidR="00085778" w:rsidRPr="004F4364">
        <w:t>įvardin</w:t>
      </w:r>
      <w:r w:rsidR="00B53D43" w:rsidRPr="004F4364">
        <w:t>ta</w:t>
      </w:r>
      <w:r w:rsidR="00085778" w:rsidRPr="004F4364">
        <w:t xml:space="preserve">, </w:t>
      </w:r>
      <w:r w:rsidR="009117DF" w:rsidRPr="004F4364">
        <w:t>kad technologinių barjerų realizuoti virtualaus universiteto idėją Lietuvoje praktiškai nėra, nes visos aukštosios mokyklos turi pakankamą techninę bazę</w:t>
      </w:r>
      <w:r w:rsidR="00B53D43" w:rsidRPr="004F4364">
        <w:t xml:space="preserve">, o interneto tinklų pralaidumas yra vienas geriausių </w:t>
      </w:r>
      <w:r w:rsidR="00B53D43" w:rsidRPr="004F4364">
        <w:lastRenderedPageBreak/>
        <w:t xml:space="preserve">ne tik Europoje, bei </w:t>
      </w:r>
      <w:r w:rsidR="005216A1">
        <w:t xml:space="preserve">ir </w:t>
      </w:r>
      <w:r w:rsidR="00B53D43" w:rsidRPr="004F4364">
        <w:t>visame pasaulyje</w:t>
      </w:r>
      <w:r w:rsidR="009117DF" w:rsidRPr="004F4364">
        <w:t>.</w:t>
      </w:r>
      <w:r w:rsidR="008000F2" w:rsidRPr="004F4364">
        <w:t xml:space="preserve"> </w:t>
      </w:r>
    </w:p>
    <w:p w:rsidR="00C63778" w:rsidRPr="004F4364" w:rsidRDefault="00C63778" w:rsidP="005B524E">
      <w:pPr>
        <w:suppressAutoHyphens w:val="0"/>
      </w:pPr>
      <w:r w:rsidRPr="004F4364">
        <w:t xml:space="preserve">Kitas </w:t>
      </w:r>
      <w:r w:rsidR="00EF0BF2" w:rsidRPr="004F4364">
        <w:t xml:space="preserve">privalumas </w:t>
      </w:r>
      <w:r w:rsidRPr="004F4364">
        <w:t xml:space="preserve">– nuotolinės studijos </w:t>
      </w:r>
      <w:r w:rsidR="00915CF7" w:rsidRPr="004F4364">
        <w:t xml:space="preserve">nors </w:t>
      </w:r>
      <w:r w:rsidR="00EF0BF2" w:rsidRPr="004F4364">
        <w:t xml:space="preserve">ir nusileidžia </w:t>
      </w:r>
      <w:r w:rsidRPr="004F4364">
        <w:t>kokybės aspektu tradiciniams stud</w:t>
      </w:r>
      <w:r w:rsidRPr="004F4364">
        <w:t>i</w:t>
      </w:r>
      <w:r w:rsidRPr="004F4364">
        <w:t>joms, tačiau didėja aukštojo mokslo prieinamumas</w:t>
      </w:r>
      <w:r w:rsidR="001F0129" w:rsidRPr="004F4364">
        <w:t>.</w:t>
      </w:r>
    </w:p>
    <w:p w:rsidR="00F66308" w:rsidRPr="004F4364" w:rsidRDefault="00EB2AED" w:rsidP="005B524E">
      <w:pPr>
        <w:pStyle w:val="BodyText"/>
        <w:suppressAutoHyphens w:val="0"/>
      </w:pPr>
      <w:r w:rsidRPr="004F4364">
        <w:t>Taip pat buvo įvardinta</w:t>
      </w:r>
      <w:r w:rsidR="00F66308" w:rsidRPr="004F4364">
        <w:t xml:space="preserve"> tai, kad ankstesniais metais buvo įgyvendinti projektai bei programos, kurių rėmuose buvo pateiktos ekspertinės ir metodinės rekomendacijos.</w:t>
      </w:r>
    </w:p>
    <w:p w:rsidR="008F3D81" w:rsidRPr="004F4364" w:rsidRDefault="00622E4B" w:rsidP="005B524E">
      <w:pPr>
        <w:suppressAutoHyphens w:val="0"/>
      </w:pPr>
      <w:r>
        <w:t>A</w:t>
      </w:r>
      <w:r w:rsidR="008F3D81" w:rsidRPr="004F4364">
        <w:t xml:space="preserve">pibendrinat išsakytas mintis, buvo sudaryta </w:t>
      </w:r>
      <w:r w:rsidR="0014793D" w:rsidRPr="004F4364">
        <w:t xml:space="preserve">virtualaus universiteto idėjos </w:t>
      </w:r>
      <w:r w:rsidR="008F3D81" w:rsidRPr="004F4364">
        <w:t xml:space="preserve">privalumų ir </w:t>
      </w:r>
      <w:r w:rsidR="005216A1" w:rsidRPr="004F4364">
        <w:t>tr</w:t>
      </w:r>
      <w:r w:rsidR="005216A1">
        <w:t>u</w:t>
      </w:r>
      <w:r w:rsidR="005216A1" w:rsidRPr="004F4364">
        <w:t>kumų</w:t>
      </w:r>
      <w:r w:rsidR="008F3D81" w:rsidRPr="004F4364">
        <w:t xml:space="preserve"> suvestinė (žr. </w:t>
      </w:r>
      <w:r w:rsidR="008F3D81" w:rsidRPr="004F4364">
        <w:rPr>
          <w:b/>
        </w:rPr>
        <w:t xml:space="preserve">Lentelė </w:t>
      </w:r>
      <w:r w:rsidR="008F3D81" w:rsidRPr="004F4364">
        <w:rPr>
          <w:b/>
          <w:lang w:val="en-US"/>
        </w:rPr>
        <w:t>5</w:t>
      </w:r>
      <w:r w:rsidR="008F3D81" w:rsidRPr="004F4364">
        <w:t>).</w:t>
      </w:r>
    </w:p>
    <w:p w:rsidR="008F3D81" w:rsidRPr="004F4364" w:rsidRDefault="008F3D81" w:rsidP="005B524E">
      <w:pPr>
        <w:pStyle w:val="Caption"/>
        <w:suppressAutoHyphens w:val="0"/>
        <w:rPr>
          <w:rFonts w:cs="Times New Roman"/>
        </w:rPr>
      </w:pPr>
      <w:bookmarkStart w:id="55" w:name="_Toc248866373"/>
      <w:r w:rsidRPr="004F4364">
        <w:rPr>
          <w:rFonts w:cs="Times New Roman"/>
        </w:rPr>
        <w:t xml:space="preserve">Lentelė </w:t>
      </w:r>
      <w:r w:rsidR="009A186D" w:rsidRPr="004F4364">
        <w:rPr>
          <w:rFonts w:cs="Times New Roman"/>
        </w:rPr>
        <w:fldChar w:fldCharType="begin"/>
      </w:r>
      <w:r w:rsidRPr="004F4364">
        <w:rPr>
          <w:rFonts w:cs="Times New Roman"/>
        </w:rPr>
        <w:instrText xml:space="preserve"> SEQ Lentelė \* ARABIC </w:instrText>
      </w:r>
      <w:r w:rsidR="009A186D" w:rsidRPr="004F4364">
        <w:rPr>
          <w:rFonts w:cs="Times New Roman"/>
        </w:rPr>
        <w:fldChar w:fldCharType="separate"/>
      </w:r>
      <w:r w:rsidR="00E32C21">
        <w:rPr>
          <w:rFonts w:cs="Times New Roman"/>
          <w:noProof/>
        </w:rPr>
        <w:t>5</w:t>
      </w:r>
      <w:r w:rsidR="009A186D" w:rsidRPr="004F4364">
        <w:rPr>
          <w:rFonts w:cs="Times New Roman"/>
        </w:rPr>
        <w:fldChar w:fldCharType="end"/>
      </w:r>
      <w:r w:rsidRPr="004F4364">
        <w:rPr>
          <w:rFonts w:cs="Times New Roman"/>
        </w:rPr>
        <w:t xml:space="preserve"> Virtualaus </w:t>
      </w:r>
      <w:r w:rsidR="00972D34" w:rsidRPr="004F4364">
        <w:rPr>
          <w:rFonts w:cs="Times New Roman"/>
        </w:rPr>
        <w:t>universiteto idėjos privalumų ir trukumų suvestinė</w:t>
      </w:r>
      <w:bookmarkEnd w:id="55"/>
    </w:p>
    <w:tbl>
      <w:tblPr>
        <w:tblW w:w="10089"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4615"/>
        <w:gridCol w:w="5474"/>
      </w:tblGrid>
      <w:tr w:rsidR="008F3D81" w:rsidRPr="004F4364" w:rsidTr="00913304">
        <w:trPr>
          <w:trHeight w:val="204"/>
          <w:jc w:val="center"/>
        </w:trPr>
        <w:tc>
          <w:tcPr>
            <w:tcW w:w="4615" w:type="dxa"/>
            <w:shd w:val="clear" w:color="auto" w:fill="1F497D" w:themeFill="text2"/>
            <w:vAlign w:val="center"/>
          </w:tcPr>
          <w:p w:rsidR="008F3D81" w:rsidRPr="004F4364" w:rsidRDefault="00925269" w:rsidP="005B524E">
            <w:pPr>
              <w:suppressAutoHyphens w:val="0"/>
              <w:spacing w:line="240" w:lineRule="auto"/>
              <w:ind w:firstLine="0"/>
              <w:jc w:val="center"/>
              <w:rPr>
                <w:b/>
                <w:color w:val="FFFFFF" w:themeColor="background1"/>
              </w:rPr>
            </w:pPr>
            <w:r w:rsidRPr="004F4364">
              <w:rPr>
                <w:b/>
                <w:color w:val="FFFFFF" w:themeColor="background1"/>
              </w:rPr>
              <w:t>Privalumai</w:t>
            </w:r>
          </w:p>
        </w:tc>
        <w:tc>
          <w:tcPr>
            <w:tcW w:w="0" w:type="auto"/>
            <w:shd w:val="clear" w:color="auto" w:fill="1F497D" w:themeFill="text2"/>
            <w:vAlign w:val="center"/>
          </w:tcPr>
          <w:p w:rsidR="008F3D81" w:rsidRPr="004F4364" w:rsidRDefault="00925269" w:rsidP="005B524E">
            <w:pPr>
              <w:suppressAutoHyphens w:val="0"/>
              <w:spacing w:line="240" w:lineRule="auto"/>
              <w:ind w:firstLine="0"/>
              <w:jc w:val="center"/>
              <w:rPr>
                <w:b/>
                <w:color w:val="FFFFFF" w:themeColor="background1"/>
              </w:rPr>
            </w:pPr>
            <w:r w:rsidRPr="004F4364">
              <w:rPr>
                <w:b/>
                <w:color w:val="FFFFFF" w:themeColor="background1"/>
              </w:rPr>
              <w:t>Trukumai</w:t>
            </w:r>
          </w:p>
        </w:tc>
      </w:tr>
      <w:tr w:rsidR="008F3D81" w:rsidRPr="004F4364" w:rsidTr="00913304">
        <w:trPr>
          <w:jc w:val="center"/>
        </w:trPr>
        <w:tc>
          <w:tcPr>
            <w:tcW w:w="4615" w:type="dxa"/>
          </w:tcPr>
          <w:p w:rsidR="008F3D81" w:rsidRPr="004F4364" w:rsidRDefault="00592F72" w:rsidP="005B524E">
            <w:pPr>
              <w:pStyle w:val="ListParagraph"/>
              <w:numPr>
                <w:ilvl w:val="0"/>
                <w:numId w:val="52"/>
              </w:numPr>
              <w:suppressAutoHyphens w:val="0"/>
            </w:pPr>
            <w:r w:rsidRPr="004F4364">
              <w:t>didėja aukštojo mokslo prieinam</w:t>
            </w:r>
            <w:r w:rsidRPr="004F4364">
              <w:t>u</w:t>
            </w:r>
            <w:r w:rsidRPr="004F4364">
              <w:t>mas;</w:t>
            </w:r>
          </w:p>
          <w:p w:rsidR="00476D0D" w:rsidRPr="004F4364" w:rsidRDefault="00476D0D" w:rsidP="005B524E">
            <w:pPr>
              <w:pStyle w:val="ListParagraph"/>
              <w:numPr>
                <w:ilvl w:val="0"/>
                <w:numId w:val="52"/>
              </w:numPr>
              <w:suppressAutoHyphens w:val="0"/>
            </w:pPr>
            <w:r w:rsidRPr="004F4364">
              <w:t>galimyb</w:t>
            </w:r>
            <w:r w:rsidR="006227A1" w:rsidRPr="004F4364">
              <w:t>ė</w:t>
            </w:r>
            <w:r w:rsidRPr="004F4364">
              <w:t xml:space="preserve"> mokytis visą gyvenimą</w:t>
            </w:r>
            <w:r w:rsidR="006227A1" w:rsidRPr="004F4364">
              <w:t>;</w:t>
            </w:r>
          </w:p>
          <w:p w:rsidR="00396D83" w:rsidRPr="004F4364" w:rsidRDefault="00592F72" w:rsidP="005B524E">
            <w:pPr>
              <w:pStyle w:val="ListParagraph"/>
              <w:numPr>
                <w:ilvl w:val="0"/>
                <w:numId w:val="52"/>
              </w:numPr>
              <w:suppressAutoHyphens w:val="0"/>
            </w:pPr>
            <w:r w:rsidRPr="004F4364">
              <w:t>ankstesniais metais buvo įgyvendinti projektai bei programos, kurių r</w:t>
            </w:r>
            <w:r w:rsidRPr="004F4364">
              <w:t>ė</w:t>
            </w:r>
            <w:r w:rsidRPr="004F4364">
              <w:t>muose buvo pateiktos ekspertinės ir metodinės rekomendacijos</w:t>
            </w:r>
            <w:r w:rsidR="00970BB6" w:rsidRPr="004F4364">
              <w:t>;</w:t>
            </w:r>
          </w:p>
          <w:p w:rsidR="003A14BA" w:rsidRPr="004F4364" w:rsidRDefault="007C6BB4" w:rsidP="005B524E">
            <w:pPr>
              <w:pStyle w:val="ListParagraph"/>
              <w:numPr>
                <w:ilvl w:val="0"/>
                <w:numId w:val="52"/>
              </w:numPr>
              <w:suppressAutoHyphens w:val="0"/>
            </w:pPr>
            <w:r w:rsidRPr="004F4364">
              <w:t>v</w:t>
            </w:r>
            <w:r w:rsidR="002E19B2" w:rsidRPr="004F4364">
              <w:t xml:space="preserve">irtualus universitetas – </w:t>
            </w:r>
            <w:r w:rsidR="00396D83" w:rsidRPr="004F4364">
              <w:t>geras šių la</w:t>
            </w:r>
            <w:r w:rsidR="00396D83" w:rsidRPr="004F4364">
              <w:t>i</w:t>
            </w:r>
            <w:r w:rsidR="00396D83" w:rsidRPr="004F4364">
              <w:t>kų reiškinys, ypač šalyse turinčiose dideles teritorijas bei kai regionuose gyvena nedidelis skaičius žmonių;</w:t>
            </w:r>
          </w:p>
          <w:p w:rsidR="003A14BA" w:rsidRDefault="005216A1" w:rsidP="005B524E">
            <w:pPr>
              <w:pStyle w:val="ListParagraph"/>
              <w:numPr>
                <w:ilvl w:val="0"/>
                <w:numId w:val="52"/>
              </w:numPr>
              <w:suppressAutoHyphens w:val="0"/>
            </w:pPr>
            <w:r>
              <w:t>technologijų skverbimasis</w:t>
            </w:r>
            <w:r w:rsidR="003A14BA" w:rsidRPr="004F4364">
              <w:t xml:space="preserve"> į kasdienę veiklą;</w:t>
            </w:r>
          </w:p>
          <w:p w:rsidR="005B7E2E" w:rsidRPr="00EB2991" w:rsidRDefault="00EB2991" w:rsidP="005B524E">
            <w:pPr>
              <w:pStyle w:val="ListParagraph"/>
              <w:numPr>
                <w:ilvl w:val="0"/>
                <w:numId w:val="52"/>
              </w:numPr>
              <w:suppressAutoHyphens w:val="0"/>
              <w:rPr>
                <w:lang w:val="en-US"/>
              </w:rPr>
            </w:pPr>
            <w:r>
              <w:t>v</w:t>
            </w:r>
            <w:r w:rsidR="002C25FC" w:rsidRPr="00EB2991">
              <w:t>irtualioje erdvėje galima efektyviai realizuoti visus mokymo(si) veiklų t</w:t>
            </w:r>
            <w:r w:rsidR="002C25FC" w:rsidRPr="00EB2991">
              <w:t>i</w:t>
            </w:r>
            <w:r w:rsidR="002C25FC" w:rsidRPr="00EB2991">
              <w:t>pus.</w:t>
            </w:r>
          </w:p>
        </w:tc>
        <w:tc>
          <w:tcPr>
            <w:tcW w:w="0" w:type="auto"/>
          </w:tcPr>
          <w:p w:rsidR="008F3D81" w:rsidRPr="004F4364" w:rsidRDefault="00970BB6" w:rsidP="005B524E">
            <w:pPr>
              <w:numPr>
                <w:ilvl w:val="0"/>
                <w:numId w:val="14"/>
              </w:numPr>
              <w:suppressAutoHyphens w:val="0"/>
            </w:pPr>
            <w:r w:rsidRPr="004F4364">
              <w:t>žemesnė studijų kokybė;</w:t>
            </w:r>
          </w:p>
          <w:p w:rsidR="00970BB6" w:rsidRPr="004F4364" w:rsidRDefault="00970BB6" w:rsidP="005B524E">
            <w:pPr>
              <w:numPr>
                <w:ilvl w:val="0"/>
                <w:numId w:val="14"/>
              </w:numPr>
              <w:suppressAutoHyphens w:val="0"/>
            </w:pPr>
            <w:r w:rsidRPr="004F4364">
              <w:t>mažesnis visuomenės pasitikėjimas;</w:t>
            </w:r>
          </w:p>
          <w:p w:rsidR="00970BB6" w:rsidRPr="004F4364" w:rsidRDefault="008B4F06" w:rsidP="005B524E">
            <w:pPr>
              <w:pStyle w:val="ListParagraph"/>
              <w:numPr>
                <w:ilvl w:val="0"/>
                <w:numId w:val="14"/>
              </w:numPr>
              <w:suppressAutoHyphens w:val="0"/>
            </w:pPr>
            <w:r w:rsidRPr="004F4364">
              <w:t>atsiranda spekuliacijos</w:t>
            </w:r>
            <w:r w:rsidR="00464CF1">
              <w:t xml:space="preserve"> – </w:t>
            </w:r>
            <w:r w:rsidR="005216A1">
              <w:t>iš</w:t>
            </w:r>
            <w:r w:rsidRPr="004F4364">
              <w:t>silavinimą įgyja ne tas žmogus, kuris turėtų;</w:t>
            </w:r>
          </w:p>
          <w:p w:rsidR="002A4156" w:rsidRDefault="00744B46" w:rsidP="005B524E">
            <w:pPr>
              <w:pStyle w:val="ListParagraph"/>
              <w:numPr>
                <w:ilvl w:val="0"/>
                <w:numId w:val="14"/>
              </w:numPr>
              <w:suppressAutoHyphens w:val="0"/>
            </w:pPr>
            <w:r w:rsidRPr="004F4364">
              <w:t>dažniausiai nepatogios virtualų universitetą aptarnaujančios sistemos;</w:t>
            </w:r>
          </w:p>
          <w:p w:rsidR="002A4156" w:rsidRPr="004F4364" w:rsidRDefault="002A4156" w:rsidP="005B524E">
            <w:pPr>
              <w:pStyle w:val="ListParagraph"/>
              <w:numPr>
                <w:ilvl w:val="0"/>
                <w:numId w:val="14"/>
              </w:numPr>
              <w:suppressAutoHyphens w:val="0"/>
            </w:pPr>
            <w:r>
              <w:t>v</w:t>
            </w:r>
            <w:r w:rsidRPr="005B7E2E">
              <w:t>irtualioje erdvėje dėstytojo ir studento bendrav</w:t>
            </w:r>
            <w:r w:rsidRPr="005B7E2E">
              <w:t>i</w:t>
            </w:r>
            <w:r w:rsidRPr="005B7E2E">
              <w:t>mas kol kas s</w:t>
            </w:r>
            <w:r w:rsidR="00622E4B">
              <w:t>unkesnis nei realiame gyvenime</w:t>
            </w:r>
            <w:r w:rsidR="00A0784D">
              <w:t>.</w:t>
            </w:r>
          </w:p>
        </w:tc>
      </w:tr>
    </w:tbl>
    <w:p w:rsidR="002E717E" w:rsidRDefault="002E717E" w:rsidP="005B524E">
      <w:pPr>
        <w:pStyle w:val="Heading3"/>
        <w:suppressAutoHyphens w:val="0"/>
      </w:pPr>
      <w:bookmarkStart w:id="56" w:name="_Toc251011267"/>
      <w:r>
        <w:t>Lietuvos virtualus universitetas</w:t>
      </w:r>
      <w:bookmarkEnd w:id="56"/>
    </w:p>
    <w:p w:rsidR="00385271" w:rsidRPr="004F4364" w:rsidRDefault="00C9421F" w:rsidP="005B524E">
      <w:pPr>
        <w:pStyle w:val="BodyText"/>
        <w:suppressAutoHyphens w:val="0"/>
        <w:spacing w:before="100" w:beforeAutospacing="1"/>
      </w:pPr>
      <w:r w:rsidRPr="004F4364">
        <w:t xml:space="preserve">Paklausti apie Lietuvos virtualų universitetą, </w:t>
      </w:r>
      <w:r w:rsidR="00E76D4D" w:rsidRPr="004F4364">
        <w:t>visi respondentai prisipažino girdėję, kad toks yra kuriamas, tačiau tik dalis ekspertų galėjo detaliau nupasakoti situaciją. Bendrai, ekspertai</w:t>
      </w:r>
      <w:r w:rsidRPr="004F4364">
        <w:t xml:space="preserve"> džiaugėsi </w:t>
      </w:r>
      <w:r w:rsidR="00165C67" w:rsidRPr="004F4364">
        <w:t>jau pasiektais programos rezultatai</w:t>
      </w:r>
      <w:r w:rsidR="00622E4B">
        <w:t>s</w:t>
      </w:r>
      <w:r w:rsidR="00165C67" w:rsidRPr="004F4364">
        <w:t xml:space="preserve"> bei, kad išvis </w:t>
      </w:r>
      <w:r w:rsidRPr="004F4364">
        <w:t xml:space="preserve">tokia programa </w:t>
      </w:r>
      <w:r w:rsidR="00622E4B">
        <w:t xml:space="preserve">yra </w:t>
      </w:r>
      <w:r w:rsidRPr="004F4364">
        <w:t xml:space="preserve">vykdoma, tačiau apgailestavo, kad už </w:t>
      </w:r>
      <w:r w:rsidR="00B46ED3" w:rsidRPr="004F4364">
        <w:t xml:space="preserve">„skambaus pavadinimo </w:t>
      </w:r>
      <w:r w:rsidR="00B911FA" w:rsidRPr="004F4364">
        <w:t>L</w:t>
      </w:r>
      <w:r w:rsidR="00B46ED3" w:rsidRPr="004F4364">
        <w:t>ietuvos virtualus universitetas slepiasi</w:t>
      </w:r>
      <w:r w:rsidRPr="004F4364">
        <w:t xml:space="preserve"> tik programa</w:t>
      </w:r>
      <w:r w:rsidR="00B46ED3" w:rsidRPr="004F4364">
        <w:t>“</w:t>
      </w:r>
      <w:r w:rsidRPr="004F4364">
        <w:t xml:space="preserve">, apimanti </w:t>
      </w:r>
      <w:r w:rsidR="00105445" w:rsidRPr="004F4364">
        <w:t xml:space="preserve">nuotolinių </w:t>
      </w:r>
      <w:r w:rsidRPr="004F4364">
        <w:t xml:space="preserve">priemonių </w:t>
      </w:r>
      <w:r w:rsidR="00105445" w:rsidRPr="004F4364">
        <w:t>rinkinį, bet ne „tradicinis univ</w:t>
      </w:r>
      <w:r w:rsidR="00385271" w:rsidRPr="004F4364">
        <w:t>ersitetas virtualioje erdvėje“.</w:t>
      </w:r>
    </w:p>
    <w:p w:rsidR="009117DF" w:rsidRPr="004F4364" w:rsidRDefault="00105445" w:rsidP="005B524E">
      <w:pPr>
        <w:pStyle w:val="BodyText"/>
        <w:suppressAutoHyphens w:val="0"/>
      </w:pPr>
      <w:r w:rsidRPr="004F4364">
        <w:t xml:space="preserve">Vienas ekspertas pratęsė mintį, pažymėdamas, kad </w:t>
      </w:r>
      <w:r w:rsidR="00AB0676" w:rsidRPr="004F4364">
        <w:t xml:space="preserve">valstybės dokumentuose </w:t>
      </w:r>
      <w:r w:rsidRPr="004F4364">
        <w:t>pakankamai progr</w:t>
      </w:r>
      <w:r w:rsidRPr="004F4364">
        <w:t>e</w:t>
      </w:r>
      <w:r w:rsidRPr="004F4364">
        <w:t xml:space="preserve">syviai </w:t>
      </w:r>
      <w:r w:rsidR="00B911FA" w:rsidRPr="004F4364">
        <w:t xml:space="preserve">ir šiuolaikiškai </w:t>
      </w:r>
      <w:r w:rsidRPr="004F4364">
        <w:t>apibrėžiam</w:t>
      </w:r>
      <w:r w:rsidR="00B911FA" w:rsidRPr="004F4364">
        <w:t>a virtualaus universiteto idėja</w:t>
      </w:r>
      <w:r w:rsidRPr="004F4364">
        <w:t xml:space="preserve">, tačiau egzistuoja gana rezervuotas </w:t>
      </w:r>
      <w:r w:rsidRPr="004F4364">
        <w:lastRenderedPageBreak/>
        <w:t xml:space="preserve">požiūris į </w:t>
      </w:r>
      <w:r w:rsidR="00E64C1B" w:rsidRPr="004F4364">
        <w:t>bendradarbiavi</w:t>
      </w:r>
      <w:r w:rsidR="00B911FA" w:rsidRPr="004F4364">
        <w:t xml:space="preserve">mą, </w:t>
      </w:r>
      <w:r w:rsidRPr="004F4364">
        <w:t xml:space="preserve">ypač </w:t>
      </w:r>
      <w:proofErr w:type="spellStart"/>
      <w:r w:rsidRPr="004F4364">
        <w:t>tarpinstitucinio</w:t>
      </w:r>
      <w:proofErr w:type="spellEnd"/>
      <w:r w:rsidRPr="004F4364">
        <w:t xml:space="preserve"> </w:t>
      </w:r>
      <w:r w:rsidR="00B911FA" w:rsidRPr="004F4364">
        <w:t xml:space="preserve">ir sektorinio </w:t>
      </w:r>
      <w:r w:rsidRPr="004F4364">
        <w:t>bendradarbiavimo aspektu.</w:t>
      </w:r>
      <w:r w:rsidR="00CE31B8" w:rsidRPr="004F4364">
        <w:t xml:space="preserve"> Didieji universitetai sprendžia koki</w:t>
      </w:r>
      <w:r w:rsidR="004526D1">
        <w:t>a</w:t>
      </w:r>
      <w:r w:rsidR="00CE31B8" w:rsidRPr="004F4364">
        <w:t xml:space="preserve"> kryptimi bus vystomas projektas, o „maži“ universitetai privalo taikytis prie jų sprendimų.</w:t>
      </w:r>
      <w:r w:rsidR="005E5A4A" w:rsidRPr="004F4364">
        <w:t xml:space="preserve"> Anot </w:t>
      </w:r>
      <w:r w:rsidR="002B0FBD">
        <w:t>kito</w:t>
      </w:r>
      <w:r w:rsidR="005E5A4A" w:rsidRPr="004F4364">
        <w:t xml:space="preserve"> eksperto, programos vystymas ateityje bus šiek tiek koreguojamas, leidžiant patiems programos dalyviams pasirinkti ar dalyvauti programoje ar ne. Be to, </w:t>
      </w:r>
      <w:r w:rsidR="004C1DD1" w:rsidRPr="004F4364">
        <w:t xml:space="preserve">palaipsniui </w:t>
      </w:r>
      <w:r w:rsidR="005E5A4A" w:rsidRPr="004F4364">
        <w:t>atsirandant didesnei universitetų autonomijai bei laisvei valdyti turimas lėšas</w:t>
      </w:r>
      <w:r w:rsidR="00613305" w:rsidRPr="004F4364">
        <w:t>, universitetai bus kvi</w:t>
      </w:r>
      <w:r w:rsidR="00613305" w:rsidRPr="004F4364">
        <w:t>e</w:t>
      </w:r>
      <w:r w:rsidR="00613305" w:rsidRPr="004F4364">
        <w:t xml:space="preserve">čiami ne tik gauti paramą </w:t>
      </w:r>
      <w:r w:rsidR="00F523A0" w:rsidRPr="004F4364">
        <w:t>ir</w:t>
      </w:r>
      <w:r w:rsidR="00613305" w:rsidRPr="004F4364">
        <w:t xml:space="preserve"> ją įsisavinti, bet ir dalyvauti programos finansavime</w:t>
      </w:r>
      <w:r w:rsidR="00F523A0" w:rsidRPr="004F4364">
        <w:t xml:space="preserve"> bei prisiimti atsak</w:t>
      </w:r>
      <w:r w:rsidR="00F523A0" w:rsidRPr="004F4364">
        <w:t>o</w:t>
      </w:r>
      <w:r w:rsidR="00F523A0" w:rsidRPr="004F4364">
        <w:t>myb</w:t>
      </w:r>
      <w:r w:rsidR="004526D1">
        <w:t>ę</w:t>
      </w:r>
      <w:r w:rsidR="00613305" w:rsidRPr="004F4364">
        <w:t>.</w:t>
      </w:r>
      <w:r w:rsidR="008113C8" w:rsidRPr="004F4364">
        <w:t xml:space="preserve"> Tai pat pažymima, kad </w:t>
      </w:r>
      <w:r w:rsidR="008A7574">
        <w:t xml:space="preserve">po </w:t>
      </w:r>
      <w:r w:rsidR="000B2697" w:rsidRPr="004F4364">
        <w:t>švietimo ir mokslo reformos maždaug ¼ universitetų bankr</w:t>
      </w:r>
      <w:r w:rsidR="004526D1">
        <w:t>u</w:t>
      </w:r>
      <w:r w:rsidR="000B2697" w:rsidRPr="004F4364">
        <w:t xml:space="preserve">tuos, todėl likę turėtų </w:t>
      </w:r>
      <w:r w:rsidR="008113C8" w:rsidRPr="004F4364">
        <w:t>e</w:t>
      </w:r>
      <w:r w:rsidR="000B2697" w:rsidRPr="004F4364">
        <w:t>fektyviau išnaudoti</w:t>
      </w:r>
      <w:r w:rsidR="008113C8" w:rsidRPr="004F4364">
        <w:t xml:space="preserve"> </w:t>
      </w:r>
      <w:r w:rsidR="000B2697" w:rsidRPr="004F4364">
        <w:t>turimą potencialą, tobulinti studijų programas, plėtoti</w:t>
      </w:r>
      <w:r w:rsidR="008113C8" w:rsidRPr="004F4364">
        <w:t xml:space="preserve"> </w:t>
      </w:r>
      <w:r w:rsidR="00F36F13" w:rsidRPr="004F4364">
        <w:t xml:space="preserve">akademinės </w:t>
      </w:r>
      <w:r w:rsidR="002C41DB" w:rsidRPr="004F4364">
        <w:t>bendruomenės</w:t>
      </w:r>
      <w:r w:rsidR="008113C8" w:rsidRPr="004F4364">
        <w:t xml:space="preserve">, </w:t>
      </w:r>
      <w:r w:rsidR="00B3186B" w:rsidRPr="004F4364">
        <w:t>valdžios</w:t>
      </w:r>
      <w:r w:rsidR="008113C8" w:rsidRPr="004F4364">
        <w:t xml:space="preserve"> ir verslo bei social</w:t>
      </w:r>
      <w:r w:rsidR="000B2697" w:rsidRPr="004F4364">
        <w:t>inių partnerių bendradarbiavimą</w:t>
      </w:r>
      <w:r w:rsidR="008113C8" w:rsidRPr="004F4364">
        <w:t>.</w:t>
      </w:r>
    </w:p>
    <w:p w:rsidR="00ED19AB" w:rsidRPr="004F4364" w:rsidRDefault="00E76D4D" w:rsidP="005B524E">
      <w:pPr>
        <w:pStyle w:val="BodyText"/>
        <w:suppressAutoHyphens w:val="0"/>
      </w:pPr>
      <w:r w:rsidRPr="004F4364">
        <w:t xml:space="preserve">Paprašyti detaliau pakomentuoti </w:t>
      </w:r>
      <w:r w:rsidR="002D2313">
        <w:t xml:space="preserve">esamą </w:t>
      </w:r>
      <w:r w:rsidRPr="004F4364">
        <w:t>situacij</w:t>
      </w:r>
      <w:r w:rsidR="002D2313">
        <w:t>ą</w:t>
      </w:r>
      <w:r w:rsidRPr="004F4364">
        <w:t xml:space="preserve"> su Lietuvos virtualiuoju universitetu, </w:t>
      </w:r>
      <w:r w:rsidR="00B02E0F" w:rsidRPr="004F4364">
        <w:t>responde</w:t>
      </w:r>
      <w:r w:rsidR="00B02E0F" w:rsidRPr="004F4364">
        <w:t>n</w:t>
      </w:r>
      <w:r w:rsidR="00B02E0F" w:rsidRPr="004F4364">
        <w:t xml:space="preserve">tai </w:t>
      </w:r>
      <w:r w:rsidR="00AF3F26" w:rsidRPr="004F4364">
        <w:t xml:space="preserve">pasižymėjo kritišku mąstymu, buvo abejojama </w:t>
      </w:r>
      <w:r w:rsidR="00AE5E1D" w:rsidRPr="004F4364">
        <w:t>ka</w:t>
      </w:r>
      <w:r w:rsidR="00AF3F26" w:rsidRPr="004F4364">
        <w:t>i</w:t>
      </w:r>
      <w:r w:rsidR="00AE5E1D" w:rsidRPr="004F4364">
        <w:t xml:space="preserve"> </w:t>
      </w:r>
      <w:r w:rsidR="00AF3F26" w:rsidRPr="004F4364">
        <w:t xml:space="preserve">kuriais padarytais sprendimais. </w:t>
      </w:r>
      <w:r w:rsidR="0046339E" w:rsidRPr="004F4364">
        <w:t>Be aukščiau minėtų trukumų bei barjerų, ekspertai taip pat minėjo</w:t>
      </w:r>
      <w:r w:rsidR="00956AF1" w:rsidRPr="004F4364">
        <w:t>:</w:t>
      </w:r>
    </w:p>
    <w:p w:rsidR="00D31580" w:rsidRPr="004F4364" w:rsidRDefault="007A6E1A" w:rsidP="005B524E">
      <w:pPr>
        <w:pStyle w:val="ListParagraph"/>
        <w:numPr>
          <w:ilvl w:val="0"/>
          <w:numId w:val="43"/>
        </w:numPr>
        <w:suppressAutoHyphens w:val="0"/>
      </w:pPr>
      <w:r w:rsidRPr="004F4364">
        <w:t xml:space="preserve">Lietuvos virtualus universitetas – „nėra universitetas“. </w:t>
      </w:r>
      <w:r w:rsidR="00124E79" w:rsidRPr="004F4364">
        <w:t>Beveik visi ekspertai kalbėdami apie LVU minėjo, kad šios programos rėmuose iš tiesų nekuriama nieko naujo, nes tai t</w:t>
      </w:r>
      <w:r w:rsidR="00146787" w:rsidRPr="004F4364">
        <w:t>a pati</w:t>
      </w:r>
      <w:r w:rsidR="00124E79" w:rsidRPr="004F4364">
        <w:t xml:space="preserve"> ITMiS programa kitu pavadinimu.</w:t>
      </w:r>
      <w:r w:rsidR="003A54D8" w:rsidRPr="004F4364">
        <w:t xml:space="preserve"> </w:t>
      </w:r>
      <w:r w:rsidR="00D31580" w:rsidRPr="004F4364">
        <w:t xml:space="preserve">Vienas iš ekspertų pabrėžė, kad </w:t>
      </w:r>
      <w:r w:rsidR="00F736F2">
        <w:t>programos</w:t>
      </w:r>
      <w:r w:rsidR="00B61CD2">
        <w:t xml:space="preserve"> </w:t>
      </w:r>
      <w:r w:rsidR="00D31580" w:rsidRPr="004F4364">
        <w:t>pavadinimas yra klaidinantis. Atsižvelgiant į program</w:t>
      </w:r>
      <w:r w:rsidR="00821D83">
        <w:t xml:space="preserve">os turinį, ji turėtų vadintis – </w:t>
      </w:r>
      <w:r w:rsidR="00D31580" w:rsidRPr="004F4364">
        <w:t xml:space="preserve">virtuali </w:t>
      </w:r>
      <w:proofErr w:type="spellStart"/>
      <w:r w:rsidR="00D31580" w:rsidRPr="004F4364">
        <w:t>tarpuniversitetinė</w:t>
      </w:r>
      <w:proofErr w:type="spellEnd"/>
      <w:r w:rsidR="00D31580" w:rsidRPr="004F4364">
        <w:t xml:space="preserve"> terpė arba virtualios paslaugos aukštoms mokykloms. Tęsiant mintį, ekspertas paminėjo, kad praktiniai spr</w:t>
      </w:r>
      <w:r w:rsidR="004526D1">
        <w:t>endimai buvo priimti atitinkanty</w:t>
      </w:r>
      <w:r w:rsidR="00D31580" w:rsidRPr="004F4364">
        <w:t>s keliamus tikslus, t</w:t>
      </w:r>
      <w:r w:rsidR="00D31580" w:rsidRPr="004F4364">
        <w:t>a</w:t>
      </w:r>
      <w:r w:rsidR="00D31580" w:rsidRPr="004F4364">
        <w:t>čiau antraštės buvo populistinė</w:t>
      </w:r>
      <w:r w:rsidR="00765AC9" w:rsidRPr="004F4364">
        <w:t>s</w:t>
      </w:r>
      <w:r w:rsidR="00D31580" w:rsidRPr="004F4364">
        <w:t>.</w:t>
      </w:r>
    </w:p>
    <w:p w:rsidR="007A6E1A" w:rsidRPr="004F4364" w:rsidRDefault="00B50A0B" w:rsidP="005B524E">
      <w:pPr>
        <w:pStyle w:val="ListParagraph"/>
        <w:numPr>
          <w:ilvl w:val="0"/>
          <w:numId w:val="43"/>
        </w:numPr>
        <w:suppressAutoHyphens w:val="0"/>
      </w:pPr>
      <w:r>
        <w:t>Kitas</w:t>
      </w:r>
      <w:r w:rsidR="00AD5BE4" w:rsidRPr="004F4364">
        <w:t xml:space="preserve"> respondentas pažymėjo, kad programos pradžioje buvo norima kurti LVU kaip atskirą juridinį subjektą. Tačiau dėl teisinės bazės nebuvimo bei struktūrinių fondų lėšų panaudojimo ypatum</w:t>
      </w:r>
      <w:r w:rsidR="00AE1378">
        <w:t>ų</w:t>
      </w:r>
      <w:r w:rsidR="00AD5BE4" w:rsidRPr="004F4364">
        <w:t xml:space="preserve">, tokios minties buvo atsisakyta. </w:t>
      </w:r>
      <w:r w:rsidR="00886B08">
        <w:t>Taip pat buvo minėta</w:t>
      </w:r>
      <w:r w:rsidR="00AD5BE4" w:rsidRPr="004F4364">
        <w:t xml:space="preserve">, kad atskiro juridinio asmens nebuvo kuriama, dėl potencialios konkurencijos iš naujo universiteto baimės. </w:t>
      </w:r>
      <w:r w:rsidR="007172F5" w:rsidRPr="004F4364">
        <w:t>Be to, buvo minėta, kad ateityje taip nėra planuojama įkurti atskiro subjekto dėl tarybos sudarymo problemos (beveik neįmanoma sudaryti valdymo organą, kuris atstova</w:t>
      </w:r>
      <w:r w:rsidR="007172F5" w:rsidRPr="004F4364">
        <w:t>u</w:t>
      </w:r>
      <w:r w:rsidR="007172F5" w:rsidRPr="004F4364">
        <w:t>tų visiems dalyviams), turto nebuvimo bei jau minėtos konkurencijos sudarymo.</w:t>
      </w:r>
    </w:p>
    <w:p w:rsidR="00744B46" w:rsidRPr="004F4364" w:rsidRDefault="00744B46" w:rsidP="005B524E">
      <w:pPr>
        <w:pStyle w:val="ListParagraph"/>
        <w:numPr>
          <w:ilvl w:val="0"/>
          <w:numId w:val="43"/>
        </w:numPr>
        <w:suppressAutoHyphens w:val="0"/>
      </w:pPr>
      <w:r w:rsidRPr="004F4364">
        <w:t xml:space="preserve">Pasibaigus programai, ekspertų teigimu, Lietuvos virtualaus universiteto gyvavimas neturėtų baigtis. LVU gyvens toliau, tačiau </w:t>
      </w:r>
      <w:r w:rsidR="00AC1702">
        <w:t>iki šiol iš</w:t>
      </w:r>
      <w:r w:rsidRPr="004F4364">
        <w:t>lieka atviras klausimas – koks bus vei</w:t>
      </w:r>
      <w:r w:rsidRPr="004F4364">
        <w:t>k</w:t>
      </w:r>
      <w:r w:rsidRPr="004F4364">
        <w:t xml:space="preserve">los intensyvumas. Anot ekspertų, intensyvumas priklauso nuo </w:t>
      </w:r>
      <w:r w:rsidR="00687CEE" w:rsidRPr="00AC1702">
        <w:t>4</w:t>
      </w:r>
      <w:r w:rsidRPr="00AC1702">
        <w:t xml:space="preserve"> </w:t>
      </w:r>
      <w:r w:rsidRPr="004F4364">
        <w:t>pagrindinių faktorių:</w:t>
      </w:r>
    </w:p>
    <w:p w:rsidR="00744B46" w:rsidRPr="004F4364" w:rsidRDefault="00687CEE" w:rsidP="005B524E">
      <w:pPr>
        <w:pStyle w:val="ListParagraph"/>
        <w:numPr>
          <w:ilvl w:val="1"/>
          <w:numId w:val="43"/>
        </w:numPr>
        <w:suppressAutoHyphens w:val="0"/>
      </w:pPr>
      <w:r w:rsidRPr="004F4364">
        <w:t>d</w:t>
      </w:r>
      <w:r w:rsidR="00744B46" w:rsidRPr="004F4364">
        <w:t>alyvių suinteresuotum</w:t>
      </w:r>
      <w:r w:rsidR="00622E4B">
        <w:t>o</w:t>
      </w:r>
      <w:r w:rsidR="00744B46" w:rsidRPr="004F4364">
        <w:t xml:space="preserve"> ir motyvacij</w:t>
      </w:r>
      <w:r w:rsidR="00622E4B">
        <w:t>os</w:t>
      </w:r>
      <w:r w:rsidR="00AE1378">
        <w:t>;</w:t>
      </w:r>
    </w:p>
    <w:p w:rsidR="00744B46" w:rsidRPr="004F4364" w:rsidRDefault="00687CEE" w:rsidP="005B524E">
      <w:pPr>
        <w:pStyle w:val="ListParagraph"/>
        <w:numPr>
          <w:ilvl w:val="1"/>
          <w:numId w:val="43"/>
        </w:numPr>
        <w:suppressAutoHyphens w:val="0"/>
      </w:pPr>
      <w:r w:rsidRPr="004F4364">
        <w:t>finansavim</w:t>
      </w:r>
      <w:r w:rsidR="00622E4B">
        <w:t>o</w:t>
      </w:r>
      <w:r w:rsidRPr="004F4364">
        <w:t>;</w:t>
      </w:r>
    </w:p>
    <w:p w:rsidR="00687CEE" w:rsidRPr="004F4364" w:rsidRDefault="00687CEE" w:rsidP="005B524E">
      <w:pPr>
        <w:pStyle w:val="ListParagraph"/>
        <w:numPr>
          <w:ilvl w:val="1"/>
          <w:numId w:val="43"/>
        </w:numPr>
        <w:suppressAutoHyphens w:val="0"/>
      </w:pPr>
      <w:r w:rsidRPr="004F4364">
        <w:t>vadybos strategij</w:t>
      </w:r>
      <w:r w:rsidR="00622E4B">
        <w:t>os</w:t>
      </w:r>
      <w:r w:rsidRPr="004F4364">
        <w:t xml:space="preserve">; </w:t>
      </w:r>
    </w:p>
    <w:p w:rsidR="00687CEE" w:rsidRPr="004F4364" w:rsidRDefault="00687CEE" w:rsidP="005B524E">
      <w:pPr>
        <w:pStyle w:val="ListParagraph"/>
        <w:numPr>
          <w:ilvl w:val="1"/>
          <w:numId w:val="43"/>
        </w:numPr>
        <w:suppressAutoHyphens w:val="0"/>
      </w:pPr>
      <w:r w:rsidRPr="004F4364">
        <w:t>konkurencij</w:t>
      </w:r>
      <w:r w:rsidR="00622E4B">
        <w:t>os</w:t>
      </w:r>
      <w:r w:rsidRPr="004F4364">
        <w:t>;</w:t>
      </w:r>
    </w:p>
    <w:p w:rsidR="00480A17" w:rsidRPr="004F4364" w:rsidRDefault="00480A17" w:rsidP="005B524E">
      <w:pPr>
        <w:pStyle w:val="ListParagraph"/>
        <w:numPr>
          <w:ilvl w:val="0"/>
          <w:numId w:val="43"/>
        </w:numPr>
        <w:suppressAutoHyphens w:val="0"/>
      </w:pPr>
      <w:r w:rsidRPr="004F4364">
        <w:t>Trūksta naujų idėjų bei požiūrių, nes ekspertų, išmanančių nuotolines studijas bei virtu</w:t>
      </w:r>
      <w:r w:rsidRPr="004F4364">
        <w:t>a</w:t>
      </w:r>
      <w:r w:rsidRPr="004F4364">
        <w:lastRenderedPageBreak/>
        <w:t xml:space="preserve">laus universiteto koncepcijos naujausias tendencijas, nėra daug. </w:t>
      </w:r>
      <w:r w:rsidR="00443882" w:rsidRPr="004F4364">
        <w:t>Š</w:t>
      </w:r>
      <w:r w:rsidRPr="004F4364">
        <w:t>ie ekspertai ne pirmus metus „verda savo sultyse“, t.y. dirba su įvairiomis nuotolinio mokymo(si) programomis ir nemato, kaip tos programos atrodo iš šalies.</w:t>
      </w:r>
    </w:p>
    <w:p w:rsidR="005E2BD1" w:rsidRPr="004F4364" w:rsidRDefault="005E2BD1" w:rsidP="005B524E">
      <w:pPr>
        <w:pStyle w:val="ListParagraph"/>
        <w:numPr>
          <w:ilvl w:val="0"/>
          <w:numId w:val="43"/>
        </w:numPr>
        <w:suppressAutoHyphens w:val="0"/>
      </w:pPr>
      <w:r w:rsidRPr="004F4364">
        <w:t xml:space="preserve">LVU </w:t>
      </w:r>
      <w:r w:rsidR="007B5E83" w:rsidRPr="004F4364">
        <w:t>sudaro</w:t>
      </w:r>
      <w:r w:rsidRPr="004F4364">
        <w:t xml:space="preserve"> 4 paprogrames</w:t>
      </w:r>
      <w:r w:rsidR="007B5E83" w:rsidRPr="004F4364">
        <w:t>, kurios</w:t>
      </w:r>
      <w:r w:rsidRPr="004F4364">
        <w:t xml:space="preserve"> </w:t>
      </w:r>
      <w:r w:rsidR="007B5E83" w:rsidRPr="004F4364">
        <w:t xml:space="preserve">yra </w:t>
      </w:r>
      <w:r w:rsidRPr="004F4364">
        <w:t>gan skirtingai veikia</w:t>
      </w:r>
      <w:r w:rsidR="007B5E83" w:rsidRPr="004F4364">
        <w:t>nčios</w:t>
      </w:r>
      <w:r w:rsidRPr="004F4364">
        <w:t xml:space="preserve">, </w:t>
      </w:r>
      <w:r w:rsidR="007B5E83" w:rsidRPr="004F4364">
        <w:t>todėl</w:t>
      </w:r>
      <w:r w:rsidRPr="004F4364">
        <w:t xml:space="preserve"> negali buti be</w:t>
      </w:r>
      <w:r w:rsidRPr="004F4364">
        <w:t>n</w:t>
      </w:r>
      <w:r w:rsidRPr="004F4364">
        <w:t>dro sprendimo.</w:t>
      </w:r>
      <w:r w:rsidR="007B5E83" w:rsidRPr="004F4364">
        <w:t xml:space="preserve"> </w:t>
      </w:r>
      <w:r w:rsidR="00286ABD" w:rsidRPr="004F4364">
        <w:t>Anot ekspertų, programa buvo suskirstyta į gan skirtingas paprogrames, tačiau siekiančias vieno tikslo, nes Lietuvoje sunku gauti finansavim</w:t>
      </w:r>
      <w:r w:rsidR="00496125">
        <w:t>ą</w:t>
      </w:r>
      <w:r w:rsidR="00286ABD" w:rsidRPr="004F4364">
        <w:t>, jei nepasiūlai ką nors „globalaus ir</w:t>
      </w:r>
      <w:r w:rsidR="00E72F67">
        <w:t xml:space="preserve"> vis</w:t>
      </w:r>
      <w:r w:rsidR="00622E4B">
        <w:t>a</w:t>
      </w:r>
      <w:r w:rsidR="00E72F67">
        <w:t xml:space="preserve"> apimančio“</w:t>
      </w:r>
      <w:r w:rsidR="00AE1378">
        <w:t>.</w:t>
      </w:r>
    </w:p>
    <w:p w:rsidR="00222D92" w:rsidRPr="004F4364" w:rsidRDefault="005E2BD1" w:rsidP="005B524E">
      <w:pPr>
        <w:pStyle w:val="ListParagraph"/>
        <w:numPr>
          <w:ilvl w:val="0"/>
          <w:numId w:val="43"/>
        </w:numPr>
        <w:suppressAutoHyphens w:val="0"/>
      </w:pPr>
      <w:r w:rsidRPr="004F4364">
        <w:t xml:space="preserve"> </w:t>
      </w:r>
      <w:r w:rsidR="00222D92" w:rsidRPr="004F4364">
        <w:t xml:space="preserve">„Noras iš pyrago gauti ko didesnį gabalą“ </w:t>
      </w:r>
      <w:r w:rsidR="00C770C9" w:rsidRPr="004F4364">
        <w:t>–</w:t>
      </w:r>
      <w:r w:rsidR="00222D92" w:rsidRPr="004F4364">
        <w:t xml:space="preserve"> </w:t>
      </w:r>
      <w:r w:rsidR="00C770C9" w:rsidRPr="004F4364">
        <w:t>kiekvienas programos dalyvis nori gauti ko didesnį finansavimą</w:t>
      </w:r>
      <w:r w:rsidR="009B2432" w:rsidRPr="004F4364">
        <w:t xml:space="preserve"> savo vykdomoms veikloms</w:t>
      </w:r>
      <w:r w:rsidR="00C770C9" w:rsidRPr="004F4364">
        <w:t>, todėl net programos rėmuose atsiranda konk</w:t>
      </w:r>
      <w:r w:rsidR="00AE1378">
        <w:t>urencija tarp programos dalyvių.</w:t>
      </w:r>
    </w:p>
    <w:p w:rsidR="00CC02FE" w:rsidRPr="004F4364" w:rsidRDefault="00D655B4" w:rsidP="005B524E">
      <w:pPr>
        <w:pStyle w:val="ListParagraph"/>
        <w:numPr>
          <w:ilvl w:val="0"/>
          <w:numId w:val="43"/>
        </w:numPr>
        <w:suppressAutoHyphens w:val="0"/>
      </w:pPr>
      <w:r w:rsidRPr="004F4364">
        <w:t>Nesusikalbėjimas</w:t>
      </w:r>
      <w:r w:rsidR="008B13BA" w:rsidRPr="004F4364">
        <w:t xml:space="preserve"> tarp atskirų programos dalyvių dėl tolimesnės programos vykdymo</w:t>
      </w:r>
      <w:r w:rsidR="00622E4B">
        <w:t>, pavyzdžiui</w:t>
      </w:r>
      <w:r w:rsidR="00657C02" w:rsidRPr="004F4364">
        <w:t xml:space="preserve"> ar naudoti atviro kodo virtualaus mokymo(si) aplinką, ar pirktis mokomos programinės įrangos licenciją</w:t>
      </w:r>
      <w:r w:rsidR="00CC02FE" w:rsidRPr="004F4364">
        <w:t>.</w:t>
      </w:r>
    </w:p>
    <w:p w:rsidR="00FD3598" w:rsidRPr="004F4364" w:rsidRDefault="00622E4B" w:rsidP="005B524E">
      <w:pPr>
        <w:pStyle w:val="ListParagraph"/>
        <w:numPr>
          <w:ilvl w:val="0"/>
          <w:numId w:val="43"/>
        </w:numPr>
        <w:suppressAutoHyphens w:val="0"/>
      </w:pPr>
      <w:r>
        <w:t>N</w:t>
      </w:r>
      <w:r w:rsidR="00CC02FE" w:rsidRPr="004F4364">
        <w:t>orima, jog visi nuotolinio mokymosi kursai būtų pasiekiami viename tinklalapyje</w:t>
      </w:r>
      <w:r w:rsidR="002353AD" w:rsidRPr="004F4364">
        <w:t>, t.y. tam tikroje vietoje</w:t>
      </w:r>
      <w:r w:rsidR="00CC02FE" w:rsidRPr="004F4364">
        <w:t xml:space="preserve"> būtų sukaupta visų Lietuvoje teikiamų nuotolinių kursų duomenų bazė, tačiau beveik visos aukštojo mokslo mokyklos turi savo virtualias mokymo(si) apli</w:t>
      </w:r>
      <w:r w:rsidR="00CC02FE" w:rsidRPr="004F4364">
        <w:t>n</w:t>
      </w:r>
      <w:r w:rsidR="00CC02FE" w:rsidRPr="004F4364">
        <w:t>kas ir todėl neturi motyvacijos keisti pačią sistemą.</w:t>
      </w:r>
    </w:p>
    <w:p w:rsidR="000E577A" w:rsidRPr="004F4364" w:rsidRDefault="000E577A" w:rsidP="005B524E">
      <w:pPr>
        <w:pStyle w:val="ListParagraph"/>
        <w:numPr>
          <w:ilvl w:val="0"/>
          <w:numId w:val="43"/>
        </w:numPr>
        <w:suppressAutoHyphens w:val="0"/>
      </w:pPr>
      <w:r w:rsidRPr="004F4364">
        <w:t>Programos veiklos skaidrumo trūkumas – respondentas paminėjo Valstybinio audito ataskait</w:t>
      </w:r>
      <w:r w:rsidR="00C65020">
        <w:t>ą</w:t>
      </w:r>
      <w:r w:rsidRPr="004F4364">
        <w:t xml:space="preserve"> dėl Lietuvos Respublikos švietimo ir mokslo ministerijoje atlikto finansinio (teis</w:t>
      </w:r>
      <w:r w:rsidRPr="004F4364">
        <w:t>ė</w:t>
      </w:r>
      <w:r w:rsidRPr="004F4364">
        <w:t>tumo) audito rezultatų, kurioje minima, kad Kauno technologijos universitetas, remdam</w:t>
      </w:r>
      <w:r w:rsidRPr="004F4364">
        <w:t>a</w:t>
      </w:r>
      <w:r w:rsidRPr="004F4364">
        <w:t xml:space="preserve">sis Lietuvos virtualaus universiteto tarybos nutarimu, dalį valstybės biudžeto asignavimų (165,6 tūkst. Lt) ministerijos skirtų Lietuvos virtualaus universiteto programos vykdymui 2008 m. pagal patvirtintą </w:t>
      </w:r>
      <w:r w:rsidR="00AD569D" w:rsidRPr="004F4364">
        <w:t>s</w:t>
      </w:r>
      <w:r w:rsidR="00AD569D">
        <w:t>ą</w:t>
      </w:r>
      <w:r w:rsidR="00AD569D" w:rsidRPr="004F4364">
        <w:t>matą</w:t>
      </w:r>
      <w:r w:rsidRPr="004F4364">
        <w:t>, nepagrįstai panaudojo įstaigos išlaikymo (elektros energijos) išlaidoms dengti.</w:t>
      </w:r>
      <w:r w:rsidR="00913304" w:rsidRPr="004F4364">
        <w:t xml:space="preserve"> Be to, buvo minėtas ir kitas aspektas – programos pagrind</w:t>
      </w:r>
      <w:r w:rsidR="00913304" w:rsidRPr="004F4364">
        <w:t>i</w:t>
      </w:r>
      <w:r w:rsidR="00913304" w:rsidRPr="004F4364">
        <w:t>niai vykdytojai buvo pasirinkti iš programos dalyvių rat</w:t>
      </w:r>
      <w:r w:rsidR="003476EE" w:rsidRPr="004F4364">
        <w:t>o, t.y. pagrinde visus darbus vy</w:t>
      </w:r>
      <w:r w:rsidR="003476EE" w:rsidRPr="004F4364">
        <w:t>k</w:t>
      </w:r>
      <w:r w:rsidR="003476EE" w:rsidRPr="004F4364">
        <w:t>dė universitetų dėstytojai. Anot pašnekovo, programa vykdytojams rūpėjo ne tik teorine ar strategine prasme, bet ir iš praktinės pus</w:t>
      </w:r>
      <w:r w:rsidR="00AD569D">
        <w:t>ė</w:t>
      </w:r>
      <w:r w:rsidR="003476EE" w:rsidRPr="004F4364">
        <w:t xml:space="preserve">s, nes tokie darbai yra papildomai apmokami. </w:t>
      </w:r>
      <w:r w:rsidR="005E2BD1" w:rsidRPr="004F4364">
        <w:t>Todėl nėra efektyviai naudojamos programos įgyvendinimui skirtos lėšos, o kartu yra</w:t>
      </w:r>
      <w:r w:rsidR="003476EE" w:rsidRPr="004F4364">
        <w:t xml:space="preserve"> sunku tikėtis skaidrumo, nes dauguma programos dalyvių ir vykdytojų yra suinteresuoti dalyvavime </w:t>
      </w:r>
      <w:r w:rsidR="00AE1378">
        <w:t>iš finansinių paska</w:t>
      </w:r>
      <w:r w:rsidR="003476EE" w:rsidRPr="004F4364">
        <w:t>tų</w:t>
      </w:r>
      <w:r w:rsidR="00913304" w:rsidRPr="004F4364">
        <w:t>.</w:t>
      </w:r>
    </w:p>
    <w:p w:rsidR="009117DF" w:rsidRPr="004F4364" w:rsidRDefault="000E577A" w:rsidP="005B524E">
      <w:pPr>
        <w:pStyle w:val="ListParagraph"/>
        <w:numPr>
          <w:ilvl w:val="0"/>
          <w:numId w:val="43"/>
        </w:numPr>
        <w:suppressAutoHyphens w:val="0"/>
      </w:pPr>
      <w:r w:rsidRPr="004F4364">
        <w:t>Nepakankamas programos viešinimas – oficialioje LVU svetainėje</w:t>
      </w:r>
      <w:r w:rsidR="003C4D42">
        <w:rPr>
          <w:rStyle w:val="FootnoteReference"/>
        </w:rPr>
        <w:footnoteReference w:id="2"/>
      </w:r>
      <w:r w:rsidRPr="004F4364">
        <w:t xml:space="preserve"> pateikiamas skurdus informacijos kiekis</w:t>
      </w:r>
      <w:r w:rsidR="001A360B" w:rsidRPr="004F4364">
        <w:t>, o ir anksčiau daryti tyrimai parodė, kad LVU pro</w:t>
      </w:r>
      <w:r w:rsidR="00622E4B">
        <w:t xml:space="preserve">gramos žinomumas </w:t>
      </w:r>
      <w:r w:rsidR="00622E4B">
        <w:lastRenderedPageBreak/>
        <w:t>nėra didelis: š</w:t>
      </w:r>
      <w:r w:rsidR="001A360B" w:rsidRPr="004F4364">
        <w:t xml:space="preserve">ias programas gerai žino </w:t>
      </w:r>
      <w:r w:rsidR="009E43A2" w:rsidRPr="004F4364">
        <w:t xml:space="preserve">maždaug </w:t>
      </w:r>
      <w:r w:rsidR="001A360B" w:rsidRPr="004F4364">
        <w:t>3</w:t>
      </w:r>
      <w:r w:rsidR="009E43A2" w:rsidRPr="004F4364">
        <w:t xml:space="preserve"> </w:t>
      </w:r>
      <w:r w:rsidR="001A360B" w:rsidRPr="004F4364">
        <w:t xml:space="preserve">proc. </w:t>
      </w:r>
      <w:r w:rsidR="005C6E99" w:rsidRPr="004F4364">
        <w:t>e</w:t>
      </w:r>
      <w:r w:rsidR="003E41D5" w:rsidRPr="004F4364">
        <w:t>. mokymo</w:t>
      </w:r>
      <w:r w:rsidR="005C6E99" w:rsidRPr="004F4364">
        <w:t>(</w:t>
      </w:r>
      <w:r w:rsidR="003E41D5" w:rsidRPr="004F4364">
        <w:t>si</w:t>
      </w:r>
      <w:r w:rsidR="005C6E99" w:rsidRPr="004F4364">
        <w:t>)</w:t>
      </w:r>
      <w:r w:rsidR="003E41D5" w:rsidRPr="004F4364">
        <w:t xml:space="preserve"> ypatybių švietimo sektoriuose studijos tyrime dalyvavusių </w:t>
      </w:r>
      <w:r w:rsidR="001A360B" w:rsidRPr="004F4364">
        <w:t>respondentų.</w:t>
      </w:r>
    </w:p>
    <w:p w:rsidR="007D48F0" w:rsidRPr="004F4364" w:rsidRDefault="007D48F0" w:rsidP="005B524E">
      <w:pPr>
        <w:pStyle w:val="ListParagraph"/>
        <w:numPr>
          <w:ilvl w:val="0"/>
          <w:numId w:val="43"/>
        </w:numPr>
        <w:suppressAutoHyphens w:val="0"/>
      </w:pPr>
      <w:r w:rsidRPr="004F4364">
        <w:t>LVU tarybos klaidos – respondentas minėjo, kad LVU taryba padarė pakankamai daug klaidų vadovaujant bei kuriant vystymosi strategij</w:t>
      </w:r>
      <w:r w:rsidR="00622E4B">
        <w:t>ą</w:t>
      </w:r>
      <w:r w:rsidRPr="004F4364">
        <w:t>, tačiau detalizuoti nepanoro.</w:t>
      </w:r>
    </w:p>
    <w:p w:rsidR="00345B05" w:rsidRPr="004F4364" w:rsidRDefault="00345B05" w:rsidP="005B524E">
      <w:pPr>
        <w:pStyle w:val="ListParagraph"/>
        <w:numPr>
          <w:ilvl w:val="0"/>
          <w:numId w:val="43"/>
        </w:numPr>
        <w:suppressAutoHyphens w:val="0"/>
      </w:pPr>
      <w:r w:rsidRPr="004F4364">
        <w:t>Buvo atskleisti ir istoriniai momentai: prieš 20 metų, kuriant Lietuvos švietimo ir mokslo sistemą, nebuvo galvojama apie universitetų konkurenciją, todėl atsiradus aukštojo mok</w:t>
      </w:r>
      <w:r w:rsidRPr="004F4364">
        <w:t>s</w:t>
      </w:r>
      <w:r w:rsidRPr="004F4364">
        <w:t>lo rinkai, sistema nustojo veikti, tačiau iš įpratimo kai kurie projektai buvo vykdomi kaip ir anksčiau – centralizuotai, t.y. valstybė užtikrina finansavimą, o projektų dalyviai tik j</w:t>
      </w:r>
      <w:r w:rsidR="00AD569D">
        <w:t>u</w:t>
      </w:r>
      <w:r w:rsidRPr="004F4364">
        <w:t xml:space="preserve">os vykdo. Vienas tokių projektų yra kaip tik Lietuvos virtualaus universiteto programa bei prieš tai vykusios programos. </w:t>
      </w:r>
      <w:r w:rsidR="00CB1779" w:rsidRPr="004F4364">
        <w:t>Iš Lietuvos Respublikos švietimo ministerijos atsiranda supratimas, kad aukštojo mokslo mokykl</w:t>
      </w:r>
      <w:r w:rsidR="004E5D9C">
        <w:t>o</w:t>
      </w:r>
      <w:r w:rsidR="00CB1779" w:rsidRPr="004F4364">
        <w:t>s turėtų iš dalies prisidėti prie projektų ir pr</w:t>
      </w:r>
      <w:r w:rsidR="00CB1779" w:rsidRPr="004F4364">
        <w:t>o</w:t>
      </w:r>
      <w:r w:rsidR="00CB1779" w:rsidRPr="004F4364">
        <w:t xml:space="preserve">gramų finansavimo kaip tai daroma su Lietuvos Respublikos ūkio </w:t>
      </w:r>
      <w:r w:rsidR="003651D9" w:rsidRPr="004F4364">
        <w:t xml:space="preserve">ministerijos </w:t>
      </w:r>
      <w:r w:rsidR="00AE1378">
        <w:t>projektais.</w:t>
      </w:r>
    </w:p>
    <w:p w:rsidR="00AC351E" w:rsidRPr="004F4364" w:rsidRDefault="00427F82" w:rsidP="005B524E">
      <w:pPr>
        <w:pStyle w:val="ListParagraph"/>
        <w:numPr>
          <w:ilvl w:val="0"/>
          <w:numId w:val="43"/>
        </w:numPr>
        <w:suppressAutoHyphens w:val="0"/>
      </w:pPr>
      <w:r w:rsidRPr="004F4364">
        <w:t>Taryba buvo pakeista, nes keitėsi požiūris į tarybą. Detalizuojant</w:t>
      </w:r>
      <w:r w:rsidR="00AC351E" w:rsidRPr="004F4364">
        <w:t>,</w:t>
      </w:r>
      <w:r w:rsidRPr="004F4364">
        <w:t xml:space="preserve"> </w:t>
      </w:r>
      <w:r w:rsidR="00A9737B" w:rsidRPr="004F4364">
        <w:t xml:space="preserve">kaip buvo aukščiau minėta, </w:t>
      </w:r>
      <w:r w:rsidRPr="004F4364">
        <w:t>iš Lietuvos Respublikos švietimo ministerijos pusės keičiasi supratimas kaip programa turi būti vykdoma bei finansuojama. Programos pradžioje buvo svarbu, kad dalyvautų visų pagrindinių subjektų atstovai bei žmonės turintys specifinių e. mokymo(si) o</w:t>
      </w:r>
      <w:r w:rsidRPr="004F4364">
        <w:t>r</w:t>
      </w:r>
      <w:r w:rsidRPr="004F4364">
        <w:t>ganizavimo žinių. Šiuo metu, besikeičiant požiūriui bei atsiradus programos decentraliz</w:t>
      </w:r>
      <w:r w:rsidRPr="004F4364">
        <w:t>a</w:t>
      </w:r>
      <w:r w:rsidRPr="004F4364">
        <w:t>cijos idėjai, kartu atsirado poreikis sprendim</w:t>
      </w:r>
      <w:r w:rsidR="00FF651A">
        <w:t>ų</w:t>
      </w:r>
      <w:r w:rsidRPr="004F4364">
        <w:t xml:space="preserve"> priėmimui</w:t>
      </w:r>
      <w:r w:rsidR="006C6637" w:rsidRPr="004F4364">
        <w:t xml:space="preserve"> bei strateginiam planavimui</w:t>
      </w:r>
      <w:r w:rsidRPr="004F4364">
        <w:t>.</w:t>
      </w:r>
      <w:r w:rsidR="00AC351E" w:rsidRPr="004F4364">
        <w:t xml:space="preserve"> </w:t>
      </w:r>
    </w:p>
    <w:p w:rsidR="006A13FD" w:rsidRPr="004F4364" w:rsidRDefault="006A13FD" w:rsidP="005B524E">
      <w:pPr>
        <w:pStyle w:val="ListParagraph"/>
        <w:numPr>
          <w:ilvl w:val="0"/>
          <w:numId w:val="43"/>
        </w:numPr>
        <w:suppressAutoHyphens w:val="0"/>
      </w:pPr>
      <w:r w:rsidRPr="004F4364">
        <w:t>Nėra tinkamo LVU kokybės įvertinimo;</w:t>
      </w:r>
    </w:p>
    <w:p w:rsidR="006A13FD" w:rsidRPr="004F4364" w:rsidRDefault="00BF3B11" w:rsidP="005B524E">
      <w:pPr>
        <w:pStyle w:val="ListParagraph"/>
        <w:numPr>
          <w:ilvl w:val="0"/>
          <w:numId w:val="43"/>
        </w:numPr>
        <w:suppressAutoHyphens w:val="0"/>
      </w:pPr>
      <w:r w:rsidRPr="004F4364">
        <w:t>Nėra sutarčių tarp universitetų, viskas v</w:t>
      </w:r>
      <w:r w:rsidR="00494191">
        <w:t>yksta tik programos pagrindu. Ši</w:t>
      </w:r>
      <w:r w:rsidRPr="004F4364">
        <w:t xml:space="preserve"> situacija sudaro prielaidas atsakomybės vengimui bei sunkesniam koordinavimui bei kooperacijai. </w:t>
      </w:r>
    </w:p>
    <w:p w:rsidR="003C6DA7" w:rsidRPr="004F4364" w:rsidRDefault="003C6DA7" w:rsidP="005B524E">
      <w:pPr>
        <w:suppressAutoHyphens w:val="0"/>
      </w:pPr>
      <w:r w:rsidRPr="004F4364">
        <w:t xml:space="preserve">Taigi, apibendrinat išsakytas mintis, </w:t>
      </w:r>
      <w:r w:rsidR="009C6CC1" w:rsidRPr="004F4364">
        <w:t>ne</w:t>
      </w:r>
      <w:r w:rsidRPr="004F4364">
        <w:t xml:space="preserve">galima </w:t>
      </w:r>
      <w:r w:rsidR="009C6CC1" w:rsidRPr="004F4364">
        <w:t>nepažymėti</w:t>
      </w:r>
      <w:r w:rsidR="009F3CF1">
        <w:t xml:space="preserve"> interviu metu susidariusios nuomonės</w:t>
      </w:r>
      <w:r w:rsidRPr="004F4364">
        <w:t>, kad</w:t>
      </w:r>
      <w:r w:rsidR="00441FD3">
        <w:t>,</w:t>
      </w:r>
      <w:r w:rsidRPr="004F4364">
        <w:t xml:space="preserve"> </w:t>
      </w:r>
      <w:r w:rsidR="00441FD3">
        <w:t xml:space="preserve">nepaisant aukščiau įvardintų barjerų, </w:t>
      </w:r>
      <w:r w:rsidRPr="004F4364">
        <w:t>Lietuvos virtualus universitetas bei pati virtualaus univers</w:t>
      </w:r>
      <w:r w:rsidRPr="004F4364">
        <w:t>i</w:t>
      </w:r>
      <w:r w:rsidRPr="004F4364">
        <w:t>teto idėja yra vertinama</w:t>
      </w:r>
      <w:r w:rsidR="00196E49" w:rsidRPr="004F4364">
        <w:t xml:space="preserve"> visgi </w:t>
      </w:r>
      <w:r w:rsidR="00772128" w:rsidRPr="004F4364">
        <w:t>labiau</w:t>
      </w:r>
      <w:r w:rsidRPr="004F4364">
        <w:t xml:space="preserve"> teigiamai</w:t>
      </w:r>
      <w:r w:rsidR="00772128" w:rsidRPr="004F4364">
        <w:t xml:space="preserve"> nei neigiamai</w:t>
      </w:r>
      <w:r w:rsidRPr="004F4364">
        <w:t xml:space="preserve">, tačiau </w:t>
      </w:r>
      <w:r w:rsidR="00441FD3">
        <w:t xml:space="preserve">būtina spręsti problemas ir </w:t>
      </w:r>
      <w:r w:rsidR="00D87FFB">
        <w:t>pa</w:t>
      </w:r>
      <w:r w:rsidR="00441FD3">
        <w:t>šali</w:t>
      </w:r>
      <w:r w:rsidR="00441FD3">
        <w:t>n</w:t>
      </w:r>
      <w:r w:rsidR="00441FD3">
        <w:t>ti</w:t>
      </w:r>
      <w:r w:rsidRPr="004F4364">
        <w:t xml:space="preserve"> daug barjerų.</w:t>
      </w:r>
    </w:p>
    <w:p w:rsidR="008274AA" w:rsidRDefault="000E1D15" w:rsidP="005B524E">
      <w:pPr>
        <w:pStyle w:val="Heading2"/>
        <w:suppressAutoHyphens w:val="0"/>
      </w:pPr>
      <w:bookmarkStart w:id="57" w:name="_Toc251011268"/>
      <w:r w:rsidRPr="008274AA">
        <w:t>V</w:t>
      </w:r>
      <w:r w:rsidR="00BC4260">
        <w:t>iešojo ir privataus sektorių partnerystė</w:t>
      </w:r>
      <w:r w:rsidRPr="008274AA">
        <w:t xml:space="preserve"> Lietuvoje</w:t>
      </w:r>
      <w:bookmarkEnd w:id="57"/>
    </w:p>
    <w:p w:rsidR="004A0E4C" w:rsidRPr="004F4364" w:rsidRDefault="001B206F" w:rsidP="005B524E">
      <w:pPr>
        <w:pStyle w:val="BodyText"/>
        <w:suppressAutoHyphens w:val="0"/>
      </w:pPr>
      <w:r w:rsidRPr="004F4364">
        <w:t>Respondentai, paklausti apie VPSP situaciją Lietuvoje</w:t>
      </w:r>
      <w:r w:rsidR="007E0D37" w:rsidRPr="004F4364">
        <w:t xml:space="preserve">, nebuvo linkę </w:t>
      </w:r>
      <w:r w:rsidR="00846AA6" w:rsidRPr="004F4364">
        <w:t xml:space="preserve">slėpti </w:t>
      </w:r>
      <w:r w:rsidR="007E0D37" w:rsidRPr="004F4364">
        <w:t>savo požiūrio į vieš</w:t>
      </w:r>
      <w:r w:rsidR="007E0D37" w:rsidRPr="004F4364">
        <w:t>o</w:t>
      </w:r>
      <w:r w:rsidR="007E0D37" w:rsidRPr="004F4364">
        <w:t>jo ir privataus sektorių partnerystę</w:t>
      </w:r>
      <w:r w:rsidR="00A9309A" w:rsidRPr="004F4364">
        <w:t xml:space="preserve"> ir gan kritiškai, bet taikliai išsakydavo savo nuomonę apie esamą situaciją.</w:t>
      </w:r>
      <w:r w:rsidR="00640FE4" w:rsidRPr="004F4364">
        <w:t xml:space="preserve"> </w:t>
      </w:r>
      <w:r w:rsidR="0047268E" w:rsidRPr="004F4364">
        <w:t>Beveik visi respondentai savo samprotavimus apie VPSP, pradėdavo panašiais žodžiais</w:t>
      </w:r>
      <w:r w:rsidR="007B2C98" w:rsidRPr="004F4364">
        <w:t>, kad</w:t>
      </w:r>
      <w:r w:rsidR="0047268E" w:rsidRPr="004F4364">
        <w:t xml:space="preserve"> </w:t>
      </w:r>
      <w:r w:rsidR="007B2C98" w:rsidRPr="004F4364">
        <w:t>v</w:t>
      </w:r>
      <w:r w:rsidR="0047268E" w:rsidRPr="004F4364">
        <w:t>iešojo ir privataus sektorių partnerystė gali sukurti didelę naudą valstybei</w:t>
      </w:r>
      <w:r w:rsidR="007B2C98" w:rsidRPr="004F4364">
        <w:t>, tačiau nors poreikis vykdyti VPSP projektus Lietuvoje yra itin aktualus, dalis svarbių projektų nevykdomi, o vykdomų skaičius ir mastas netenkina esamų poreikių.</w:t>
      </w:r>
      <w:r w:rsidR="00653AB3" w:rsidRPr="004F4364">
        <w:t xml:space="preserve"> VPSP projektų inicijavimą bei įgyvendinimą apsunkina nepakankamas dėmesys VPSP politikai ir strategijai Lietuvoje, </w:t>
      </w:r>
      <w:r w:rsidR="001052CE" w:rsidRPr="004F4364">
        <w:t>nepakankamas teisinis reglamentav</w:t>
      </w:r>
      <w:r w:rsidR="001052CE" w:rsidRPr="004F4364">
        <w:t>i</w:t>
      </w:r>
      <w:r w:rsidR="001052CE" w:rsidRPr="004F4364">
        <w:lastRenderedPageBreak/>
        <w:t xml:space="preserve">mas </w:t>
      </w:r>
      <w:r w:rsidR="00653AB3" w:rsidRPr="004F4364">
        <w:t>(pvz. nereglamentuotas viešojo ir privataus sektorių partnerystės apibrėžimas ar neapibrėžtos galimos partnerystės formos)</w:t>
      </w:r>
      <w:r w:rsidR="0052035F" w:rsidRPr="004F4364">
        <w:t xml:space="preserve"> ir t. t</w:t>
      </w:r>
      <w:r w:rsidR="0084621F" w:rsidRPr="004F4364">
        <w:t xml:space="preserve">. </w:t>
      </w:r>
    </w:p>
    <w:p w:rsidR="0084621F" w:rsidRPr="004F4364" w:rsidRDefault="0084621F" w:rsidP="005B524E">
      <w:pPr>
        <w:pStyle w:val="BodyText"/>
        <w:suppressAutoHyphens w:val="0"/>
      </w:pPr>
      <w:r w:rsidRPr="004F4364">
        <w:t>Dėl šios priežasties, pastebima, kad partnerystė (bendradarbiavimas) paprastai suprantama pl</w:t>
      </w:r>
      <w:r w:rsidRPr="004F4364">
        <w:t>a</w:t>
      </w:r>
      <w:r w:rsidRPr="004F4364">
        <w:t>čiau nei viešoji ir privati partnerystė.</w:t>
      </w:r>
    </w:p>
    <w:p w:rsidR="00D22A88" w:rsidRPr="004F4364" w:rsidRDefault="00D7768C" w:rsidP="005B524E">
      <w:pPr>
        <w:pStyle w:val="BodyText"/>
        <w:suppressAutoHyphens w:val="0"/>
        <w:ind w:firstLine="540"/>
      </w:pPr>
      <w:r w:rsidRPr="004F4364">
        <w:t>Ekspertų manymu, Lietuvoje viešojo ir privataus sektorių partnerystės veiksmingumas yra mažai tyrinėtas: nebuvo kompleksiškai įvertinta privataus sektoriaus teikiama viešųjų paslaugų kokybė.</w:t>
      </w:r>
      <w:r w:rsidR="00292F64" w:rsidRPr="004F4364">
        <w:t xml:space="preserve"> </w:t>
      </w:r>
      <w:r w:rsidR="00D22A88" w:rsidRPr="004F4364">
        <w:t>O pats bendradarbiavimas tiek švietimo ir mokslo sferoje, tiek valstybės mastu yra tiesmukiškas, da</w:t>
      </w:r>
      <w:r w:rsidR="00D22A88" w:rsidRPr="004F4364">
        <w:t>ž</w:t>
      </w:r>
      <w:r w:rsidR="00D22A88" w:rsidRPr="004F4364">
        <w:t>niausiai tik per užsakymus.</w:t>
      </w:r>
    </w:p>
    <w:p w:rsidR="00D7521C" w:rsidRPr="004F4364" w:rsidRDefault="002A525E" w:rsidP="005B524E">
      <w:pPr>
        <w:pStyle w:val="BodyText"/>
        <w:suppressAutoHyphens w:val="0"/>
      </w:pPr>
      <w:r w:rsidRPr="004F4364">
        <w:t>Nors ekspertai VPSP vertina pozityviai, tačiau interviu atskleidė, kad egzistuoja pakankamai daug VPSP problemų valstybiniu lygmeniu, todėl, prieš naudojant VPSP Lietuvos virtualaus univers</w:t>
      </w:r>
      <w:r w:rsidRPr="004F4364">
        <w:t>i</w:t>
      </w:r>
      <w:r w:rsidRPr="004F4364">
        <w:t>teto programoje, būtina valstybiniu lygmeniu identifikuoti ir spręsti problemas.</w:t>
      </w:r>
      <w:r w:rsidR="00643D74" w:rsidRPr="004F4364">
        <w:t xml:space="preserve"> </w:t>
      </w:r>
      <w:r w:rsidR="00D7521C" w:rsidRPr="004F4364">
        <w:t>Ekspertų pagalba</w:t>
      </w:r>
      <w:r w:rsidR="001052CE" w:rsidRPr="004F4364">
        <w:t xml:space="preserve"> buvo identifikuotos </w:t>
      </w:r>
      <w:r w:rsidR="00643D74" w:rsidRPr="004F4364">
        <w:t>šios</w:t>
      </w:r>
      <w:r w:rsidR="001052CE" w:rsidRPr="004F4364">
        <w:t xml:space="preserve"> problemos:</w:t>
      </w:r>
    </w:p>
    <w:p w:rsidR="009B5CBC" w:rsidRPr="004F4364" w:rsidRDefault="004A0E4C" w:rsidP="005B524E">
      <w:pPr>
        <w:pStyle w:val="ListParagraph"/>
        <w:numPr>
          <w:ilvl w:val="0"/>
          <w:numId w:val="45"/>
        </w:numPr>
        <w:suppressAutoHyphens w:val="0"/>
      </w:pPr>
      <w:r w:rsidRPr="004F4364">
        <w:t>n</w:t>
      </w:r>
      <w:r w:rsidR="009B5CBC" w:rsidRPr="004F4364">
        <w:t>ėra aiškios politinės valios vystyti VPSP;</w:t>
      </w:r>
    </w:p>
    <w:p w:rsidR="009B5CBC" w:rsidRPr="004F4364" w:rsidRDefault="004A0E4C" w:rsidP="005B524E">
      <w:pPr>
        <w:pStyle w:val="ListParagraph"/>
        <w:numPr>
          <w:ilvl w:val="0"/>
          <w:numId w:val="45"/>
        </w:numPr>
        <w:suppressAutoHyphens w:val="0"/>
      </w:pPr>
      <w:r w:rsidRPr="004F4364">
        <w:t>e</w:t>
      </w:r>
      <w:r w:rsidR="009B5CBC" w:rsidRPr="004F4364">
        <w:t>sama LR teisinė bazė nepakankamai reglamentuoja VPSP formas, galimybes, procesus ir t. t.;</w:t>
      </w:r>
    </w:p>
    <w:p w:rsidR="009B5CBC" w:rsidRPr="004F4364" w:rsidRDefault="004A0E4C" w:rsidP="005B524E">
      <w:pPr>
        <w:pStyle w:val="ListParagraph"/>
        <w:numPr>
          <w:ilvl w:val="0"/>
          <w:numId w:val="45"/>
        </w:numPr>
        <w:suppressAutoHyphens w:val="0"/>
      </w:pPr>
      <w:r w:rsidRPr="004F4364">
        <w:t>n</w:t>
      </w:r>
      <w:r w:rsidR="009B5CBC" w:rsidRPr="004F4364">
        <w:t>ėra parengtos VPSP strategijos;</w:t>
      </w:r>
    </w:p>
    <w:p w:rsidR="009B5CBC" w:rsidRPr="004F4364" w:rsidRDefault="004A0E4C" w:rsidP="005B524E">
      <w:pPr>
        <w:pStyle w:val="ListParagraph"/>
        <w:numPr>
          <w:ilvl w:val="0"/>
          <w:numId w:val="45"/>
        </w:numPr>
        <w:suppressAutoHyphens w:val="0"/>
      </w:pPr>
      <w:r w:rsidRPr="004F4364">
        <w:t>n</w:t>
      </w:r>
      <w:r w:rsidR="009B5CBC" w:rsidRPr="004F4364">
        <w:t>ėra valstybinės institucijos atsakingos už VPSP naudojimo plėtrą;</w:t>
      </w:r>
    </w:p>
    <w:p w:rsidR="009B5CBC" w:rsidRPr="004F4364" w:rsidRDefault="004A0E4C" w:rsidP="005B524E">
      <w:pPr>
        <w:pStyle w:val="ListParagraph"/>
        <w:numPr>
          <w:ilvl w:val="0"/>
          <w:numId w:val="45"/>
        </w:numPr>
        <w:suppressAutoHyphens w:val="0"/>
      </w:pPr>
      <w:r w:rsidRPr="004F4364">
        <w:t>n</w:t>
      </w:r>
      <w:r w:rsidR="009B5CBC" w:rsidRPr="004F4364">
        <w:t>ėra aiškaus kompetencijos apie VPSP paskirstymo tarp viešojo administravimo instituc</w:t>
      </w:r>
      <w:r w:rsidR="009B5CBC" w:rsidRPr="004F4364">
        <w:t>i</w:t>
      </w:r>
      <w:r w:rsidR="009B5CBC" w:rsidRPr="004F4364">
        <w:t>jų ir įstaigų;</w:t>
      </w:r>
    </w:p>
    <w:p w:rsidR="009B5CBC" w:rsidRPr="004F4364" w:rsidRDefault="004A0E4C" w:rsidP="005B524E">
      <w:pPr>
        <w:pStyle w:val="ListParagraph"/>
        <w:numPr>
          <w:ilvl w:val="0"/>
          <w:numId w:val="45"/>
        </w:numPr>
        <w:suppressAutoHyphens w:val="0"/>
      </w:pPr>
      <w:r w:rsidRPr="004F4364">
        <w:t>p</w:t>
      </w:r>
      <w:r w:rsidR="009B5CBC" w:rsidRPr="004F4364">
        <w:t>raktiškai nevyksta visuomenės informavimas apie VPSP galimybes ir naud</w:t>
      </w:r>
      <w:r w:rsidR="00622E4B">
        <w:t>ą</w:t>
      </w:r>
      <w:r w:rsidR="009B5CBC" w:rsidRPr="004F4364">
        <w:t>;</w:t>
      </w:r>
    </w:p>
    <w:p w:rsidR="009B5CBC" w:rsidRPr="004F4364" w:rsidRDefault="004A0E4C" w:rsidP="005B524E">
      <w:pPr>
        <w:pStyle w:val="ListParagraph"/>
        <w:numPr>
          <w:ilvl w:val="0"/>
          <w:numId w:val="45"/>
        </w:numPr>
        <w:suppressAutoHyphens w:val="0"/>
      </w:pPr>
      <w:r w:rsidRPr="004F4364">
        <w:t>v</w:t>
      </w:r>
      <w:r w:rsidR="009B5CBC" w:rsidRPr="004F4364">
        <w:t>erslas nėra skatinamas dalyvauti viešojo ir privataus sektorių partnerystėje;</w:t>
      </w:r>
    </w:p>
    <w:p w:rsidR="009B5CBC" w:rsidRPr="004F4364" w:rsidRDefault="004A0E4C" w:rsidP="005B524E">
      <w:pPr>
        <w:pStyle w:val="ListParagraph"/>
        <w:numPr>
          <w:ilvl w:val="0"/>
          <w:numId w:val="45"/>
        </w:numPr>
        <w:suppressAutoHyphens w:val="0"/>
      </w:pPr>
      <w:r w:rsidRPr="004F4364">
        <w:t>v</w:t>
      </w:r>
      <w:r w:rsidR="009B5CBC" w:rsidRPr="004F4364">
        <w:t>ykdomas viešojo ir privataus sektorių bendradarbiavimas nėra visiškai skaidrus ir ai</w:t>
      </w:r>
      <w:r w:rsidR="009B5CBC" w:rsidRPr="004F4364">
        <w:t>š</w:t>
      </w:r>
      <w:r w:rsidR="009B5CBC" w:rsidRPr="004F4364">
        <w:t>kus;</w:t>
      </w:r>
    </w:p>
    <w:p w:rsidR="009B5CBC" w:rsidRPr="004F4364" w:rsidRDefault="004A0E4C" w:rsidP="005B524E">
      <w:pPr>
        <w:pStyle w:val="BodyText"/>
        <w:numPr>
          <w:ilvl w:val="0"/>
          <w:numId w:val="45"/>
        </w:numPr>
        <w:suppressAutoHyphens w:val="0"/>
      </w:pPr>
      <w:r w:rsidRPr="004F4364">
        <w:t>t</w:t>
      </w:r>
      <w:r w:rsidR="009B5CBC" w:rsidRPr="004F4364">
        <w:t>rūksta konsultacinės pagalbos dėl VPSP metodikos, teisinio reglamentavimo ir kitais klausimais;</w:t>
      </w:r>
    </w:p>
    <w:p w:rsidR="001052CE" w:rsidRPr="004F4364" w:rsidRDefault="004A0E4C" w:rsidP="005B524E">
      <w:pPr>
        <w:pStyle w:val="BodyText"/>
        <w:numPr>
          <w:ilvl w:val="0"/>
          <w:numId w:val="44"/>
        </w:numPr>
        <w:suppressAutoHyphens w:val="0"/>
      </w:pPr>
      <w:r w:rsidRPr="004F4364">
        <w:t>t</w:t>
      </w:r>
      <w:r w:rsidR="001052CE" w:rsidRPr="004F4364">
        <w:t>rūksta patirties bei valstybinio ir sektorinio lygmens mokym</w:t>
      </w:r>
      <w:r w:rsidR="009542B7">
        <w:t>ų</w:t>
      </w:r>
      <w:r w:rsidR="001052CE" w:rsidRPr="004F4364">
        <w:t>;</w:t>
      </w:r>
    </w:p>
    <w:p w:rsidR="001674BC" w:rsidRPr="004F4364" w:rsidRDefault="004A0E4C" w:rsidP="005B524E">
      <w:pPr>
        <w:pStyle w:val="BodyText"/>
        <w:numPr>
          <w:ilvl w:val="0"/>
          <w:numId w:val="44"/>
        </w:numPr>
        <w:suppressAutoHyphens w:val="0"/>
      </w:pPr>
      <w:r w:rsidRPr="004F4364">
        <w:t>t</w:t>
      </w:r>
      <w:r w:rsidR="001674BC" w:rsidRPr="004F4364">
        <w:t>rūksta stipraus koordinavimo nacionaliniu bei sektoriniu lygmeniu;</w:t>
      </w:r>
    </w:p>
    <w:p w:rsidR="00083D68" w:rsidRPr="004F4364" w:rsidRDefault="004A0E4C" w:rsidP="005B524E">
      <w:pPr>
        <w:pStyle w:val="BodyText"/>
        <w:numPr>
          <w:ilvl w:val="0"/>
          <w:numId w:val="44"/>
        </w:numPr>
        <w:suppressAutoHyphens w:val="0"/>
      </w:pPr>
      <w:r w:rsidRPr="004F4364">
        <w:t>n</w:t>
      </w:r>
      <w:r w:rsidR="00083D68" w:rsidRPr="004F4364">
        <w:t>ekreipiama dėmesio į finansinį modeliavimą. Pasak eksperto, finansinis modeliavimas yra viena iš pagrindinių VPSP projekto dalių, kuri parodo tikrąją tokio projekto vertę, padeda įvertinti projekto patikimumą ir patrauklumą bei padeda tiksliau suformuluoti u</w:t>
      </w:r>
      <w:r w:rsidR="00083D68" w:rsidRPr="004F4364">
        <w:t>ž</w:t>
      </w:r>
      <w:r w:rsidR="00083D68" w:rsidRPr="004F4364">
        <w:t>d</w:t>
      </w:r>
      <w:r w:rsidR="00A85AA9" w:rsidRPr="004F4364">
        <w:t>uotis tiekėjams ir jas vertinti;</w:t>
      </w:r>
    </w:p>
    <w:p w:rsidR="00161375" w:rsidRPr="004F4364" w:rsidRDefault="004A0E4C" w:rsidP="005B524E">
      <w:pPr>
        <w:pStyle w:val="BodyText"/>
        <w:numPr>
          <w:ilvl w:val="0"/>
          <w:numId w:val="44"/>
        </w:numPr>
        <w:suppressAutoHyphens w:val="0"/>
      </w:pPr>
      <w:r w:rsidRPr="004F4364">
        <w:t>t</w:t>
      </w:r>
      <w:r w:rsidR="00A85AA9" w:rsidRPr="004F4364">
        <w:t>rukdo žmonių konservatyvumas, n</w:t>
      </w:r>
      <w:r w:rsidR="00161375" w:rsidRPr="004F4364">
        <w:t>eapibrėžta baimė ką nors daryti ar</w:t>
      </w:r>
      <w:r w:rsidR="00A85AA9" w:rsidRPr="004F4364">
        <w:t xml:space="preserve"> keisti</w:t>
      </w:r>
      <w:r w:rsidR="00161375" w:rsidRPr="004F4364">
        <w:t>;</w:t>
      </w:r>
    </w:p>
    <w:p w:rsidR="00632B98" w:rsidRPr="004F4364" w:rsidRDefault="007D6507" w:rsidP="005B524E">
      <w:pPr>
        <w:suppressAutoHyphens w:val="0"/>
      </w:pPr>
      <w:r w:rsidRPr="004F4364">
        <w:t xml:space="preserve">Ekspertai išskyrė, kad labiausiai VPSP tinka </w:t>
      </w:r>
      <w:r w:rsidR="00A82A97" w:rsidRPr="004F4364">
        <w:t xml:space="preserve">gerinti tokių sričių kaip </w:t>
      </w:r>
      <w:r w:rsidR="000921F4" w:rsidRPr="004F4364">
        <w:t>susisiekimas, sveikatos a</w:t>
      </w:r>
      <w:r w:rsidR="000921F4" w:rsidRPr="004F4364">
        <w:t>p</w:t>
      </w:r>
      <w:r w:rsidR="000921F4" w:rsidRPr="004F4364">
        <w:t>sauga, švietimas, teisėsauga bei aplinkosauga paslaugų kokybę ir prieinamumą.</w:t>
      </w:r>
    </w:p>
    <w:p w:rsidR="00BA518A" w:rsidRPr="004F4364" w:rsidRDefault="00BA518A" w:rsidP="005B524E">
      <w:pPr>
        <w:suppressAutoHyphens w:val="0"/>
      </w:pPr>
      <w:r w:rsidRPr="004F4364">
        <w:lastRenderedPageBreak/>
        <w:t xml:space="preserve">Anot vieno eksperto, padėtį Lietuvoje gali pakeisti tai, kad </w:t>
      </w:r>
      <w:r w:rsidR="00751D2D" w:rsidRPr="004F4364">
        <w:t xml:space="preserve">ES </w:t>
      </w:r>
      <w:r w:rsidRPr="004F4364">
        <w:t>žadama įtvirtinti nuostatą, kad p</w:t>
      </w:r>
      <w:r w:rsidRPr="004F4364">
        <w:t>a</w:t>
      </w:r>
      <w:r w:rsidRPr="004F4364">
        <w:t>raiškas paramai gauti galės kartu teikti viešasis ir privatus sektorius, ko nebuvo anksčiau.</w:t>
      </w:r>
    </w:p>
    <w:p w:rsidR="00E73322" w:rsidRPr="004F4364" w:rsidRDefault="00E73322" w:rsidP="005B524E">
      <w:pPr>
        <w:suppressAutoHyphens w:val="0"/>
      </w:pPr>
      <w:r w:rsidRPr="004F4364">
        <w:t>Kitas ekspertas nurodė, kad viešosios ir privačios partnerystės negalima vertinti kaip gryna</w:t>
      </w:r>
      <w:r w:rsidR="009D50FD" w:rsidRPr="004F4364">
        <w:t>i t</w:t>
      </w:r>
      <w:r w:rsidR="009D50FD" w:rsidRPr="004F4364">
        <w:t>e</w:t>
      </w:r>
      <w:r w:rsidR="009D50FD" w:rsidRPr="004F4364">
        <w:t>chninio, juridinio klausimo. Partnerystės samprata</w:t>
      </w:r>
      <w:r w:rsidRPr="004F4364">
        <w:t xml:space="preserve"> būtina išplėsti ir aiškinti </w:t>
      </w:r>
      <w:r w:rsidR="000B60CD" w:rsidRPr="004F4364">
        <w:t>iš politinės perspektyvos.</w:t>
      </w:r>
    </w:p>
    <w:p w:rsidR="00E73322" w:rsidRPr="004F4364" w:rsidRDefault="00BA518A" w:rsidP="005B524E">
      <w:pPr>
        <w:suppressAutoHyphens w:val="0"/>
      </w:pPr>
      <w:r w:rsidRPr="004F4364">
        <w:t>Tačiau, r</w:t>
      </w:r>
      <w:r w:rsidR="00B23608" w:rsidRPr="004F4364">
        <w:t xml:space="preserve">espondentų </w:t>
      </w:r>
      <w:r w:rsidR="00632B98" w:rsidRPr="004F4364">
        <w:t xml:space="preserve">nuomone, VPSP nėra </w:t>
      </w:r>
      <w:r w:rsidR="00901A6F">
        <w:t>„</w:t>
      </w:r>
      <w:r w:rsidR="00632B98" w:rsidRPr="004F4364">
        <w:t>stebuklinga</w:t>
      </w:r>
      <w:r w:rsidR="00901A6F">
        <w:t>“</w:t>
      </w:r>
      <w:r w:rsidR="00632B98" w:rsidRPr="004F4364">
        <w:t xml:space="preserve"> išeitis, todėl kiekvienas</w:t>
      </w:r>
      <w:r w:rsidR="00E73322" w:rsidRPr="004F4364">
        <w:t xml:space="preserve"> sprendimas turi būti </w:t>
      </w:r>
      <w:r w:rsidR="00860631">
        <w:t>apmąstytas</w:t>
      </w:r>
      <w:r w:rsidR="00E73322" w:rsidRPr="004F4364">
        <w:t>.</w:t>
      </w:r>
      <w:r w:rsidR="0037181D" w:rsidRPr="004F4364">
        <w:t xml:space="preserve"> Potenciali partnerystės pridėtinė vertė turi būti įvertinta kiekvienu atveju atskirai.</w:t>
      </w:r>
    </w:p>
    <w:p w:rsidR="006C5D60" w:rsidRPr="004F4364" w:rsidRDefault="003A5221" w:rsidP="005B524E">
      <w:pPr>
        <w:suppressAutoHyphens w:val="0"/>
      </w:pPr>
      <w:r w:rsidRPr="004F4364">
        <w:t xml:space="preserve">Buvo minėta, kad tinkamo partnerio pasirinkimas yra </w:t>
      </w:r>
      <w:r w:rsidR="00834969" w:rsidRPr="004F4364">
        <w:t xml:space="preserve">vienas pagrindinių </w:t>
      </w:r>
      <w:r w:rsidRPr="004F4364">
        <w:t>sėkmingos VPSP a</w:t>
      </w:r>
      <w:r w:rsidRPr="004F4364">
        <w:t>s</w:t>
      </w:r>
      <w:r w:rsidRPr="004F4364">
        <w:t>pektų. Dėl šios priežasties</w:t>
      </w:r>
      <w:r w:rsidR="00D548C5" w:rsidRPr="004F4364">
        <w:t xml:space="preserve"> viešasis sektorius gan atsargiai renkasi partnerius. </w:t>
      </w:r>
    </w:p>
    <w:p w:rsidR="00B835C6" w:rsidRPr="004F4364" w:rsidRDefault="00B835C6" w:rsidP="005B524E">
      <w:pPr>
        <w:suppressAutoHyphens w:val="0"/>
      </w:pPr>
      <w:r w:rsidRPr="004F4364">
        <w:t>Taip pat buvo minėtos ir kitos sėkmingos partnerystės prielaidos:</w:t>
      </w:r>
    </w:p>
    <w:p w:rsidR="002374A9" w:rsidRPr="004F4364" w:rsidRDefault="002374A9" w:rsidP="005B524E">
      <w:pPr>
        <w:pStyle w:val="ListParagraph"/>
        <w:numPr>
          <w:ilvl w:val="0"/>
          <w:numId w:val="53"/>
        </w:numPr>
        <w:suppressAutoHyphens w:val="0"/>
      </w:pPr>
      <w:r w:rsidRPr="004F4364">
        <w:t>pakankamas teisinis reglamentavimas;</w:t>
      </w:r>
    </w:p>
    <w:p w:rsidR="002374A9" w:rsidRPr="004F4364" w:rsidRDefault="002374A9" w:rsidP="005B524E">
      <w:pPr>
        <w:pStyle w:val="ListParagraph"/>
        <w:numPr>
          <w:ilvl w:val="0"/>
          <w:numId w:val="53"/>
        </w:numPr>
        <w:suppressAutoHyphens w:val="0"/>
      </w:pPr>
      <w:r w:rsidRPr="004F4364">
        <w:t>palanki politinė aplinka;</w:t>
      </w:r>
    </w:p>
    <w:p w:rsidR="002374A9" w:rsidRPr="004F4364" w:rsidRDefault="002374A9" w:rsidP="005B524E">
      <w:pPr>
        <w:pStyle w:val="ListParagraph"/>
        <w:numPr>
          <w:ilvl w:val="0"/>
          <w:numId w:val="53"/>
        </w:numPr>
        <w:suppressAutoHyphens w:val="0"/>
      </w:pPr>
      <w:r w:rsidRPr="004F4364">
        <w:t>palanki viešojo sektoriaus organizacinė struktūra, t.y. sistema turi taip veikti, kad tam ti</w:t>
      </w:r>
      <w:r w:rsidRPr="004F4364">
        <w:t>k</w:t>
      </w:r>
      <w:r w:rsidRPr="004F4364">
        <w:t>rame jos etape neatsirastų „idėjų kapinių“;</w:t>
      </w:r>
    </w:p>
    <w:p w:rsidR="002374A9" w:rsidRPr="004F4364" w:rsidRDefault="00B84214" w:rsidP="005B524E">
      <w:pPr>
        <w:pStyle w:val="ListParagraph"/>
        <w:numPr>
          <w:ilvl w:val="0"/>
          <w:numId w:val="53"/>
        </w:numPr>
        <w:suppressAutoHyphens w:val="0"/>
      </w:pPr>
      <w:r w:rsidRPr="004F4364">
        <w:t>išsam</w:t>
      </w:r>
      <w:r w:rsidR="00851A7F">
        <w:t>ū</w:t>
      </w:r>
      <w:r w:rsidR="0017255C">
        <w:t>s verslo projektai ir sutarty</w:t>
      </w:r>
      <w:r w:rsidRPr="004F4364">
        <w:t>s;</w:t>
      </w:r>
    </w:p>
    <w:p w:rsidR="00B84214" w:rsidRPr="004F4364" w:rsidRDefault="00B84214" w:rsidP="005B524E">
      <w:pPr>
        <w:pStyle w:val="ListParagraph"/>
        <w:numPr>
          <w:ilvl w:val="0"/>
          <w:numId w:val="53"/>
        </w:numPr>
        <w:suppressAutoHyphens w:val="0"/>
      </w:pPr>
      <w:r w:rsidRPr="004F4364">
        <w:t>finansavimo šaltinio užtikrinimas;</w:t>
      </w:r>
    </w:p>
    <w:p w:rsidR="00B84214" w:rsidRPr="004F4364" w:rsidRDefault="00B84214" w:rsidP="005B524E">
      <w:pPr>
        <w:pStyle w:val="ListParagraph"/>
        <w:numPr>
          <w:ilvl w:val="0"/>
          <w:numId w:val="53"/>
        </w:numPr>
        <w:suppressAutoHyphens w:val="0"/>
      </w:pPr>
      <w:r w:rsidRPr="004F4364">
        <w:t>suinteresuotų asmenų palaikymas;</w:t>
      </w:r>
    </w:p>
    <w:p w:rsidR="002B6172" w:rsidRPr="004F4364" w:rsidRDefault="002B6172" w:rsidP="005B524E">
      <w:pPr>
        <w:pStyle w:val="ListParagraph"/>
        <w:numPr>
          <w:ilvl w:val="0"/>
          <w:numId w:val="53"/>
        </w:numPr>
        <w:suppressAutoHyphens w:val="0"/>
      </w:pPr>
      <w:r w:rsidRPr="004F4364">
        <w:t>partnerių lygiavertiškumas;</w:t>
      </w:r>
    </w:p>
    <w:p w:rsidR="002B6172" w:rsidRPr="004F4364" w:rsidRDefault="002B6172" w:rsidP="005B524E">
      <w:pPr>
        <w:pStyle w:val="ListParagraph"/>
        <w:numPr>
          <w:ilvl w:val="0"/>
          <w:numId w:val="53"/>
        </w:numPr>
        <w:suppressAutoHyphens w:val="0"/>
      </w:pPr>
      <w:r w:rsidRPr="004F4364">
        <w:t>abipusis skaidrumas;</w:t>
      </w:r>
    </w:p>
    <w:p w:rsidR="00C041A0" w:rsidRPr="004F4364" w:rsidRDefault="00C041A0" w:rsidP="005B524E">
      <w:pPr>
        <w:pStyle w:val="ListParagraph"/>
        <w:numPr>
          <w:ilvl w:val="0"/>
          <w:numId w:val="53"/>
        </w:numPr>
        <w:suppressAutoHyphens w:val="0"/>
      </w:pPr>
      <w:r w:rsidRPr="004F4364">
        <w:t>proporcingumo ir</w:t>
      </w:r>
      <w:r w:rsidR="0018632F" w:rsidRPr="004F4364">
        <w:t xml:space="preserve"> abipusio pripažinimo principas;</w:t>
      </w:r>
    </w:p>
    <w:p w:rsidR="00652846" w:rsidRPr="004F4364" w:rsidRDefault="006C5D60" w:rsidP="005B524E">
      <w:pPr>
        <w:suppressAutoHyphens w:val="0"/>
      </w:pPr>
      <w:r w:rsidRPr="004F4364">
        <w:t>Verslas turi norėti bendradarbiauti</w:t>
      </w:r>
      <w:r w:rsidR="00716DE1" w:rsidRPr="004F4364">
        <w:t>, o ne tik gauti pelną</w:t>
      </w:r>
      <w:r w:rsidRPr="004F4364">
        <w:t>. Daug projektų yra pasmerkti, jei pr</w:t>
      </w:r>
      <w:r w:rsidR="00D71A15">
        <w:t>ad</w:t>
      </w:r>
      <w:r w:rsidR="00D71A15">
        <w:t>e</w:t>
      </w:r>
      <w:r w:rsidR="00D71A15">
        <w:t>dama</w:t>
      </w:r>
      <w:r w:rsidR="007851B8" w:rsidRPr="004F4364">
        <w:t xml:space="preserve"> ne nuo interesų, o nuo fin</w:t>
      </w:r>
      <w:r w:rsidRPr="004F4364">
        <w:t>a</w:t>
      </w:r>
      <w:r w:rsidR="007851B8" w:rsidRPr="004F4364">
        <w:t>nsinio skaičiavimo</w:t>
      </w:r>
      <w:r w:rsidRPr="004F4364">
        <w:t xml:space="preserve">. </w:t>
      </w:r>
      <w:r w:rsidR="000042BE" w:rsidRPr="004F4364">
        <w:t>Vieno eksperto teigimu,</w:t>
      </w:r>
      <w:r w:rsidR="006F4ACD" w:rsidRPr="004F4364">
        <w:t xml:space="preserve"> į</w:t>
      </w:r>
      <w:r w:rsidR="001052CE" w:rsidRPr="004F4364">
        <w:t xml:space="preserve"> VPSP dauguma įmonių žiūri palankiai</w:t>
      </w:r>
      <w:r w:rsidR="00AD2410" w:rsidRPr="004F4364">
        <w:t>, tačiau dažniausiai verslas nemato potencialios naudos</w:t>
      </w:r>
      <w:r w:rsidR="00093C49" w:rsidRPr="004F4364">
        <w:t>, o viešasis sektorius neturi reikiamų įgūdžių „parduoti“ idėjas.</w:t>
      </w:r>
      <w:r w:rsidR="000879FF" w:rsidRPr="004F4364">
        <w:t xml:space="preserve"> </w:t>
      </w:r>
    </w:p>
    <w:p w:rsidR="00234A97" w:rsidRPr="004F4364" w:rsidRDefault="000879FF" w:rsidP="005B524E">
      <w:pPr>
        <w:suppressAutoHyphens w:val="0"/>
      </w:pPr>
      <w:r w:rsidRPr="004F4364">
        <w:t>Detalizuojant, anot ekspertų, partnerystė tikrai yra teigiamas reiškinys, nes galima efektyviai išnaudoti išteklius, panaudoti turimus gebėjimus, ir realiai išgauti geresnę kokybę mažesnėmis sąna</w:t>
      </w:r>
      <w:r w:rsidRPr="004F4364">
        <w:t>u</w:t>
      </w:r>
      <w:r w:rsidRPr="004F4364">
        <w:t>domis. Bendradarbiavimas turėtų būti inicijuojamas viešojo sektoriaus, tačiau privatus sektorius turėtų siūlyti viešajam sektoriui idėjas, nes dažniausiai idėjos gimsta ne viešajame sektoriuje, o privačiame (tuo labiau Lietuvoje). Taigi Lietuvoje privataus sektoriaus darbas keisti viešojo sektoriaus mąstymą, kad būtų judama VPSP populiarinimo ir pritaikymo srityje. Švietimo sektoriuje partnerystė irgi įm</w:t>
      </w:r>
      <w:r w:rsidRPr="004F4364">
        <w:t>a</w:t>
      </w:r>
      <w:r w:rsidRPr="004F4364">
        <w:t>noma, tik vėlgi turi būti aiški schema, kokia finansiškai nauda iš to privačiam sektoriui.</w:t>
      </w:r>
      <w:r w:rsidR="00234A97" w:rsidRPr="004F4364">
        <w:t xml:space="preserve"> Buvo atsargiai pažymėta, kad verslas ir mokslas po truputį susilieja pvz. verslo slėniai prie universitetų</w:t>
      </w:r>
      <w:r w:rsidR="004F54DE" w:rsidRPr="004F4364">
        <w:t>.</w:t>
      </w:r>
    </w:p>
    <w:p w:rsidR="00DD0FDE" w:rsidRPr="004F4364" w:rsidRDefault="000877FD" w:rsidP="005B524E">
      <w:pPr>
        <w:suppressAutoHyphens w:val="0"/>
      </w:pPr>
      <w:r>
        <w:t>Buvo išsakytos</w:t>
      </w:r>
      <w:r w:rsidR="00DD0FDE" w:rsidRPr="004F4364">
        <w:t xml:space="preserve"> ir kitos</w:t>
      </w:r>
      <w:r w:rsidR="00B87CE0" w:rsidRPr="004F4364">
        <w:t xml:space="preserve"> nuomonė</w:t>
      </w:r>
      <w:r w:rsidR="00DD0FDE" w:rsidRPr="004F4364">
        <w:t>s</w:t>
      </w:r>
      <w:r w:rsidR="00553577" w:rsidRPr="004F4364">
        <w:t xml:space="preserve"> šiuo klausimu</w:t>
      </w:r>
      <w:r w:rsidR="00DD0FDE" w:rsidRPr="004F4364">
        <w:t xml:space="preserve">. Anot vieno </w:t>
      </w:r>
      <w:r w:rsidR="00CC525C">
        <w:t>akademinio bendruomenės atstovo</w:t>
      </w:r>
      <w:r w:rsidR="00DD0FDE" w:rsidRPr="004F4364">
        <w:t>, v</w:t>
      </w:r>
      <w:r w:rsidR="00B87CE0" w:rsidRPr="004F4364">
        <w:t xml:space="preserve">erslo efektyvumas Lietuvoje yra žemas, todėl, norint </w:t>
      </w:r>
      <w:r w:rsidR="004D138D">
        <w:t xml:space="preserve">jį </w:t>
      </w:r>
      <w:r w:rsidR="00B87CE0" w:rsidRPr="004F4364">
        <w:t xml:space="preserve">didinti bei išlaikyti konkurencinį pranašumą, reikalingos naujos žinios. Bendradarbiaujant verslui su universitetu gali būti ugdoma kompetencija bei </w:t>
      </w:r>
      <w:r w:rsidR="00B87CE0" w:rsidRPr="004F4364">
        <w:lastRenderedPageBreak/>
        <w:t>įgaunama patirtis.</w:t>
      </w:r>
    </w:p>
    <w:p w:rsidR="00DD0FDE" w:rsidRPr="004F4364" w:rsidRDefault="00DD0FDE" w:rsidP="005B524E">
      <w:pPr>
        <w:suppressAutoHyphens w:val="0"/>
      </w:pPr>
      <w:r w:rsidRPr="004F4364">
        <w:t>Kitas respondentas pasisakė, kad bendradarbiavimas turi būti abipusis, būtinas dialogo tarp ver</w:t>
      </w:r>
      <w:r w:rsidRPr="004F4364">
        <w:t>s</w:t>
      </w:r>
      <w:r w:rsidRPr="004F4364">
        <w:t xml:space="preserve">lo ir aukštojo mokslo skatinimas. Be to, būtina abipusė motyvacija, kad šis dialogas galėtų prasidėti. </w:t>
      </w:r>
    </w:p>
    <w:p w:rsidR="00FB729A" w:rsidRPr="004F4364" w:rsidRDefault="00FB729A" w:rsidP="005B524E">
      <w:pPr>
        <w:suppressAutoHyphens w:val="0"/>
      </w:pPr>
      <w:r w:rsidRPr="004F4364">
        <w:t xml:space="preserve">Būta ir </w:t>
      </w:r>
      <w:r w:rsidR="0086760A" w:rsidRPr="004F4364">
        <w:t xml:space="preserve">dar </w:t>
      </w:r>
      <w:r w:rsidRPr="004F4364">
        <w:t>kitokios nuomonės –</w:t>
      </w:r>
      <w:r w:rsidR="00606A29" w:rsidRPr="004F4364">
        <w:t xml:space="preserve"> anot</w:t>
      </w:r>
      <w:r w:rsidRPr="004F4364">
        <w:t xml:space="preserve"> eksperto, turi būti susidariusi natūrali situacija, kurioje ats</w:t>
      </w:r>
      <w:r w:rsidRPr="004F4364">
        <w:t>i</w:t>
      </w:r>
      <w:r w:rsidRPr="004F4364">
        <w:t>ra</w:t>
      </w:r>
      <w:r w:rsidR="00D03B41" w:rsidRPr="004F4364">
        <w:t>stų</w:t>
      </w:r>
      <w:r w:rsidR="000002A9" w:rsidRPr="004F4364">
        <w:t xml:space="preserve"> poreikis bendradarbiauti, t.y. partnerystė atsiranda iš vienos iš šalių poreikio.</w:t>
      </w:r>
    </w:p>
    <w:p w:rsidR="007E484B" w:rsidRPr="004F4364" w:rsidRDefault="007E484B" w:rsidP="005B524E">
      <w:pPr>
        <w:suppressAutoHyphens w:val="0"/>
      </w:pPr>
      <w:r w:rsidRPr="004F4364">
        <w:t>Bet kuriuo atveju, svarbu pažymėti, kad būtina nepamiršti komunikacijos tarp besidominčių šalių. Ekspertas teigė, kad komunikacija gali prisidėti prie projekto arba jį sužlugdyti. Vidinė komunik</w:t>
      </w:r>
      <w:r w:rsidRPr="004F4364">
        <w:t>a</w:t>
      </w:r>
      <w:r w:rsidRPr="004F4364">
        <w:t>cija skirta pasitikėjimu grįstiems santykiams tarp partnerystės dalyvių įtvirtinti ir plėtoti, o išorinė – visuomenės informavimui, teigiamos nuomonės f</w:t>
      </w:r>
      <w:r w:rsidR="001C700A" w:rsidRPr="004F4364">
        <w:t>ormavimui bei</w:t>
      </w:r>
      <w:r w:rsidRPr="004F4364">
        <w:t xml:space="preserve"> projekto skaidrumui užtikrinti.</w:t>
      </w:r>
    </w:p>
    <w:p w:rsidR="00C243F3" w:rsidRPr="004F4364" w:rsidRDefault="00C243F3" w:rsidP="005B524E">
      <w:pPr>
        <w:suppressAutoHyphens w:val="0"/>
      </w:pPr>
      <w:r w:rsidRPr="004F4364">
        <w:t>Interviu metu buvo akcentuota, kad ateityje būtina, prieš siūlant bet kokias tolesnes priemones, atsižvelgti į patirtį, sukauptą konkurencinio dialogo metu.</w:t>
      </w:r>
    </w:p>
    <w:p w:rsidR="002C0D0F" w:rsidRPr="004F4364" w:rsidRDefault="000002A9" w:rsidP="005B524E">
      <w:pPr>
        <w:suppressAutoHyphens w:val="0"/>
      </w:pPr>
      <w:r w:rsidRPr="004F4364">
        <w:t xml:space="preserve">Paprašius prisiminti VPSP pavyzdžius švietimo srityje, </w:t>
      </w:r>
      <w:r w:rsidR="002C0D0F" w:rsidRPr="004F4364">
        <w:t xml:space="preserve">ekspertams </w:t>
      </w:r>
      <w:r w:rsidR="00C176D4" w:rsidRPr="004F4364">
        <w:t xml:space="preserve">sunkiai sekėsi. </w:t>
      </w:r>
      <w:r w:rsidR="002C0D0F" w:rsidRPr="004F4364">
        <w:t>Buvo būgšta</w:t>
      </w:r>
      <w:r w:rsidR="002C0D0F" w:rsidRPr="004F4364">
        <w:t>u</w:t>
      </w:r>
      <w:r w:rsidR="002C0D0F" w:rsidRPr="004F4364">
        <w:t>jama, kad Lietuvoje nepakankamas visuomenės informavimas tiek švietimo ir mokslo srityje, tiek ir kitose sferose.</w:t>
      </w:r>
    </w:p>
    <w:p w:rsidR="00BD6A3C" w:rsidRPr="004F4364" w:rsidRDefault="00BD6A3C" w:rsidP="005B524E">
      <w:pPr>
        <w:suppressAutoHyphens w:val="0"/>
      </w:pPr>
      <w:r w:rsidRPr="004F4364">
        <w:t>Kitas aspektas, kur</w:t>
      </w:r>
      <w:r w:rsidR="003137D8">
        <w:t>i</w:t>
      </w:r>
      <w:r w:rsidRPr="004F4364">
        <w:t xml:space="preserve"> ekspertai pastebėjo</w:t>
      </w:r>
      <w:r w:rsidR="00D67103" w:rsidRPr="004F4364">
        <w:t xml:space="preserve"> tai</w:t>
      </w:r>
      <w:r w:rsidRPr="004F4364">
        <w:t>, kad lengvai pasiekiama ES parama ir gaunami kred</w:t>
      </w:r>
      <w:r w:rsidRPr="004F4364">
        <w:t>i</w:t>
      </w:r>
      <w:r w:rsidRPr="004F4364">
        <w:t xml:space="preserve">tai komerciniuose bankuose VPSP plėtrai Lietuvoje padarė </w:t>
      </w:r>
      <w:r w:rsidR="00E12F92" w:rsidRPr="004F4364">
        <w:t>„</w:t>
      </w:r>
      <w:r w:rsidRPr="004F4364">
        <w:t>meškos paslaugą</w:t>
      </w:r>
      <w:r w:rsidR="00E12F92" w:rsidRPr="004F4364">
        <w:t>“</w:t>
      </w:r>
      <w:r w:rsidRPr="004F4364">
        <w:t xml:space="preserve">. </w:t>
      </w:r>
      <w:r w:rsidR="00E12F92" w:rsidRPr="004F4364">
        <w:t>Viešasis sektorius</w:t>
      </w:r>
      <w:r w:rsidRPr="004F4364">
        <w:t xml:space="preserve"> nesistengė </w:t>
      </w:r>
      <w:r w:rsidR="00E12F92" w:rsidRPr="004F4364">
        <w:t>ieškoti racionalesnių sprendimų</w:t>
      </w:r>
      <w:r w:rsidRPr="004F4364">
        <w:t>.</w:t>
      </w:r>
      <w:r w:rsidR="00243FAF" w:rsidRPr="004F4364">
        <w:t xml:space="preserve"> Dėl šios priežasties vis dar mažai girdima apie VPSP.</w:t>
      </w:r>
    </w:p>
    <w:p w:rsidR="000002A9" w:rsidRPr="004F4364" w:rsidRDefault="00FE1886" w:rsidP="005B524E">
      <w:pPr>
        <w:suppressAutoHyphens w:val="0"/>
      </w:pPr>
      <w:r w:rsidRPr="004F4364">
        <w:t>Vis dėlto buvo prisimintas</w:t>
      </w:r>
      <w:r w:rsidR="00C176D4" w:rsidRPr="004F4364">
        <w:t xml:space="preserve"> tik vienas, gan skandalingas projektas – </w:t>
      </w:r>
      <w:r w:rsidR="00DB2C98" w:rsidRPr="004F4364">
        <w:t xml:space="preserve">prekybos ir paslaugų </w:t>
      </w:r>
      <w:r w:rsidR="00AA7C4D" w:rsidRPr="004F4364">
        <w:t>kom</w:t>
      </w:r>
      <w:r w:rsidR="00AA7C4D" w:rsidRPr="004F4364">
        <w:t>p</w:t>
      </w:r>
      <w:r w:rsidR="00AA7C4D" w:rsidRPr="004F4364">
        <w:t xml:space="preserve">lekso </w:t>
      </w:r>
      <w:r w:rsidR="00C176D4" w:rsidRPr="004F4364">
        <w:t>„</w:t>
      </w:r>
      <w:proofErr w:type="spellStart"/>
      <w:r w:rsidR="00C176D4" w:rsidRPr="004F4364">
        <w:t>Studlend</w:t>
      </w:r>
      <w:r w:rsidR="00AA7C4D" w:rsidRPr="004F4364">
        <w:t>as</w:t>
      </w:r>
      <w:proofErr w:type="spellEnd"/>
      <w:r w:rsidR="00C176D4" w:rsidRPr="004F4364">
        <w:t>“ statybos Klaipėdoje</w:t>
      </w:r>
      <w:r w:rsidR="00E45B64" w:rsidRPr="004F4364">
        <w:t xml:space="preserve">. </w:t>
      </w:r>
      <w:r w:rsidRPr="004F4364">
        <w:t>Šis projektas</w:t>
      </w:r>
      <w:r w:rsidR="00AA7C4D" w:rsidRPr="004F4364">
        <w:t xml:space="preserve"> yra vienas pirmųjų švietimo įstaigos ir privataus kapitalo bendradarbiavimo pavyzdžių</w:t>
      </w:r>
      <w:r w:rsidRPr="004F4364">
        <w:t xml:space="preserve">. Tačiau </w:t>
      </w:r>
      <w:r w:rsidR="0031612F" w:rsidRPr="004F4364">
        <w:t>jis</w:t>
      </w:r>
      <w:r w:rsidRPr="004F4364">
        <w:t xml:space="preserve"> tapo visuomenei </w:t>
      </w:r>
      <w:r w:rsidR="00D46374" w:rsidRPr="004F4364">
        <w:t>žinomas ne dėl šios priežasties, o dėl skandalo, kuris iškilo šios partnerystės gairėse.</w:t>
      </w:r>
      <w:r w:rsidR="00BD63E2" w:rsidRPr="004F4364">
        <w:t xml:space="preserve"> Klaipėdos universitetas partnerius tokiai jungtinės veiklos sutarčiai turėjo pasirinkti konkurso būdu</w:t>
      </w:r>
      <w:r w:rsidR="00A6687A" w:rsidRPr="004F4364">
        <w:t>, tačiau šio reikalavimo nepais</w:t>
      </w:r>
      <w:r w:rsidR="0031612F" w:rsidRPr="004F4364">
        <w:t>ė</w:t>
      </w:r>
      <w:r w:rsidR="00A6687A" w:rsidRPr="004F4364">
        <w:t xml:space="preserve"> ir </w:t>
      </w:r>
      <w:r w:rsidR="0031612F" w:rsidRPr="004F4364">
        <w:t xml:space="preserve">savo nuožiūra </w:t>
      </w:r>
      <w:r w:rsidR="00A6687A" w:rsidRPr="004F4364">
        <w:t>pasirink</w:t>
      </w:r>
      <w:r w:rsidR="0031612F" w:rsidRPr="004F4364">
        <w:t>o</w:t>
      </w:r>
      <w:r w:rsidR="00A6687A" w:rsidRPr="004F4364">
        <w:t xml:space="preserve"> prekybos centrų „Iki“ turto valdymo bendrovė „</w:t>
      </w:r>
      <w:proofErr w:type="spellStart"/>
      <w:r w:rsidR="00A6687A" w:rsidRPr="004F4364">
        <w:t>Baltisches</w:t>
      </w:r>
      <w:proofErr w:type="spellEnd"/>
      <w:r w:rsidR="00A6687A" w:rsidRPr="004F4364">
        <w:t xml:space="preserve"> </w:t>
      </w:r>
      <w:proofErr w:type="spellStart"/>
      <w:r w:rsidR="00A6687A" w:rsidRPr="004F4364">
        <w:t>Haus</w:t>
      </w:r>
      <w:proofErr w:type="spellEnd"/>
      <w:r w:rsidR="00A6687A" w:rsidRPr="004F4364">
        <w:t>“</w:t>
      </w:r>
      <w:r w:rsidR="00BD63E2" w:rsidRPr="004F4364">
        <w:t>.</w:t>
      </w:r>
      <w:r w:rsidR="00B37E0F" w:rsidRPr="004F4364">
        <w:t xml:space="preserve"> Šiuo metu byla dėl „</w:t>
      </w:r>
      <w:proofErr w:type="spellStart"/>
      <w:r w:rsidR="00B37E0F" w:rsidRPr="004F4364">
        <w:t>Stu</w:t>
      </w:r>
      <w:r w:rsidR="00B37E0F" w:rsidRPr="004F4364">
        <w:t>d</w:t>
      </w:r>
      <w:r w:rsidR="00B37E0F" w:rsidRPr="004F4364">
        <w:t>lendo</w:t>
      </w:r>
      <w:proofErr w:type="spellEnd"/>
      <w:r w:rsidR="00B37E0F" w:rsidRPr="004F4364">
        <w:t>“ toliau nagrinėjama Apeliacinia</w:t>
      </w:r>
      <w:r w:rsidR="008E1CF4" w:rsidRPr="004F4364">
        <w:t xml:space="preserve">me ir Konstituciniame teismuose, o tai, anot pašnekovo, stabdo Klaipėdos universiteto plėtrą. </w:t>
      </w:r>
      <w:r w:rsidR="002670C8">
        <w:br/>
      </w:r>
    </w:p>
    <w:p w:rsidR="005601AE" w:rsidRDefault="00EF4572" w:rsidP="005B524E">
      <w:pPr>
        <w:pStyle w:val="Heading2"/>
        <w:suppressAutoHyphens w:val="0"/>
      </w:pPr>
      <w:bookmarkStart w:id="58" w:name="_Toc251011269"/>
      <w:r w:rsidRPr="004F4364">
        <w:t>V</w:t>
      </w:r>
      <w:r w:rsidR="00BC4260">
        <w:t>iešojo ir privataus sektorių partnerystės</w:t>
      </w:r>
      <w:r w:rsidRPr="004F4364">
        <w:t xml:space="preserve"> </w:t>
      </w:r>
      <w:r w:rsidR="00B12B22" w:rsidRPr="004F4364">
        <w:t xml:space="preserve">galimybės </w:t>
      </w:r>
      <w:r w:rsidR="005601AE">
        <w:t>L</w:t>
      </w:r>
      <w:r w:rsidR="00BC4260">
        <w:t>ietuvos virtu</w:t>
      </w:r>
      <w:r w:rsidR="00BC4260">
        <w:t>a</w:t>
      </w:r>
      <w:r w:rsidR="00BC4260">
        <w:t>laus universiteto</w:t>
      </w:r>
      <w:r w:rsidRPr="004F4364">
        <w:t xml:space="preserve"> programoje</w:t>
      </w:r>
      <w:bookmarkEnd w:id="58"/>
    </w:p>
    <w:p w:rsidR="0074788C" w:rsidRPr="004F4364" w:rsidRDefault="005D4200" w:rsidP="005B524E">
      <w:pPr>
        <w:suppressAutoHyphens w:val="0"/>
      </w:pPr>
      <w:r w:rsidRPr="004F4364">
        <w:t xml:space="preserve">Anot ekspertų, </w:t>
      </w:r>
      <w:r w:rsidR="00E41F1E" w:rsidRPr="00E41F1E">
        <w:t xml:space="preserve">IT į mūsų gyvenimą atnešė </w:t>
      </w:r>
      <w:r w:rsidR="00E41F1E">
        <w:t xml:space="preserve">naują – virtualią, </w:t>
      </w:r>
      <w:r w:rsidR="00E41F1E" w:rsidRPr="00E41F1E">
        <w:t>realybę</w:t>
      </w:r>
      <w:r w:rsidR="00E41F1E">
        <w:t>. E</w:t>
      </w:r>
      <w:r w:rsidRPr="004F4364">
        <w:t>. „dalykai“ šiuo metu Lietuvoje tikrai</w:t>
      </w:r>
      <w:r w:rsidR="00B54BDA" w:rsidRPr="004F4364">
        <w:t xml:space="preserve"> populiarūs ir daugelyje sričių </w:t>
      </w:r>
      <w:r w:rsidRPr="004F4364">
        <w:t>labai sveikintini</w:t>
      </w:r>
      <w:r w:rsidR="00105067" w:rsidRPr="004F4364">
        <w:t>, tačiau pažymima, kad</w:t>
      </w:r>
      <w:r w:rsidRPr="004F4364">
        <w:t xml:space="preserve"> pakankamai nem</w:t>
      </w:r>
      <w:r w:rsidRPr="004F4364">
        <w:t>a</w:t>
      </w:r>
      <w:r w:rsidRPr="004F4364">
        <w:t>žai reikia nuveikti, kad šios</w:t>
      </w:r>
      <w:r w:rsidR="00122087" w:rsidRPr="004F4364">
        <w:t xml:space="preserve"> </w:t>
      </w:r>
      <w:r w:rsidRPr="004F4364">
        <w:t xml:space="preserve">idėjos būtų įgyvendintos. </w:t>
      </w:r>
    </w:p>
    <w:p w:rsidR="0046339E" w:rsidRPr="004F4364" w:rsidRDefault="008F278E" w:rsidP="005B524E">
      <w:pPr>
        <w:suppressAutoHyphens w:val="0"/>
      </w:pPr>
      <w:r w:rsidRPr="004F4364">
        <w:t>Dėl šios priežasties</w:t>
      </w:r>
      <w:r w:rsidR="001115CE" w:rsidRPr="004F4364">
        <w:t xml:space="preserve"> v</w:t>
      </w:r>
      <w:r w:rsidR="005D4200" w:rsidRPr="004F4364">
        <w:t>erslas tikrai galėtų prisijungti prie</w:t>
      </w:r>
      <w:r w:rsidR="00EF3557" w:rsidRPr="004F4364">
        <w:t xml:space="preserve"> e. </w:t>
      </w:r>
      <w:r w:rsidR="005D4200" w:rsidRPr="004F4364">
        <w:t>mokymo</w:t>
      </w:r>
      <w:r w:rsidR="00EF3557" w:rsidRPr="004F4364">
        <w:t>(</w:t>
      </w:r>
      <w:r w:rsidR="005D4200" w:rsidRPr="004F4364">
        <w:t>si</w:t>
      </w:r>
      <w:r w:rsidR="00EF3557" w:rsidRPr="004F4364">
        <w:t>)</w:t>
      </w:r>
      <w:r w:rsidR="005D4200" w:rsidRPr="004F4364">
        <w:t xml:space="preserve"> programų, kuriant jas ir įgyvendinant. </w:t>
      </w:r>
      <w:r w:rsidR="00103F13" w:rsidRPr="004F4364">
        <w:t>Tačiau, daugelis ekspertų atsakinėj</w:t>
      </w:r>
      <w:r w:rsidR="007E79F4">
        <w:t>ę</w:t>
      </w:r>
      <w:r w:rsidR="00103F13" w:rsidRPr="004F4364">
        <w:t xml:space="preserve"> į šio bloko klausimus, minėjo tą pači</w:t>
      </w:r>
      <w:r w:rsidR="006C1744">
        <w:t>ą</w:t>
      </w:r>
      <w:r w:rsidR="00103F13" w:rsidRPr="004F4364">
        <w:t xml:space="preserve"> aukščiau </w:t>
      </w:r>
      <w:r w:rsidR="00103F13" w:rsidRPr="004F4364">
        <w:lastRenderedPageBreak/>
        <w:t xml:space="preserve">įvardintą problemą – </w:t>
      </w:r>
      <w:r w:rsidR="005D4200" w:rsidRPr="004F4364">
        <w:t>realios apčiuopiamos naudos įvertinim</w:t>
      </w:r>
      <w:r w:rsidR="007E79F4">
        <w:t>ą</w:t>
      </w:r>
      <w:r w:rsidR="005D4200" w:rsidRPr="004F4364">
        <w:t xml:space="preserve"> iš verslo</w:t>
      </w:r>
      <w:r w:rsidR="00103F13" w:rsidRPr="004F4364">
        <w:t xml:space="preserve"> segmento pusės.</w:t>
      </w:r>
    </w:p>
    <w:p w:rsidR="005B359F" w:rsidRPr="004F4364" w:rsidRDefault="005B359F" w:rsidP="005B524E">
      <w:pPr>
        <w:suppressAutoHyphens w:val="0"/>
      </w:pPr>
      <w:r w:rsidRPr="004F4364">
        <w:t xml:space="preserve">Minėtos ir kitos </w:t>
      </w:r>
      <w:r w:rsidR="000F6AC8" w:rsidRPr="004F4364">
        <w:t xml:space="preserve">galimos </w:t>
      </w:r>
      <w:r w:rsidRPr="004F4364">
        <w:t>priežast</w:t>
      </w:r>
      <w:r w:rsidR="00527EDE">
        <w:t>y</w:t>
      </w:r>
      <w:r w:rsidRPr="004F4364">
        <w:t>s kodėl verslas nedalyvauja LVU programoje:</w:t>
      </w:r>
    </w:p>
    <w:p w:rsidR="005B359F" w:rsidRPr="004F4364" w:rsidRDefault="005B359F" w:rsidP="005B524E">
      <w:pPr>
        <w:pStyle w:val="ListParagraph"/>
        <w:numPr>
          <w:ilvl w:val="0"/>
          <w:numId w:val="55"/>
        </w:numPr>
        <w:suppressAutoHyphens w:val="0"/>
      </w:pPr>
      <w:r w:rsidRPr="004F4364">
        <w:t>švietimo teikimas yra Lietuvoje gan griežtai reglamentuotas;</w:t>
      </w:r>
    </w:p>
    <w:p w:rsidR="0024155F" w:rsidRPr="004F4364" w:rsidRDefault="0024155F" w:rsidP="005B524E">
      <w:pPr>
        <w:pStyle w:val="ListParagraph"/>
        <w:numPr>
          <w:ilvl w:val="0"/>
          <w:numId w:val="54"/>
        </w:numPr>
        <w:suppressAutoHyphens w:val="0"/>
      </w:pPr>
      <w:r w:rsidRPr="004F4364">
        <w:t xml:space="preserve">technologijų aspektu verslas mažai ką gali pasiūlyti </w:t>
      </w:r>
      <w:r w:rsidR="000F6AC8" w:rsidRPr="004F4364">
        <w:t>pakankamai ger</w:t>
      </w:r>
      <w:r w:rsidRPr="004F4364">
        <w:t>as</w:t>
      </w:r>
      <w:r w:rsidR="000F6AC8" w:rsidRPr="004F4364">
        <w:t xml:space="preserve"> </w:t>
      </w:r>
      <w:r w:rsidRPr="004F4364">
        <w:t>technologijas t</w:t>
      </w:r>
      <w:r w:rsidRPr="004F4364">
        <w:t>u</w:t>
      </w:r>
      <w:r w:rsidRPr="004F4364">
        <w:t>rintiems universitetams;</w:t>
      </w:r>
    </w:p>
    <w:p w:rsidR="0024155F" w:rsidRPr="004F4364" w:rsidRDefault="004A1C24" w:rsidP="005B524E">
      <w:pPr>
        <w:pStyle w:val="ListParagraph"/>
        <w:numPr>
          <w:ilvl w:val="0"/>
          <w:numId w:val="54"/>
        </w:numPr>
        <w:suppressAutoHyphens w:val="0"/>
      </w:pPr>
      <w:r>
        <w:t>žmogiškaisiais ištekliais</w:t>
      </w:r>
      <w:r w:rsidR="000B65FA" w:rsidRPr="004F4364">
        <w:t xml:space="preserve"> taip pat universitetai gerai aprūpinti;</w:t>
      </w:r>
    </w:p>
    <w:p w:rsidR="000B65FA" w:rsidRPr="004F4364" w:rsidRDefault="00304D2A" w:rsidP="005B524E">
      <w:pPr>
        <w:pStyle w:val="ListParagraph"/>
        <w:numPr>
          <w:ilvl w:val="0"/>
          <w:numId w:val="54"/>
        </w:numPr>
        <w:suppressAutoHyphens w:val="0"/>
      </w:pPr>
      <w:r w:rsidRPr="004F4364">
        <w:t>pakankamai griežtos struktūrinių lėšų pana</w:t>
      </w:r>
      <w:r w:rsidR="00B765B4">
        <w:t>udojimo ir apskaitos taisyklės.</w:t>
      </w:r>
    </w:p>
    <w:p w:rsidR="009F7BB9" w:rsidRPr="004F4364" w:rsidRDefault="009F7BB9" w:rsidP="005B524E">
      <w:pPr>
        <w:suppressAutoHyphens w:val="0"/>
      </w:pPr>
      <w:r w:rsidRPr="004F4364">
        <w:t>Šiuo metu, anot ekspertų, bendradarbiavimas tarp viešojo ir privataus sektorių vyksta, tačiau verslas dalyvauja kaip dalyvis, bet ne kaip visavertis partneris. Taip pat pažymėtina, kad LVU progr</w:t>
      </w:r>
      <w:r w:rsidRPr="004F4364">
        <w:t>a</w:t>
      </w:r>
      <w:r w:rsidRPr="004F4364">
        <w:t xml:space="preserve">mos rėmuose vyksta bendradarbiavimas tarp viešojo ir privataus sektorių </w:t>
      </w:r>
      <w:r w:rsidR="00143094" w:rsidRPr="004F4364">
        <w:t>aukštojo mokslo institucijų (valstybinių ir privačių universitetų bei kolegijų)</w:t>
      </w:r>
      <w:r w:rsidR="00F652F1" w:rsidRPr="004F4364">
        <w:t>, tačiau atkreipiama</w:t>
      </w:r>
      <w:r w:rsidR="007E79F4">
        <w:t>s dėmesys</w:t>
      </w:r>
      <w:r w:rsidR="00F652F1" w:rsidRPr="004F4364">
        <w:t xml:space="preserve"> į tai, jog šis bendrada</w:t>
      </w:r>
      <w:r w:rsidR="00F652F1" w:rsidRPr="004F4364">
        <w:t>r</w:t>
      </w:r>
      <w:r w:rsidR="00F652F1" w:rsidRPr="004F4364">
        <w:t xml:space="preserve">biavimas nėra „tikrasis“, nes tiek </w:t>
      </w:r>
      <w:r w:rsidR="00A22F63">
        <w:t>privačios</w:t>
      </w:r>
      <w:r w:rsidR="00F652F1" w:rsidRPr="004F4364">
        <w:t>, tiek valstybinės aukštojo mokslo mokyklos yra labai panašios bei yra licencijuojamos vieno subjekto – Švietimo ir mokslo ministerijos. Esminis skirtumas – finansavimas.</w:t>
      </w:r>
    </w:p>
    <w:p w:rsidR="00FD635A" w:rsidRPr="004F4364" w:rsidRDefault="00BD3BE7" w:rsidP="005B524E">
      <w:pPr>
        <w:suppressAutoHyphens w:val="0"/>
        <w:rPr>
          <w:bCs/>
        </w:rPr>
      </w:pPr>
      <w:r w:rsidRPr="004F4364">
        <w:t>Kitas</w:t>
      </w:r>
      <w:r w:rsidR="00B95F01" w:rsidRPr="004F4364">
        <w:t xml:space="preserve"> </w:t>
      </w:r>
      <w:r w:rsidR="008D5E65" w:rsidRPr="004F4364">
        <w:t>respondentas</w:t>
      </w:r>
      <w:r w:rsidR="00B95F01" w:rsidRPr="004F4364">
        <w:t xml:space="preserve"> įvardino, kad svarbu ieškoti alternatyvių finansavimo šaltinių, realizuojamų per specialias naujų mokymo technologijų</w:t>
      </w:r>
      <w:r w:rsidRPr="004F4364">
        <w:t xml:space="preserve"> plėtros programas ar projektus, todėl </w:t>
      </w:r>
      <w:r w:rsidRPr="004F4364">
        <w:rPr>
          <w:bCs/>
          <w:iCs/>
        </w:rPr>
        <w:t>b</w:t>
      </w:r>
      <w:r w:rsidR="0091194B" w:rsidRPr="004F4364">
        <w:rPr>
          <w:bCs/>
          <w:iCs/>
        </w:rPr>
        <w:t>endradarbiavimo vystymas tarp skirting</w:t>
      </w:r>
      <w:r w:rsidR="00B95F01" w:rsidRPr="004F4364">
        <w:rPr>
          <w:bCs/>
          <w:iCs/>
        </w:rPr>
        <w:t>o</w:t>
      </w:r>
      <w:r w:rsidR="0091194B" w:rsidRPr="004F4364">
        <w:rPr>
          <w:bCs/>
          <w:iCs/>
        </w:rPr>
        <w:t xml:space="preserve"> </w:t>
      </w:r>
      <w:r w:rsidR="00B95F01" w:rsidRPr="004F4364">
        <w:rPr>
          <w:bCs/>
          <w:iCs/>
        </w:rPr>
        <w:t>kapitalo</w:t>
      </w:r>
      <w:r w:rsidR="0091194B" w:rsidRPr="004F4364">
        <w:rPr>
          <w:bCs/>
          <w:iCs/>
        </w:rPr>
        <w:t xml:space="preserve"> institucijų </w:t>
      </w:r>
      <w:r w:rsidR="0091194B" w:rsidRPr="004F4364">
        <w:t>ne tik galėtų padėti spręsti vietos, techninės bazės probl</w:t>
      </w:r>
      <w:r w:rsidR="0091194B" w:rsidRPr="004F4364">
        <w:t>e</w:t>
      </w:r>
      <w:r w:rsidR="0091194B" w:rsidRPr="004F4364">
        <w:t xml:space="preserve">mas, bet ir finansinių išteklių optimalaus paskirstymo ar kur kas </w:t>
      </w:r>
      <w:r w:rsidR="0091194B" w:rsidRPr="004F4364">
        <w:rPr>
          <w:bCs/>
          <w:iCs/>
        </w:rPr>
        <w:t xml:space="preserve">intensyvesnio atskirų </w:t>
      </w:r>
      <w:r w:rsidR="00B95F01" w:rsidRPr="004F4364">
        <w:rPr>
          <w:bCs/>
          <w:iCs/>
        </w:rPr>
        <w:t>e.</w:t>
      </w:r>
      <w:r w:rsidR="0091194B" w:rsidRPr="004F4364">
        <w:rPr>
          <w:bCs/>
          <w:iCs/>
        </w:rPr>
        <w:t xml:space="preserve"> mokymo</w:t>
      </w:r>
      <w:r w:rsidR="00B95F01" w:rsidRPr="004F4364">
        <w:rPr>
          <w:bCs/>
          <w:iCs/>
        </w:rPr>
        <w:t>(</w:t>
      </w:r>
      <w:r w:rsidR="0091194B" w:rsidRPr="004F4364">
        <w:rPr>
          <w:bCs/>
          <w:iCs/>
        </w:rPr>
        <w:t>si</w:t>
      </w:r>
      <w:r w:rsidR="00B95F01" w:rsidRPr="004F4364">
        <w:rPr>
          <w:bCs/>
          <w:iCs/>
        </w:rPr>
        <w:t>)</w:t>
      </w:r>
      <w:r w:rsidR="0091194B" w:rsidRPr="004F4364">
        <w:rPr>
          <w:bCs/>
          <w:iCs/>
        </w:rPr>
        <w:t xml:space="preserve"> programų kūrimo finansavimo problemas</w:t>
      </w:r>
      <w:r w:rsidR="0091194B" w:rsidRPr="004F4364">
        <w:rPr>
          <w:bCs/>
        </w:rPr>
        <w:t>.</w:t>
      </w:r>
      <w:r w:rsidR="00B95F01" w:rsidRPr="004F4364">
        <w:rPr>
          <w:bCs/>
        </w:rPr>
        <w:t xml:space="preserve"> </w:t>
      </w:r>
    </w:p>
    <w:p w:rsidR="00B95F01" w:rsidRPr="004F4364" w:rsidRDefault="003C1C2D" w:rsidP="005B524E">
      <w:pPr>
        <w:suppressAutoHyphens w:val="0"/>
      </w:pPr>
      <w:r w:rsidRPr="004F4364">
        <w:t>Interviu metu nebuvo pamiršta ir studijų finansavimo problem</w:t>
      </w:r>
      <w:r w:rsidR="00B23B54">
        <w:t>a</w:t>
      </w:r>
      <w:r w:rsidRPr="004F4364">
        <w:t xml:space="preserve">. </w:t>
      </w:r>
      <w:r w:rsidR="00257C0B" w:rsidRPr="004F4364">
        <w:t>Anot ekspertų, s</w:t>
      </w:r>
      <w:r w:rsidR="00026C0C" w:rsidRPr="004F4364">
        <w:t>tudijų veiksmingum</w:t>
      </w:r>
      <w:r w:rsidR="000E4CD6">
        <w:t xml:space="preserve">ui </w:t>
      </w:r>
      <w:r w:rsidR="007E79F4" w:rsidRPr="004F4364">
        <w:t>įtak</w:t>
      </w:r>
      <w:r w:rsidR="007E79F4">
        <w:t>ą</w:t>
      </w:r>
      <w:r w:rsidR="007E79F4" w:rsidRPr="004F4364">
        <w:t xml:space="preserve"> </w:t>
      </w:r>
      <w:r w:rsidR="000E4CD6">
        <w:t>daro</w:t>
      </w:r>
      <w:r w:rsidR="00026C0C" w:rsidRPr="004F4364">
        <w:t xml:space="preserve"> paramos studentams kokybė ir su ja susiję vadybiniai sprendimai, todėl </w:t>
      </w:r>
      <w:r w:rsidR="00CD60F5" w:rsidRPr="004F4364">
        <w:t>e. mok</w:t>
      </w:r>
      <w:r w:rsidR="00CD60F5" w:rsidRPr="004F4364">
        <w:t>y</w:t>
      </w:r>
      <w:r w:rsidR="00CD60F5" w:rsidRPr="004F4364">
        <w:t>mo(si)</w:t>
      </w:r>
      <w:r w:rsidR="00026C0C" w:rsidRPr="004F4364">
        <w:t xml:space="preserve"> paslaugas teikiančiai institucijai būtų tikslinga su</w:t>
      </w:r>
      <w:r w:rsidR="00CD60F5" w:rsidRPr="004F4364">
        <w:t xml:space="preserve">kurti studentų paramos sistemą. </w:t>
      </w:r>
      <w:r w:rsidR="00F20AE0" w:rsidRPr="004F4364">
        <w:t>Įvertinant Lietuvos universitetų materialiųjų ir žmogišk</w:t>
      </w:r>
      <w:r w:rsidR="000E7D3F">
        <w:t>ųjų</w:t>
      </w:r>
      <w:r w:rsidR="00F20AE0" w:rsidRPr="004F4364">
        <w:t xml:space="preserve"> resursų galimybes, visiškai nemokamas nuotolinis mokymasis </w:t>
      </w:r>
      <w:r w:rsidR="00014289" w:rsidRPr="004F4364">
        <w:t xml:space="preserve">(įtraukiant e. mokymą(si)) </w:t>
      </w:r>
      <w:r w:rsidR="000B1EB9">
        <w:t>sunkiai įgyvendina</w:t>
      </w:r>
      <w:r w:rsidR="00F20AE0" w:rsidRPr="004F4364">
        <w:t>mas</w:t>
      </w:r>
      <w:r w:rsidR="00F04215" w:rsidRPr="004F4364">
        <w:t xml:space="preserve">, todėl verslo pritraukimas yra būtinas, </w:t>
      </w:r>
      <w:r w:rsidR="00B95F01" w:rsidRPr="004F4364">
        <w:t>sprendžiant finansavimo problemas bei didinant aukštojo mokslo prieinamumą.</w:t>
      </w:r>
    </w:p>
    <w:p w:rsidR="00CD60F5" w:rsidRPr="004F4364" w:rsidRDefault="00DB3C91" w:rsidP="005B524E">
      <w:pPr>
        <w:suppressAutoHyphens w:val="0"/>
      </w:pPr>
      <w:r w:rsidRPr="004F4364">
        <w:t>Kitas aspektas – v</w:t>
      </w:r>
      <w:r w:rsidR="00CD60F5" w:rsidRPr="004F4364">
        <w:t>iešojo ir privataus sektorių bendradarbiavimo, nukreipto į mokslinių tyrimų organizavimą bei rezultatų diegimą, e. mokymo(si) srityje skatinimas</w:t>
      </w:r>
      <w:r w:rsidRPr="004F4364">
        <w:t>, pasak ekspertų,</w:t>
      </w:r>
      <w:r w:rsidR="00CD60F5" w:rsidRPr="004F4364">
        <w:t xml:space="preserve"> galėtų </w:t>
      </w:r>
      <w:r w:rsidR="008D5E65" w:rsidRPr="004F4364">
        <w:t>sudaryti</w:t>
      </w:r>
      <w:r w:rsidR="00CD60F5" w:rsidRPr="004F4364">
        <w:t xml:space="preserve"> galimyb</w:t>
      </w:r>
      <w:r w:rsidR="008D5E65" w:rsidRPr="004F4364">
        <w:t>ę</w:t>
      </w:r>
      <w:r w:rsidR="00CD60F5" w:rsidRPr="004F4364">
        <w:t xml:space="preserve"> įgyti naujų kompetencijų, tobulinti kvalifikaciją, bet ir dalintis gerąja patirtimi</w:t>
      </w:r>
      <w:r w:rsidR="008D5E65" w:rsidRPr="004F4364">
        <w:t>.</w:t>
      </w:r>
    </w:p>
    <w:p w:rsidR="00440CDF" w:rsidRDefault="00440CDF" w:rsidP="005B524E">
      <w:pPr>
        <w:suppressAutoHyphens w:val="0"/>
      </w:pPr>
      <w:r w:rsidRPr="004F4364">
        <w:t xml:space="preserve">Dar vienas minėtas aspektas – LVU yra santykinai didelis projektas. </w:t>
      </w:r>
      <w:r w:rsidR="00CA3B74">
        <w:t>O, p</w:t>
      </w:r>
      <w:r w:rsidRPr="004F4364">
        <w:t>asak ekspertų, VPSP santykinai naudingesnis būtent dideliems, besikartoja</w:t>
      </w:r>
      <w:r w:rsidR="000703C2">
        <w:t>ntiems, ilgalaikiams projektams, reikalaujantiems dideli</w:t>
      </w:r>
      <w:r w:rsidR="00A72E1B">
        <w:t>ų</w:t>
      </w:r>
      <w:r w:rsidR="000703C2">
        <w:t xml:space="preserve"> finansini</w:t>
      </w:r>
      <w:r w:rsidR="00A72E1B">
        <w:t>ų</w:t>
      </w:r>
      <w:r w:rsidR="000703C2">
        <w:t xml:space="preserve"> injekcijų.</w:t>
      </w:r>
    </w:p>
    <w:p w:rsidR="001A1B78" w:rsidRPr="001A1B78" w:rsidRDefault="001A1B78" w:rsidP="005B524E">
      <w:pPr>
        <w:suppressAutoHyphens w:val="0"/>
        <w:rPr>
          <w:lang w:val="en-US"/>
        </w:rPr>
      </w:pPr>
      <w:r>
        <w:t xml:space="preserve">VPSP teikiama nauda buvo apibendrintai </w:t>
      </w:r>
      <w:r w:rsidRPr="001A1B78">
        <w:rPr>
          <w:b/>
        </w:rPr>
        <w:t xml:space="preserve">Lentelėje </w:t>
      </w:r>
      <w:r w:rsidRPr="001A1B78">
        <w:rPr>
          <w:b/>
          <w:lang w:val="en-US"/>
        </w:rPr>
        <w:t>6</w:t>
      </w:r>
      <w:r>
        <w:rPr>
          <w:lang w:val="en-US"/>
        </w:rPr>
        <w:t>:</w:t>
      </w:r>
    </w:p>
    <w:p w:rsidR="003E0DFE" w:rsidRPr="004F4364" w:rsidRDefault="003E0DFE" w:rsidP="005B524E">
      <w:pPr>
        <w:pStyle w:val="Caption"/>
        <w:suppressAutoHyphens w:val="0"/>
        <w:rPr>
          <w:rFonts w:cs="Times New Roman"/>
        </w:rPr>
      </w:pPr>
      <w:bookmarkStart w:id="59" w:name="_Toc248866374"/>
      <w:r w:rsidRPr="004F4364">
        <w:rPr>
          <w:rFonts w:cs="Times New Roman"/>
        </w:rPr>
        <w:t xml:space="preserve">Lentelė </w:t>
      </w:r>
      <w:r w:rsidR="009A186D" w:rsidRPr="004F4364">
        <w:rPr>
          <w:rFonts w:cs="Times New Roman"/>
        </w:rPr>
        <w:fldChar w:fldCharType="begin"/>
      </w:r>
      <w:r w:rsidRPr="004F4364">
        <w:rPr>
          <w:rFonts w:cs="Times New Roman"/>
        </w:rPr>
        <w:instrText xml:space="preserve"> SEQ Lentelė \* ARABIC </w:instrText>
      </w:r>
      <w:r w:rsidR="009A186D" w:rsidRPr="004F4364">
        <w:rPr>
          <w:rFonts w:cs="Times New Roman"/>
        </w:rPr>
        <w:fldChar w:fldCharType="separate"/>
      </w:r>
      <w:r w:rsidR="00E32C21">
        <w:rPr>
          <w:rFonts w:cs="Times New Roman"/>
          <w:noProof/>
        </w:rPr>
        <w:t>6</w:t>
      </w:r>
      <w:r w:rsidR="009A186D" w:rsidRPr="004F4364">
        <w:rPr>
          <w:rFonts w:cs="Times New Roman"/>
        </w:rPr>
        <w:fldChar w:fldCharType="end"/>
      </w:r>
      <w:r w:rsidRPr="004F4364">
        <w:rPr>
          <w:rFonts w:cs="Times New Roman"/>
        </w:rPr>
        <w:t xml:space="preserve"> VPSP galima nauda LVU programoje</w:t>
      </w:r>
      <w:bookmarkEnd w:id="59"/>
    </w:p>
    <w:tbl>
      <w:tblPr>
        <w:tblW w:w="10089"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4615"/>
        <w:gridCol w:w="5474"/>
      </w:tblGrid>
      <w:tr w:rsidR="003E0DFE" w:rsidRPr="004F4364" w:rsidTr="00913304">
        <w:trPr>
          <w:trHeight w:val="204"/>
          <w:jc w:val="center"/>
        </w:trPr>
        <w:tc>
          <w:tcPr>
            <w:tcW w:w="4615" w:type="dxa"/>
            <w:shd w:val="clear" w:color="auto" w:fill="1F497D" w:themeFill="text2"/>
            <w:vAlign w:val="center"/>
          </w:tcPr>
          <w:p w:rsidR="003E0DFE" w:rsidRPr="004F4364" w:rsidRDefault="00902AB0" w:rsidP="005B524E">
            <w:pPr>
              <w:suppressAutoHyphens w:val="0"/>
              <w:spacing w:line="240" w:lineRule="auto"/>
              <w:ind w:firstLine="0"/>
              <w:jc w:val="center"/>
              <w:rPr>
                <w:b/>
                <w:color w:val="FFFFFF" w:themeColor="background1"/>
              </w:rPr>
            </w:pPr>
            <w:r w:rsidRPr="004F4364">
              <w:rPr>
                <w:b/>
                <w:color w:val="FFFFFF" w:themeColor="background1"/>
              </w:rPr>
              <w:t>Nauda universitetui</w:t>
            </w:r>
          </w:p>
        </w:tc>
        <w:tc>
          <w:tcPr>
            <w:tcW w:w="0" w:type="auto"/>
            <w:shd w:val="clear" w:color="auto" w:fill="1F497D" w:themeFill="text2"/>
            <w:vAlign w:val="center"/>
          </w:tcPr>
          <w:p w:rsidR="003E0DFE" w:rsidRPr="004F4364" w:rsidRDefault="00902AB0" w:rsidP="005B524E">
            <w:pPr>
              <w:suppressAutoHyphens w:val="0"/>
              <w:spacing w:line="240" w:lineRule="auto"/>
              <w:ind w:firstLine="0"/>
              <w:jc w:val="center"/>
              <w:rPr>
                <w:b/>
                <w:color w:val="FFFFFF" w:themeColor="background1"/>
              </w:rPr>
            </w:pPr>
            <w:r w:rsidRPr="004F4364">
              <w:rPr>
                <w:b/>
                <w:color w:val="FFFFFF" w:themeColor="background1"/>
              </w:rPr>
              <w:t>Nauda verslui</w:t>
            </w:r>
          </w:p>
        </w:tc>
      </w:tr>
      <w:tr w:rsidR="003E0DFE" w:rsidRPr="004F4364" w:rsidTr="00913304">
        <w:trPr>
          <w:jc w:val="center"/>
        </w:trPr>
        <w:tc>
          <w:tcPr>
            <w:tcW w:w="4615" w:type="dxa"/>
          </w:tcPr>
          <w:p w:rsidR="00CB7D03" w:rsidRPr="004F4364" w:rsidRDefault="00CB7D03" w:rsidP="005B524E">
            <w:pPr>
              <w:pStyle w:val="ListParagraph"/>
              <w:numPr>
                <w:ilvl w:val="0"/>
                <w:numId w:val="52"/>
              </w:numPr>
              <w:suppressAutoHyphens w:val="0"/>
              <w:ind w:left="337"/>
            </w:pPr>
            <w:r w:rsidRPr="004F4364">
              <w:lastRenderedPageBreak/>
              <w:t>užtikrinamas savalaikis ir kokybiškesnis paslaugų teikimas;</w:t>
            </w:r>
          </w:p>
          <w:p w:rsidR="003E0DFE" w:rsidRPr="004F4364" w:rsidRDefault="00FC096B" w:rsidP="005B524E">
            <w:pPr>
              <w:pStyle w:val="ListParagraph"/>
              <w:numPr>
                <w:ilvl w:val="0"/>
                <w:numId w:val="52"/>
              </w:numPr>
              <w:suppressAutoHyphens w:val="0"/>
              <w:ind w:left="337"/>
            </w:pPr>
            <w:r w:rsidRPr="004F4364">
              <w:t>s</w:t>
            </w:r>
            <w:r w:rsidR="0094614C" w:rsidRPr="004F4364">
              <w:t>tudijų finansavimo problem</w:t>
            </w:r>
            <w:r w:rsidR="007E79F4">
              <w:t>ų</w:t>
            </w:r>
            <w:r w:rsidR="0094614C" w:rsidRPr="004F4364">
              <w:t xml:space="preserve"> sprend</w:t>
            </w:r>
            <w:r w:rsidR="0094614C" w:rsidRPr="004F4364">
              <w:t>i</w:t>
            </w:r>
            <w:r w:rsidR="0094614C" w:rsidRPr="004F4364">
              <w:t>mas;</w:t>
            </w:r>
          </w:p>
          <w:p w:rsidR="006B3B3A" w:rsidRPr="004F4364" w:rsidRDefault="00FC096B" w:rsidP="005B524E">
            <w:pPr>
              <w:pStyle w:val="ListParagraph"/>
              <w:numPr>
                <w:ilvl w:val="0"/>
                <w:numId w:val="52"/>
              </w:numPr>
              <w:suppressAutoHyphens w:val="0"/>
              <w:ind w:left="337"/>
            </w:pPr>
            <w:r w:rsidRPr="004F4364">
              <w:rPr>
                <w:bCs/>
                <w:iCs/>
              </w:rPr>
              <w:t>p</w:t>
            </w:r>
            <w:r w:rsidR="006B3B3A" w:rsidRPr="004F4364">
              <w:rPr>
                <w:bCs/>
                <w:iCs/>
              </w:rPr>
              <w:t>rogramų kūrimo finansavimo problemų sprendimas;</w:t>
            </w:r>
          </w:p>
          <w:p w:rsidR="0094614C" w:rsidRPr="004F4364" w:rsidRDefault="00FC096B" w:rsidP="005B524E">
            <w:pPr>
              <w:pStyle w:val="ListParagraph"/>
              <w:numPr>
                <w:ilvl w:val="0"/>
                <w:numId w:val="52"/>
              </w:numPr>
              <w:suppressAutoHyphens w:val="0"/>
              <w:ind w:left="337"/>
            </w:pPr>
            <w:r w:rsidRPr="004F4364">
              <w:t>g</w:t>
            </w:r>
            <w:r w:rsidR="0094614C" w:rsidRPr="004F4364">
              <w:t>alimybė įgyti nauj</w:t>
            </w:r>
            <w:r w:rsidR="007E79F4">
              <w:t>as</w:t>
            </w:r>
            <w:r w:rsidR="0094614C" w:rsidRPr="004F4364">
              <w:t xml:space="preserve"> kompetencij</w:t>
            </w:r>
            <w:r w:rsidR="007E79F4">
              <w:t>as</w:t>
            </w:r>
            <w:r w:rsidR="0094614C" w:rsidRPr="004F4364">
              <w:t>, tobulinti kvalifikaciją, bet ir dalintis ger</w:t>
            </w:r>
            <w:r w:rsidR="0094614C" w:rsidRPr="004F4364">
              <w:t>ą</w:t>
            </w:r>
            <w:r w:rsidR="0094614C" w:rsidRPr="004F4364">
              <w:t>ja patirtimi;</w:t>
            </w:r>
          </w:p>
          <w:p w:rsidR="00C93B2C" w:rsidRPr="004F4364" w:rsidRDefault="00FC096B" w:rsidP="005B524E">
            <w:pPr>
              <w:pStyle w:val="ListParagraph"/>
              <w:numPr>
                <w:ilvl w:val="0"/>
                <w:numId w:val="52"/>
              </w:numPr>
              <w:suppressAutoHyphens w:val="0"/>
              <w:ind w:left="337"/>
            </w:pPr>
            <w:r w:rsidRPr="004F4364">
              <w:t>t</w:t>
            </w:r>
            <w:r w:rsidR="00C93B2C" w:rsidRPr="004F4364">
              <w:t xml:space="preserve">am tikros srities </w:t>
            </w:r>
            <w:r w:rsidR="00F252B8" w:rsidRPr="004F4364">
              <w:t xml:space="preserve">kvalifikuotų </w:t>
            </w:r>
            <w:r w:rsidR="00C93B2C" w:rsidRPr="004F4364">
              <w:t>specialistų įtraukimas į mokymo(si) proceso organ</w:t>
            </w:r>
            <w:r w:rsidR="00C93B2C" w:rsidRPr="004F4364">
              <w:t>i</w:t>
            </w:r>
            <w:r w:rsidR="00C93B2C" w:rsidRPr="004F4364">
              <w:t>zavimą</w:t>
            </w:r>
            <w:r w:rsidR="00CF08C7" w:rsidRPr="004F4364">
              <w:t>;</w:t>
            </w:r>
          </w:p>
          <w:p w:rsidR="00EF79F8" w:rsidRPr="004F4364" w:rsidRDefault="00FC096B" w:rsidP="005B524E">
            <w:pPr>
              <w:pStyle w:val="ListParagraph"/>
              <w:numPr>
                <w:ilvl w:val="0"/>
                <w:numId w:val="52"/>
              </w:numPr>
              <w:suppressAutoHyphens w:val="0"/>
              <w:ind w:left="337"/>
            </w:pPr>
            <w:r w:rsidRPr="004F4364">
              <w:t>t</w:t>
            </w:r>
            <w:r w:rsidR="00967239" w:rsidRPr="004F4364">
              <w:t>urto nuoma – galima išvengti poreikio įsigyti techniką;</w:t>
            </w:r>
          </w:p>
          <w:p w:rsidR="00CB7D03" w:rsidRPr="004F4364" w:rsidRDefault="00CB7D03" w:rsidP="005B524E">
            <w:pPr>
              <w:pStyle w:val="ListParagraph"/>
              <w:numPr>
                <w:ilvl w:val="0"/>
                <w:numId w:val="52"/>
              </w:numPr>
              <w:suppressAutoHyphens w:val="0"/>
              <w:ind w:left="337"/>
            </w:pPr>
            <w:r w:rsidRPr="004F4364">
              <w:t>rizikos paskirstymas – mažina atsakom</w:t>
            </w:r>
            <w:r w:rsidRPr="004F4364">
              <w:t>y</w:t>
            </w:r>
            <w:r w:rsidRPr="004F4364">
              <w:t>bės naštą ir išlaidas bei j</w:t>
            </w:r>
            <w:r w:rsidR="007E79F4">
              <w:t>ų</w:t>
            </w:r>
            <w:r w:rsidRPr="004F4364">
              <w:t xml:space="preserve"> valdy</w:t>
            </w:r>
            <w:r w:rsidR="007E79F4">
              <w:t>mą</w:t>
            </w:r>
            <w:r w:rsidRPr="004F4364">
              <w:t>;</w:t>
            </w:r>
          </w:p>
          <w:p w:rsidR="00CB7D03" w:rsidRPr="004F4364" w:rsidRDefault="00CB7D03" w:rsidP="005B524E">
            <w:pPr>
              <w:pStyle w:val="ListParagraph"/>
              <w:numPr>
                <w:ilvl w:val="0"/>
                <w:numId w:val="52"/>
              </w:numPr>
              <w:suppressAutoHyphens w:val="0"/>
              <w:ind w:left="337"/>
            </w:pPr>
            <w:r w:rsidRPr="004F4364">
              <w:t>turtas, sukurtas partnerystės metu, gali būti apskaitomas ne viešojo sektoriaus balanse</w:t>
            </w:r>
            <w:r w:rsidR="00B340F5" w:rsidRPr="004F4364">
              <w:t>.</w:t>
            </w:r>
          </w:p>
          <w:p w:rsidR="00EF79F8" w:rsidRPr="004F4364" w:rsidRDefault="002B38CA" w:rsidP="005B524E">
            <w:pPr>
              <w:pStyle w:val="ListParagraph"/>
              <w:numPr>
                <w:ilvl w:val="0"/>
                <w:numId w:val="52"/>
              </w:numPr>
              <w:suppressAutoHyphens w:val="0"/>
              <w:ind w:left="337"/>
            </w:pPr>
            <w:r w:rsidRPr="004F4364">
              <w:t>s</w:t>
            </w:r>
            <w:r w:rsidR="00EF79F8" w:rsidRPr="004F4364">
              <w:t xml:space="preserve">kaidrumo </w:t>
            </w:r>
            <w:r w:rsidRPr="004F4364">
              <w:t>užtik</w:t>
            </w:r>
            <w:r w:rsidR="00D426BE" w:rsidRPr="004F4364">
              <w:t>r</w:t>
            </w:r>
            <w:r w:rsidRPr="004F4364">
              <w:t>inimas</w:t>
            </w:r>
            <w:r w:rsidR="00AB478D">
              <w:t>.</w:t>
            </w:r>
          </w:p>
        </w:tc>
        <w:tc>
          <w:tcPr>
            <w:tcW w:w="0" w:type="auto"/>
          </w:tcPr>
          <w:p w:rsidR="00CB7D03" w:rsidRPr="004F4364" w:rsidRDefault="00CB7D03" w:rsidP="005B524E">
            <w:pPr>
              <w:numPr>
                <w:ilvl w:val="0"/>
                <w:numId w:val="14"/>
              </w:numPr>
              <w:suppressAutoHyphens w:val="0"/>
            </w:pPr>
            <w:r w:rsidRPr="004F4364">
              <w:t>galimybė užtikrinti ilgalaikes pajamas;</w:t>
            </w:r>
          </w:p>
          <w:p w:rsidR="003E0DFE" w:rsidRPr="004F4364" w:rsidRDefault="00FC096B" w:rsidP="005B524E">
            <w:pPr>
              <w:numPr>
                <w:ilvl w:val="0"/>
                <w:numId w:val="14"/>
              </w:numPr>
              <w:suppressAutoHyphens w:val="0"/>
            </w:pPr>
            <w:r w:rsidRPr="004F4364">
              <w:t>g</w:t>
            </w:r>
            <w:r w:rsidR="0094614C" w:rsidRPr="004F4364">
              <w:t>alimybė įgyti nauj</w:t>
            </w:r>
            <w:r w:rsidR="007E79F4">
              <w:t>as</w:t>
            </w:r>
            <w:r w:rsidR="0094614C" w:rsidRPr="004F4364">
              <w:t xml:space="preserve"> kompetencij</w:t>
            </w:r>
            <w:r w:rsidR="007E79F4">
              <w:t>as</w:t>
            </w:r>
            <w:r w:rsidR="0094614C" w:rsidRPr="004F4364">
              <w:t>, tobulinti kvalifikaciją, bet ir dalintis gerąja patirtimi;</w:t>
            </w:r>
          </w:p>
          <w:p w:rsidR="00C93B2C" w:rsidRPr="004F4364" w:rsidRDefault="00FC096B" w:rsidP="005B524E">
            <w:pPr>
              <w:numPr>
                <w:ilvl w:val="0"/>
                <w:numId w:val="14"/>
              </w:numPr>
              <w:suppressAutoHyphens w:val="0"/>
            </w:pPr>
            <w:r w:rsidRPr="004F4364">
              <w:t>p</w:t>
            </w:r>
            <w:r w:rsidR="00CF08C7" w:rsidRPr="004F4364">
              <w:t>otencialių darbuotojų pritraukimas</w:t>
            </w:r>
            <w:r w:rsidR="00B131B8" w:rsidRPr="004F4364">
              <w:t xml:space="preserve"> tiek </w:t>
            </w:r>
            <w:r w:rsidR="007E79F4">
              <w:t xml:space="preserve">tarp </w:t>
            </w:r>
            <w:r w:rsidR="00B131B8" w:rsidRPr="004F4364">
              <w:t>studentų, tiek ir iš dėstytojų</w:t>
            </w:r>
            <w:r w:rsidR="00CF08C7" w:rsidRPr="004F4364">
              <w:t>;</w:t>
            </w:r>
          </w:p>
          <w:p w:rsidR="00CF08C7" w:rsidRPr="004F4364" w:rsidRDefault="00FC096B" w:rsidP="005B524E">
            <w:pPr>
              <w:numPr>
                <w:ilvl w:val="0"/>
                <w:numId w:val="14"/>
              </w:numPr>
              <w:suppressAutoHyphens w:val="0"/>
            </w:pPr>
            <w:r w:rsidRPr="004F4364">
              <w:t>s</w:t>
            </w:r>
            <w:r w:rsidR="00CD05AB" w:rsidRPr="004F4364">
              <w:t xml:space="preserve">ocialinės atsakomybės jausmas – ekspertas minėjo anglišką terminą </w:t>
            </w:r>
            <w:r w:rsidR="00243CA6" w:rsidRPr="00543D58">
              <w:rPr>
                <w:i/>
                <w:lang w:val="en-US"/>
              </w:rPr>
              <w:t>c</w:t>
            </w:r>
            <w:r w:rsidR="00CD05AB" w:rsidRPr="00543D58">
              <w:rPr>
                <w:i/>
                <w:lang w:val="en-US"/>
              </w:rPr>
              <w:t>orporate social respo</w:t>
            </w:r>
            <w:r w:rsidR="00CD05AB" w:rsidRPr="00543D58">
              <w:rPr>
                <w:i/>
                <w:lang w:val="en-US"/>
              </w:rPr>
              <w:t>n</w:t>
            </w:r>
            <w:r w:rsidR="00CD05AB" w:rsidRPr="00543D58">
              <w:rPr>
                <w:i/>
                <w:lang w:val="en-US"/>
              </w:rPr>
              <w:t>sibility</w:t>
            </w:r>
            <w:r w:rsidR="00A67613" w:rsidRPr="004F4364">
              <w:rPr>
                <w:i/>
              </w:rPr>
              <w:t xml:space="preserve"> </w:t>
            </w:r>
            <w:r w:rsidR="00A67613" w:rsidRPr="004F4364">
              <w:t>(</w:t>
            </w:r>
            <w:r w:rsidR="00A67613" w:rsidRPr="004F4364">
              <w:rPr>
                <w:i/>
              </w:rPr>
              <w:t xml:space="preserve">liet. </w:t>
            </w:r>
            <w:r w:rsidR="00243CA6" w:rsidRPr="004F4364">
              <w:rPr>
                <w:i/>
              </w:rPr>
              <w:t>k</w:t>
            </w:r>
            <w:r w:rsidR="00A67613" w:rsidRPr="004F4364">
              <w:rPr>
                <w:i/>
              </w:rPr>
              <w:t>orporatyvinė socialinė atsakomybė</w:t>
            </w:r>
            <w:r w:rsidR="00A67613" w:rsidRPr="004F4364">
              <w:t>)</w:t>
            </w:r>
            <w:r w:rsidR="00CD05AB" w:rsidRPr="004F4364">
              <w:rPr>
                <w:i/>
              </w:rPr>
              <w:t>;</w:t>
            </w:r>
          </w:p>
          <w:p w:rsidR="00B5639E" w:rsidRPr="004F4364" w:rsidRDefault="00FC096B" w:rsidP="005B524E">
            <w:pPr>
              <w:numPr>
                <w:ilvl w:val="0"/>
                <w:numId w:val="14"/>
              </w:numPr>
              <w:suppressAutoHyphens w:val="0"/>
            </w:pPr>
            <w:r w:rsidRPr="004F4364">
              <w:t>p</w:t>
            </w:r>
            <w:r w:rsidR="00243CA6" w:rsidRPr="004F4364">
              <w:t xml:space="preserve">adidėjęs žinomumas ir viešas matomumas – ekspertas minėjo anglišką terminą </w:t>
            </w:r>
            <w:r w:rsidR="00243CA6" w:rsidRPr="00543D58">
              <w:rPr>
                <w:i/>
                <w:lang w:val="en-US"/>
              </w:rPr>
              <w:t>visibility</w:t>
            </w:r>
            <w:r w:rsidR="00243CA6" w:rsidRPr="004F4364">
              <w:rPr>
                <w:i/>
              </w:rPr>
              <w:t xml:space="preserve"> </w:t>
            </w:r>
            <w:r w:rsidR="00243CA6" w:rsidRPr="004F4364">
              <w:t>(</w:t>
            </w:r>
            <w:r w:rsidR="00243CA6" w:rsidRPr="004F4364">
              <w:rPr>
                <w:i/>
              </w:rPr>
              <w:t>liet. matomumas)</w:t>
            </w:r>
            <w:r w:rsidR="00BC648C" w:rsidRPr="004F4364">
              <w:t>.</w:t>
            </w:r>
          </w:p>
        </w:tc>
      </w:tr>
    </w:tbl>
    <w:p w:rsidR="005601AE" w:rsidRDefault="003D616C" w:rsidP="005B524E">
      <w:pPr>
        <w:pStyle w:val="Heading2"/>
        <w:suppressAutoHyphens w:val="0"/>
      </w:pPr>
      <w:bookmarkStart w:id="60" w:name="_Toc251011270"/>
      <w:r w:rsidRPr="004F4364">
        <w:t xml:space="preserve">Požiūris į </w:t>
      </w:r>
      <w:r w:rsidR="002C2227">
        <w:t>viešojo ir privataus sektorių partnerystės</w:t>
      </w:r>
      <w:r w:rsidRPr="004F4364">
        <w:t xml:space="preserve"> sutarčių naudoj</w:t>
      </w:r>
      <w:r w:rsidRPr="004F4364">
        <w:t>i</w:t>
      </w:r>
      <w:r w:rsidRPr="004F4364">
        <w:t>mą</w:t>
      </w:r>
      <w:bookmarkEnd w:id="60"/>
    </w:p>
    <w:p w:rsidR="00292099" w:rsidRPr="004F4364" w:rsidRDefault="00D03F1A" w:rsidP="005B524E">
      <w:pPr>
        <w:suppressAutoHyphens w:val="0"/>
        <w:spacing w:before="100" w:beforeAutospacing="1"/>
        <w:ind w:firstLine="709"/>
      </w:pPr>
      <w:r w:rsidRPr="004F4364">
        <w:t xml:space="preserve">Anot ekspertų, </w:t>
      </w:r>
      <w:r w:rsidR="003B60F7">
        <w:t>apie viešojo ir privataus sektorių partnerystės</w:t>
      </w:r>
      <w:r w:rsidR="003B60F7" w:rsidRPr="004F4364">
        <w:t xml:space="preserve"> sutarčių naudojimą </w:t>
      </w:r>
      <w:r w:rsidR="0093700C">
        <w:t xml:space="preserve">LVU </w:t>
      </w:r>
      <w:r w:rsidR="00B765B4">
        <w:t>progr</w:t>
      </w:r>
      <w:r w:rsidR="00B765B4">
        <w:t>a</w:t>
      </w:r>
      <w:r w:rsidR="00B765B4">
        <w:t>moje</w:t>
      </w:r>
      <w:r w:rsidR="0093700C">
        <w:t xml:space="preserve"> </w:t>
      </w:r>
      <w:r w:rsidRPr="004F4364">
        <w:t xml:space="preserve">vienareikšmiškai </w:t>
      </w:r>
      <w:r w:rsidR="007E79F4">
        <w:t>kalbėti</w:t>
      </w:r>
      <w:r w:rsidRPr="004F4364">
        <w:t xml:space="preserve"> negalima. Kiekvienu atveju</w:t>
      </w:r>
      <w:r w:rsidR="00FA6519">
        <w:t xml:space="preserve"> (</w:t>
      </w:r>
      <w:r w:rsidR="00FA6519" w:rsidRPr="0054378B">
        <w:t>valdymo paslaugų, profesinių paslaugų, aptarnavimo paslaugų, veiklos paslaugų, švietimo paslaugų, įrangos suteikimo paslaugų sutartis</w:t>
      </w:r>
      <w:r w:rsidR="00FA6519">
        <w:t xml:space="preserve"> ir ar kitos sutartys)</w:t>
      </w:r>
      <w:r w:rsidRPr="004F4364">
        <w:t xml:space="preserve"> reikalingas įvertinimas</w:t>
      </w:r>
      <w:r w:rsidR="002C64AC">
        <w:t>:</w:t>
      </w:r>
      <w:r w:rsidRPr="004F4364">
        <w:t xml:space="preserve"> kiek kainuoja paslaugos pirkimas, kiek kainoja savarankiškas funkcijos vykdymas</w:t>
      </w:r>
      <w:r w:rsidR="00FC2677" w:rsidRPr="004F4364">
        <w:t xml:space="preserve"> bei kiek kainuotų, jei </w:t>
      </w:r>
      <w:r w:rsidR="00BE72E5" w:rsidRPr="004F4364">
        <w:t xml:space="preserve">būtų </w:t>
      </w:r>
      <w:r w:rsidR="00FC2677" w:rsidRPr="004F4364">
        <w:t>pasi</w:t>
      </w:r>
      <w:r w:rsidR="00292099" w:rsidRPr="004F4364">
        <w:t>rašoma vieną iš sutarties rūšių.</w:t>
      </w:r>
    </w:p>
    <w:p w:rsidR="00F85252" w:rsidRPr="004F4364" w:rsidRDefault="00D03F1A" w:rsidP="005B524E">
      <w:pPr>
        <w:pStyle w:val="BodyText"/>
        <w:suppressAutoHyphens w:val="0"/>
      </w:pPr>
      <w:r w:rsidRPr="004F4364">
        <w:t xml:space="preserve">Dažniausiai </w:t>
      </w:r>
      <w:r w:rsidR="00323B5E" w:rsidRPr="004F4364">
        <w:t xml:space="preserve">panašų efektą </w:t>
      </w:r>
      <w:r w:rsidRPr="004F4364">
        <w:t xml:space="preserve">galima gauti </w:t>
      </w:r>
      <w:r w:rsidR="00323B5E" w:rsidRPr="004F4364">
        <w:t>visais aprašytais būdais. Todėl</w:t>
      </w:r>
      <w:r w:rsidRPr="004F4364">
        <w:t xml:space="preserve"> įvairiose srityse – kaip pvz. išteklių perkėlimas, dalinė ranga (</w:t>
      </w:r>
      <w:r w:rsidRPr="004F4364">
        <w:rPr>
          <w:i/>
        </w:rPr>
        <w:t xml:space="preserve">angl. </w:t>
      </w:r>
      <w:r w:rsidRPr="004C6CBA">
        <w:rPr>
          <w:i/>
          <w:lang w:val="en-US"/>
        </w:rPr>
        <w:t>outsourcing</w:t>
      </w:r>
      <w:r w:rsidRPr="004F4364">
        <w:t>), įrangos nuom</w:t>
      </w:r>
      <w:r w:rsidR="00904D2C">
        <w:t>a</w:t>
      </w:r>
      <w:r w:rsidRPr="004F4364">
        <w:t>, valymo paslaug</w:t>
      </w:r>
      <w:r w:rsidR="00904D2C">
        <w:t>os</w:t>
      </w:r>
      <w:r w:rsidRPr="004F4364">
        <w:t>, ir administracines (apskaitos) bei įvairias kit</w:t>
      </w:r>
      <w:r w:rsidR="00276B70">
        <w:t>a</w:t>
      </w:r>
      <w:r w:rsidR="00993B39">
        <w:t>s aptarnavimo paslaugas</w:t>
      </w:r>
      <w:r w:rsidR="00323B5E" w:rsidRPr="004F4364">
        <w:t xml:space="preserve"> būtina</w:t>
      </w:r>
      <w:r w:rsidR="00941F12">
        <w:t>i</w:t>
      </w:r>
      <w:r w:rsidR="00323B5E" w:rsidRPr="004F4364">
        <w:t xml:space="preserve"> </w:t>
      </w:r>
      <w:r w:rsidRPr="004F4364">
        <w:t xml:space="preserve">reikia vertinti, koks </w:t>
      </w:r>
      <w:r w:rsidR="00641258">
        <w:t xml:space="preserve">bus </w:t>
      </w:r>
      <w:r w:rsidRPr="004F4364">
        <w:t>efektas pritraukiant privatų</w:t>
      </w:r>
      <w:r w:rsidR="00323B5E" w:rsidRPr="004F4364">
        <w:t xml:space="preserve"> </w:t>
      </w:r>
      <w:r w:rsidRPr="004F4364">
        <w:t>sekt</w:t>
      </w:r>
      <w:r w:rsidR="006A17BF">
        <w:t>orių.</w:t>
      </w:r>
      <w:r w:rsidR="00F679EC">
        <w:t xml:space="preserve"> </w:t>
      </w:r>
      <w:r w:rsidR="00F679EC" w:rsidRPr="006A17BF">
        <w:t>Ekspertų</w:t>
      </w:r>
      <w:r w:rsidR="00F679EC">
        <w:t xml:space="preserve"> nuomone</w:t>
      </w:r>
      <w:r w:rsidR="00F679EC" w:rsidRPr="004F4364">
        <w:t>, žinių ir patirties pritraukimas</w:t>
      </w:r>
      <w:r w:rsidR="002C64AC">
        <w:t xml:space="preserve"> pinigais neįve</w:t>
      </w:r>
      <w:r w:rsidR="002C64AC">
        <w:t>r</w:t>
      </w:r>
      <w:r w:rsidR="002C64AC">
        <w:t>tinamas</w:t>
      </w:r>
      <w:r w:rsidR="00F679EC" w:rsidRPr="004F4364">
        <w:t>.</w:t>
      </w:r>
    </w:p>
    <w:p w:rsidR="00F85252" w:rsidRPr="004F4364" w:rsidRDefault="00F85252" w:rsidP="005B524E">
      <w:pPr>
        <w:pStyle w:val="BodyText"/>
        <w:suppressAutoHyphens w:val="0"/>
      </w:pPr>
      <w:r w:rsidRPr="004F4364">
        <w:lastRenderedPageBreak/>
        <w:t>Kitose šalyse, kur VPSP projektai skaičiuojami šimtais, yra paruoštos išsamios metodinės rek</w:t>
      </w:r>
      <w:r w:rsidRPr="004F4364">
        <w:t>o</w:t>
      </w:r>
      <w:r w:rsidRPr="004F4364">
        <w:t xml:space="preserve">mendacijos ir skaičiavimo principai, siekiant nustatyti, kas labiau ekonomiškai apsimoka – institucinė ar sutartinė VPSP. Ši informacija skelbiama viešai. </w:t>
      </w:r>
      <w:r w:rsidR="003137D8">
        <w:t>Abiem atvejais</w:t>
      </w:r>
      <w:r w:rsidRPr="004F4364">
        <w:t>, eksperto įsitik</w:t>
      </w:r>
      <w:r w:rsidR="006A17BF">
        <w:t>inimu, būtina konk</w:t>
      </w:r>
      <w:r w:rsidR="006A17BF">
        <w:t>u</w:t>
      </w:r>
      <w:r w:rsidR="006A17BF">
        <w:t xml:space="preserve">rencija, nes, </w:t>
      </w:r>
      <w:r w:rsidRPr="004F4364">
        <w:t>kai nėra konkurencijos, nebelieka prasmės kalbėti apie ekonominę naudą.</w:t>
      </w:r>
    </w:p>
    <w:p w:rsidR="00110291" w:rsidRPr="004F4364" w:rsidRDefault="00110291" w:rsidP="005B524E">
      <w:pPr>
        <w:suppressAutoHyphens w:val="0"/>
      </w:pPr>
      <w:r w:rsidRPr="004F4364">
        <w:t>Kitas svarbus aspektas, kurį būtina įvertinti tai sutarties atlygintinumas (</w:t>
      </w:r>
      <w:r w:rsidRPr="004F4364">
        <w:rPr>
          <w:i/>
        </w:rPr>
        <w:t xml:space="preserve">angl. </w:t>
      </w:r>
      <w:r w:rsidRPr="004C6CBA">
        <w:rPr>
          <w:i/>
          <w:lang w:val="en-US"/>
        </w:rPr>
        <w:t>consideration</w:t>
      </w:r>
      <w:r w:rsidRPr="004F4364">
        <w:t>)</w:t>
      </w:r>
      <w:r w:rsidR="004B363C" w:rsidRPr="004F4364">
        <w:t>, t.y. bet kokios rūšies sutartis tūri būti sudaroma turint ir aiškiai apibrėžus turtinį interesą.</w:t>
      </w:r>
      <w:r w:rsidR="0083303E" w:rsidRPr="004F4364">
        <w:t xml:space="preserve"> Atlygintinumas turėtų būti suprantamas nebūtinai pinigine verte.</w:t>
      </w:r>
    </w:p>
    <w:p w:rsidR="00840427" w:rsidRPr="004F4364" w:rsidRDefault="009344CC" w:rsidP="005B524E">
      <w:pPr>
        <w:suppressAutoHyphens w:val="0"/>
      </w:pPr>
      <w:r w:rsidRPr="004F4364">
        <w:t xml:space="preserve">Ekspertas įvardino, kad kuo ilgesnis sutarties laikotarpis, tuo </w:t>
      </w:r>
      <w:r w:rsidR="003C1224">
        <w:t xml:space="preserve">didesnė </w:t>
      </w:r>
      <w:r w:rsidRPr="004F4364">
        <w:t>neskaidrumo rizika, nes dažniausiai atkreipiamas dėmesys į pagal sutartį gaunamą naudą, bet pamirštama įvertinti galimą naštą po sutarties pabaigos.</w:t>
      </w:r>
      <w:r w:rsidR="00234351" w:rsidRPr="004F4364">
        <w:t xml:space="preserve"> </w:t>
      </w:r>
      <w:r w:rsidR="00767A9F" w:rsidRPr="004F4364">
        <w:t>Teisini</w:t>
      </w:r>
      <w:r w:rsidR="00D76DA0">
        <w:t>u</w:t>
      </w:r>
      <w:r w:rsidR="00767A9F" w:rsidRPr="004F4364">
        <w:t xml:space="preserve"> aspektu buvo pažymėta, kad sudarant sutartis, būtina nepamiršti aptarti sąlygas po sutarties pabaigos. </w:t>
      </w:r>
    </w:p>
    <w:p w:rsidR="00234351" w:rsidRPr="00110291" w:rsidRDefault="00234351" w:rsidP="005B524E">
      <w:pPr>
        <w:suppressAutoHyphens w:val="0"/>
      </w:pPr>
      <w:r w:rsidRPr="004F4364">
        <w:t>Respondentas pabrėžė, kad viešojo tiekimo sutarčių, viešojo paslaugų pirkimo sutarčių ir viešojo darbų pirkimo sutarčių sudarymo tvarka turi būti lanksti ir visuotinai prieinam</w:t>
      </w:r>
      <w:r w:rsidR="0088220F">
        <w:t>a</w:t>
      </w:r>
      <w:r w:rsidRPr="004F4364">
        <w:t>.</w:t>
      </w:r>
    </w:p>
    <w:p w:rsidR="00895F5C" w:rsidRPr="001D1438" w:rsidRDefault="00895F5C" w:rsidP="005B524E">
      <w:pPr>
        <w:suppressAutoHyphens w:val="0"/>
        <w:ind w:firstLine="0"/>
        <w:jc w:val="center"/>
      </w:pPr>
      <w:r w:rsidRPr="001D1438">
        <w:br w:type="page"/>
      </w:r>
      <w:bookmarkStart w:id="61" w:name="_Toc198967482"/>
      <w:bookmarkStart w:id="62" w:name="_Toc248687473"/>
      <w:bookmarkStart w:id="63" w:name="_Toc251011271"/>
      <w:r w:rsidRPr="001D1438">
        <w:rPr>
          <w:rStyle w:val="HeadingwonumbChar"/>
        </w:rPr>
        <w:lastRenderedPageBreak/>
        <w:t>Išvados</w:t>
      </w:r>
      <w:bookmarkEnd w:id="61"/>
      <w:bookmarkEnd w:id="62"/>
      <w:bookmarkEnd w:id="63"/>
    </w:p>
    <w:p w:rsidR="00AD186A" w:rsidRPr="00AD186A" w:rsidRDefault="00AD186A" w:rsidP="005B524E">
      <w:pPr>
        <w:suppressAutoHyphens w:val="0"/>
      </w:pPr>
      <w:r w:rsidRPr="00AD186A">
        <w:t xml:space="preserve">Apibendrinat </w:t>
      </w:r>
      <w:r>
        <w:t xml:space="preserve">baigiamojo tiriamojo darbo </w:t>
      </w:r>
      <w:r w:rsidRPr="00AD186A">
        <w:t xml:space="preserve">rezultatus galime teigti, jog </w:t>
      </w:r>
      <w:r>
        <w:t>LVU programa yra paka</w:t>
      </w:r>
      <w:r>
        <w:t>n</w:t>
      </w:r>
      <w:r>
        <w:t xml:space="preserve">kamai gera terpė </w:t>
      </w:r>
      <w:r w:rsidR="003614A0">
        <w:t>viešojo ir privataus sektorių</w:t>
      </w:r>
      <w:r>
        <w:t xml:space="preserve"> partnerystei, tačiau turi būti šalinami nacionalinio, švietimo politikos ir LVU programos barjerai.</w:t>
      </w:r>
    </w:p>
    <w:p w:rsidR="00515329" w:rsidRDefault="00895F5C" w:rsidP="005B524E">
      <w:pPr>
        <w:numPr>
          <w:ilvl w:val="0"/>
          <w:numId w:val="2"/>
        </w:numPr>
        <w:suppressAutoHyphens w:val="0"/>
      </w:pPr>
      <w:r w:rsidRPr="007124E0">
        <w:t xml:space="preserve">Literatūros analizės būdu buvo </w:t>
      </w:r>
      <w:r w:rsidR="00AC6F30">
        <w:t>ištirti</w:t>
      </w:r>
      <w:r w:rsidRPr="007124E0">
        <w:t xml:space="preserve"> </w:t>
      </w:r>
      <w:r w:rsidR="00AC6F30" w:rsidRPr="001D1438">
        <w:t>galim</w:t>
      </w:r>
      <w:r w:rsidR="00AC6F30">
        <w:t>i</w:t>
      </w:r>
      <w:r w:rsidR="00AC6F30" w:rsidRPr="001D1438">
        <w:t xml:space="preserve"> v</w:t>
      </w:r>
      <w:r w:rsidR="00AC6F30" w:rsidRPr="002670C8">
        <w:rPr>
          <w:kern w:val="24"/>
        </w:rPr>
        <w:t>iešojo ir privataus sektorių partnerystė</w:t>
      </w:r>
      <w:r w:rsidR="00AC6F30">
        <w:t>s atvejai švietimo srityje bei i</w:t>
      </w:r>
      <w:r w:rsidR="00AC6F30" w:rsidRPr="001D1438">
        <w:t>šskirti v</w:t>
      </w:r>
      <w:r w:rsidR="00AC6F30" w:rsidRPr="002670C8">
        <w:rPr>
          <w:kern w:val="24"/>
        </w:rPr>
        <w:t>iešojo ir privataus sektorių partnerystė</w:t>
      </w:r>
      <w:r w:rsidR="00AC6F30" w:rsidRPr="001D1438">
        <w:t xml:space="preserve">s </w:t>
      </w:r>
      <w:r w:rsidR="00AC6F30">
        <w:t>galimybes</w:t>
      </w:r>
      <w:r w:rsidR="00AC6F30" w:rsidRPr="001D1438">
        <w:t xml:space="preserve"> </w:t>
      </w:r>
      <w:r w:rsidR="00AC6F30">
        <w:t>virtualaus</w:t>
      </w:r>
      <w:r w:rsidR="00AC6F30" w:rsidRPr="001D1438">
        <w:t xml:space="preserve"> universiteto kūrimo srityje</w:t>
      </w:r>
      <w:r w:rsidR="002D4BEC">
        <w:t>. Dažniausiai naudojamos partnerystės tipai:</w:t>
      </w:r>
    </w:p>
    <w:p w:rsidR="002D4BEC" w:rsidRPr="002D4BEC" w:rsidRDefault="002D4BEC" w:rsidP="005B524E">
      <w:pPr>
        <w:pStyle w:val="ListParagraph"/>
        <w:numPr>
          <w:ilvl w:val="0"/>
          <w:numId w:val="49"/>
        </w:numPr>
        <w:suppressAutoHyphens w:val="0"/>
      </w:pPr>
      <w:r w:rsidRPr="002D4BEC">
        <w:t>paslaugų partnerystė</w:t>
      </w:r>
      <w:r w:rsidR="00AF25D0">
        <w:t>;</w:t>
      </w:r>
    </w:p>
    <w:p w:rsidR="002D4BEC" w:rsidRPr="002D4BEC" w:rsidRDefault="002D4BEC" w:rsidP="005B524E">
      <w:pPr>
        <w:pStyle w:val="ListParagraph"/>
        <w:numPr>
          <w:ilvl w:val="0"/>
          <w:numId w:val="49"/>
        </w:numPr>
        <w:suppressAutoHyphens w:val="0"/>
      </w:pPr>
      <w:r w:rsidRPr="002D4BEC">
        <w:t>mokslo partnerystė</w:t>
      </w:r>
      <w:r w:rsidR="00AF25D0">
        <w:t>;</w:t>
      </w:r>
    </w:p>
    <w:p w:rsidR="002D4BEC" w:rsidRDefault="002D4BEC" w:rsidP="005B524E">
      <w:pPr>
        <w:pStyle w:val="ListParagraph"/>
        <w:numPr>
          <w:ilvl w:val="0"/>
          <w:numId w:val="49"/>
        </w:numPr>
        <w:suppressAutoHyphens w:val="0"/>
      </w:pPr>
      <w:r w:rsidRPr="002D4BEC">
        <w:t>institucijų partnerystė</w:t>
      </w:r>
      <w:r w:rsidR="00AF25D0">
        <w:t>;</w:t>
      </w:r>
    </w:p>
    <w:p w:rsidR="00515329" w:rsidRPr="00A86C67" w:rsidRDefault="00515329" w:rsidP="005B524E">
      <w:pPr>
        <w:suppressAutoHyphens w:val="0"/>
        <w:ind w:left="927" w:firstLine="0"/>
      </w:pPr>
      <w:r w:rsidRPr="00A86C67">
        <w:rPr>
          <w:lang w:bidi="en-US"/>
        </w:rPr>
        <w:t xml:space="preserve">Šiuo metu visame pasaulyje naudojamos tokios </w:t>
      </w:r>
      <w:r>
        <w:rPr>
          <w:lang w:bidi="en-US"/>
        </w:rPr>
        <w:t>švietimui ir mokslui, o kartu ir e. mok</w:t>
      </w:r>
      <w:r>
        <w:rPr>
          <w:lang w:bidi="en-US"/>
        </w:rPr>
        <w:t>y</w:t>
      </w:r>
      <w:r>
        <w:rPr>
          <w:lang w:bidi="en-US"/>
        </w:rPr>
        <w:t xml:space="preserve">mui(si) bei virtualaus universiteto idėjai tinkančios </w:t>
      </w:r>
      <w:r w:rsidRPr="00A86C67">
        <w:rPr>
          <w:lang w:bidi="en-US"/>
        </w:rPr>
        <w:t>VPSP sutartys (</w:t>
      </w:r>
      <w:r w:rsidRPr="00A86C67">
        <w:t>LaRocque</w:t>
      </w:r>
      <w:r w:rsidRPr="004C6CBA">
        <w:rPr>
          <w:lang w:val="en-GB"/>
        </w:rPr>
        <w:t xml:space="preserve"> and</w:t>
      </w:r>
      <w:r w:rsidRPr="00A86C67">
        <w:t xml:space="preserve"> Patrinos 2006)</w:t>
      </w:r>
      <w:r w:rsidRPr="00A86C67">
        <w:rPr>
          <w:lang w:bidi="en-US"/>
        </w:rPr>
        <w:t>:</w:t>
      </w:r>
    </w:p>
    <w:p w:rsidR="00515329" w:rsidRPr="008B6E96" w:rsidRDefault="00515329" w:rsidP="005B524E">
      <w:pPr>
        <w:pStyle w:val="ListParagraph"/>
        <w:numPr>
          <w:ilvl w:val="0"/>
          <w:numId w:val="50"/>
        </w:numPr>
        <w:suppressAutoHyphens w:val="0"/>
      </w:pPr>
      <w:r w:rsidRPr="008B6E96">
        <w:t>valdymo paslaugų sutartis;</w:t>
      </w:r>
    </w:p>
    <w:p w:rsidR="00515329" w:rsidRPr="008B6E96" w:rsidRDefault="00515329" w:rsidP="005B524E">
      <w:pPr>
        <w:pStyle w:val="ListParagraph"/>
        <w:numPr>
          <w:ilvl w:val="0"/>
          <w:numId w:val="50"/>
        </w:numPr>
        <w:suppressAutoHyphens w:val="0"/>
      </w:pPr>
      <w:r w:rsidRPr="008B6E96">
        <w:t>profesinių paslaugų sutartis;</w:t>
      </w:r>
    </w:p>
    <w:p w:rsidR="00515329" w:rsidRPr="008B6E96" w:rsidRDefault="00515329" w:rsidP="005B524E">
      <w:pPr>
        <w:pStyle w:val="ListParagraph"/>
        <w:numPr>
          <w:ilvl w:val="0"/>
          <w:numId w:val="50"/>
        </w:numPr>
        <w:suppressAutoHyphens w:val="0"/>
      </w:pPr>
      <w:r w:rsidRPr="008B6E96">
        <w:t>aptarnavimo paslaugų sutartis;</w:t>
      </w:r>
    </w:p>
    <w:p w:rsidR="00515329" w:rsidRPr="008B6E96" w:rsidRDefault="00515329" w:rsidP="005B524E">
      <w:pPr>
        <w:pStyle w:val="ListParagraph"/>
        <w:numPr>
          <w:ilvl w:val="0"/>
          <w:numId w:val="50"/>
        </w:numPr>
        <w:suppressAutoHyphens w:val="0"/>
      </w:pPr>
      <w:r w:rsidRPr="008B6E96">
        <w:t>veiklos paslaugų sutartis;</w:t>
      </w:r>
    </w:p>
    <w:p w:rsidR="00515329" w:rsidRPr="008B6E96" w:rsidRDefault="00515329" w:rsidP="005B524E">
      <w:pPr>
        <w:pStyle w:val="ListParagraph"/>
        <w:numPr>
          <w:ilvl w:val="0"/>
          <w:numId w:val="50"/>
        </w:numPr>
        <w:suppressAutoHyphens w:val="0"/>
      </w:pPr>
      <w:r w:rsidRPr="008B6E96">
        <w:t>švietimo paslaugų sutartis;</w:t>
      </w:r>
    </w:p>
    <w:p w:rsidR="00515329" w:rsidRPr="008B6E96" w:rsidRDefault="00515329" w:rsidP="005B524E">
      <w:pPr>
        <w:pStyle w:val="ListParagraph"/>
        <w:numPr>
          <w:ilvl w:val="0"/>
          <w:numId w:val="50"/>
        </w:numPr>
        <w:suppressAutoHyphens w:val="0"/>
      </w:pPr>
      <w:r w:rsidRPr="008B6E96">
        <w:t>įrangos suteikimo paslaugų sutartis;</w:t>
      </w:r>
    </w:p>
    <w:p w:rsidR="00AC6F30" w:rsidRPr="008B6E96" w:rsidRDefault="00515329" w:rsidP="005B524E">
      <w:pPr>
        <w:pStyle w:val="ListParagraph"/>
        <w:numPr>
          <w:ilvl w:val="0"/>
          <w:numId w:val="50"/>
        </w:numPr>
        <w:suppressAutoHyphens w:val="0"/>
      </w:pPr>
      <w:r w:rsidRPr="008B6E96">
        <w:t>kombinuota įrangos suteikimo ir švietimo paslaugų sutartis.</w:t>
      </w:r>
    </w:p>
    <w:p w:rsidR="000F0294" w:rsidRDefault="00BA792B" w:rsidP="005B524E">
      <w:pPr>
        <w:numPr>
          <w:ilvl w:val="0"/>
          <w:numId w:val="2"/>
        </w:numPr>
        <w:suppressAutoHyphens w:val="0"/>
      </w:pPr>
      <w:r>
        <w:t>Atlikus užsienio ir Lietuvos autorių mokslinės literatūros analizę</w:t>
      </w:r>
      <w:r w:rsidR="000F0294" w:rsidRPr="007124E0">
        <w:t xml:space="preserve">, </w:t>
      </w:r>
      <w:r w:rsidR="003137D8">
        <w:t>galima teigti</w:t>
      </w:r>
      <w:r w:rsidR="004E0D4F">
        <w:t xml:space="preserve">, kad </w:t>
      </w:r>
      <w:r w:rsidR="004E0D4F" w:rsidRPr="00C86852">
        <w:t xml:space="preserve">nėra vieningo, bendrai priimto </w:t>
      </w:r>
      <w:r w:rsidR="005C6804">
        <w:t>virtualaus</w:t>
      </w:r>
      <w:r w:rsidR="004E0D4F" w:rsidRPr="00C86852">
        <w:t xml:space="preserve"> universiteto apibr</w:t>
      </w:r>
      <w:r w:rsidR="004E0D4F">
        <w:t>ėžimo, skirtingi autoriai skirtingai traktu</w:t>
      </w:r>
      <w:r w:rsidR="004E0D4F">
        <w:t>o</w:t>
      </w:r>
      <w:r w:rsidR="004E0D4F">
        <w:t xml:space="preserve">ja </w:t>
      </w:r>
      <w:r w:rsidR="000F0294" w:rsidRPr="007124E0">
        <w:t>apibrėžta vir</w:t>
      </w:r>
      <w:r w:rsidR="004E0D4F">
        <w:t>tualaus universiteto sąvoka</w:t>
      </w:r>
      <w:r w:rsidR="0006320E">
        <w:t xml:space="preserve">. </w:t>
      </w:r>
      <w:r w:rsidR="0006320E" w:rsidRPr="001D1438">
        <w:rPr>
          <w:lang w:eastAsia="ar-SA"/>
        </w:rPr>
        <w:t xml:space="preserve">Apibendrinant apibrėžimus, </w:t>
      </w:r>
      <w:r w:rsidR="0006320E">
        <w:rPr>
          <w:lang w:eastAsia="ar-SA"/>
        </w:rPr>
        <w:t>virtualus</w:t>
      </w:r>
      <w:r w:rsidR="0006320E" w:rsidRPr="001D1438">
        <w:rPr>
          <w:lang w:eastAsia="ar-SA"/>
        </w:rPr>
        <w:t xml:space="preserve"> universit</w:t>
      </w:r>
      <w:r w:rsidR="0006320E" w:rsidRPr="001D1438">
        <w:rPr>
          <w:lang w:eastAsia="ar-SA"/>
        </w:rPr>
        <w:t>e</w:t>
      </w:r>
      <w:r w:rsidR="0006320E" w:rsidRPr="001D1438">
        <w:rPr>
          <w:lang w:eastAsia="ar-SA"/>
        </w:rPr>
        <w:t xml:space="preserve">tas – tai daugialypė struktūra, </w:t>
      </w:r>
      <w:r w:rsidR="0006320E" w:rsidRPr="001D1438">
        <w:t>teikianti galimybes studijuoti alternatyviais būdais</w:t>
      </w:r>
      <w:r w:rsidR="0006320E" w:rsidRPr="001D1438">
        <w:rPr>
          <w:lang w:eastAsia="ar-SA"/>
        </w:rPr>
        <w:t xml:space="preserve"> bei reik</w:t>
      </w:r>
      <w:r w:rsidR="0006320E" w:rsidRPr="001D1438">
        <w:rPr>
          <w:lang w:eastAsia="ar-SA"/>
        </w:rPr>
        <w:t>a</w:t>
      </w:r>
      <w:r w:rsidR="0006320E" w:rsidRPr="001D1438">
        <w:rPr>
          <w:lang w:eastAsia="ar-SA"/>
        </w:rPr>
        <w:t>laujanti naujo požiūrio tiek į mokymo(si) paslaugų teikimą, tiek į valdymo bei organizacinius aspektus.</w:t>
      </w:r>
      <w:r w:rsidR="0006320E">
        <w:rPr>
          <w:lang w:eastAsia="ar-SA"/>
        </w:rPr>
        <w:t xml:space="preserve"> </w:t>
      </w:r>
      <w:r w:rsidR="0006320E" w:rsidRPr="007124E0">
        <w:t>Taip pat buvo detalizuoti</w:t>
      </w:r>
      <w:r w:rsidR="000F0294" w:rsidRPr="007124E0">
        <w:t xml:space="preserve"> virtualaus universiteto galimi modeliai:</w:t>
      </w:r>
    </w:p>
    <w:p w:rsidR="000F0294" w:rsidRPr="00A8487F" w:rsidRDefault="008B6E96" w:rsidP="005B524E">
      <w:pPr>
        <w:pStyle w:val="ListParagraph"/>
        <w:numPr>
          <w:ilvl w:val="0"/>
          <w:numId w:val="51"/>
        </w:numPr>
        <w:suppressAutoHyphens w:val="0"/>
      </w:pPr>
      <w:r w:rsidRPr="00A8487F">
        <w:t>e</w:t>
      </w:r>
      <w:r w:rsidR="000F0294" w:rsidRPr="00A8487F">
        <w:t>gzistuoj</w:t>
      </w:r>
      <w:r w:rsidR="003137D8">
        <w:t>ančių institucijų evoliucijos (e</w:t>
      </w:r>
      <w:r w:rsidR="000F0294" w:rsidRPr="00A8487F">
        <w:t>sančių institucijų evoliucija) modelis;</w:t>
      </w:r>
    </w:p>
    <w:p w:rsidR="000F0294" w:rsidRPr="00A8487F" w:rsidRDefault="008B6E96" w:rsidP="005B524E">
      <w:pPr>
        <w:pStyle w:val="ListParagraph"/>
        <w:numPr>
          <w:ilvl w:val="0"/>
          <w:numId w:val="51"/>
        </w:numPr>
        <w:suppressAutoHyphens w:val="0"/>
      </w:pPr>
      <w:r w:rsidRPr="00A8487F">
        <w:t>n</w:t>
      </w:r>
      <w:r w:rsidR="000F0294" w:rsidRPr="00A8487F">
        <w:t>aujos institucijos;</w:t>
      </w:r>
    </w:p>
    <w:p w:rsidR="000F0294" w:rsidRPr="00A8487F" w:rsidRDefault="008B6E96" w:rsidP="005B524E">
      <w:pPr>
        <w:pStyle w:val="ListParagraph"/>
        <w:numPr>
          <w:ilvl w:val="0"/>
          <w:numId w:val="51"/>
        </w:numPr>
        <w:suppressAutoHyphens w:val="0"/>
      </w:pPr>
      <w:r w:rsidRPr="00A8487F">
        <w:t>b</w:t>
      </w:r>
      <w:r w:rsidR="000F0294" w:rsidRPr="00A8487F">
        <w:t>endradarbiavimas su kitais švietimo paslaugų ar su švietimu susijusiu paslaugų te</w:t>
      </w:r>
      <w:r w:rsidR="000F0294" w:rsidRPr="00A8487F">
        <w:t>i</w:t>
      </w:r>
      <w:r w:rsidR="000F0294" w:rsidRPr="00A8487F">
        <w:t>kėjais;</w:t>
      </w:r>
    </w:p>
    <w:p w:rsidR="000F0294" w:rsidRPr="00A8487F" w:rsidRDefault="00462BDF" w:rsidP="005B524E">
      <w:pPr>
        <w:pStyle w:val="ListParagraph"/>
        <w:numPr>
          <w:ilvl w:val="0"/>
          <w:numId w:val="51"/>
        </w:numPr>
        <w:suppressAutoHyphens w:val="0"/>
      </w:pPr>
      <w:r w:rsidRPr="00A8487F">
        <w:t>m</w:t>
      </w:r>
      <w:r w:rsidR="000F0294" w:rsidRPr="00A8487F">
        <w:t>okymo(si) pa</w:t>
      </w:r>
      <w:r w:rsidR="008453E2">
        <w:t>slaugas teikianti verslo įmonė.</w:t>
      </w:r>
    </w:p>
    <w:p w:rsidR="00895F5C" w:rsidRDefault="00895F5C" w:rsidP="005B524E">
      <w:pPr>
        <w:numPr>
          <w:ilvl w:val="0"/>
          <w:numId w:val="2"/>
        </w:numPr>
        <w:suppressAutoHyphens w:val="0"/>
      </w:pPr>
      <w:r w:rsidRPr="007124E0">
        <w:t>Vadovaujantys tyrimo metu gautais rezultatais buvo pateiktas apibendrintas v</w:t>
      </w:r>
      <w:r w:rsidRPr="002670C8">
        <w:rPr>
          <w:kern w:val="24"/>
        </w:rPr>
        <w:t>iešojo ir priv</w:t>
      </w:r>
      <w:r w:rsidRPr="002670C8">
        <w:rPr>
          <w:kern w:val="24"/>
        </w:rPr>
        <w:t>a</w:t>
      </w:r>
      <w:r w:rsidRPr="002670C8">
        <w:rPr>
          <w:kern w:val="24"/>
        </w:rPr>
        <w:t>taus sektorių partnerystė</w:t>
      </w:r>
      <w:r w:rsidRPr="007124E0">
        <w:t>s panaudojimo ga</w:t>
      </w:r>
      <w:r w:rsidR="00383FF2">
        <w:t>limybių ir poreikių vertinimas:</w:t>
      </w:r>
    </w:p>
    <w:p w:rsidR="00F736F2" w:rsidRDefault="003C3DFC" w:rsidP="005B524E">
      <w:pPr>
        <w:numPr>
          <w:ilvl w:val="1"/>
          <w:numId w:val="2"/>
        </w:numPr>
        <w:suppressAutoHyphens w:val="0"/>
      </w:pPr>
      <w:r>
        <w:lastRenderedPageBreak/>
        <w:t>N</w:t>
      </w:r>
      <w:r w:rsidR="00F736F2">
        <w:t xml:space="preserve">epaisant barjerų, </w:t>
      </w:r>
      <w:r w:rsidR="00F736F2" w:rsidRPr="004F4364">
        <w:t>Lietuvos virtualus universitetas bei pati virtualaus universiteto id</w:t>
      </w:r>
      <w:r w:rsidR="00F736F2" w:rsidRPr="004F4364">
        <w:t>ė</w:t>
      </w:r>
      <w:r w:rsidR="00F736F2" w:rsidRPr="004F4364">
        <w:t xml:space="preserve">ja yra vertinama visgi labiau teigiamai nei neigiamai, tačiau </w:t>
      </w:r>
      <w:r w:rsidR="00B57445">
        <w:t xml:space="preserve">pažymima, kad </w:t>
      </w:r>
      <w:r w:rsidR="00A32377">
        <w:t xml:space="preserve">būtina spręsti problemas be </w:t>
      </w:r>
      <w:r w:rsidR="007935B4">
        <w:t>pa</w:t>
      </w:r>
      <w:r w:rsidR="00F736F2">
        <w:t>šalinti</w:t>
      </w:r>
      <w:r w:rsidR="00F736F2" w:rsidRPr="004F4364">
        <w:t xml:space="preserve"> daug barjerų</w:t>
      </w:r>
      <w:r w:rsidR="007935B4">
        <w:t>.</w:t>
      </w:r>
    </w:p>
    <w:p w:rsidR="0093700C" w:rsidRDefault="0093700C" w:rsidP="005B524E">
      <w:pPr>
        <w:numPr>
          <w:ilvl w:val="1"/>
          <w:numId w:val="2"/>
        </w:numPr>
        <w:suppressAutoHyphens w:val="0"/>
      </w:pPr>
      <w:r>
        <w:t>V</w:t>
      </w:r>
      <w:r w:rsidRPr="004F4364">
        <w:t>iešojo ir privataus sektorių partnerystė gali sukurti didelę naudą valstybei, tačiau nors poreikis vykdyti VPSP projektus Lietuvoje yra itin aktualus, dalis svarbių projektų nevykdomi, o vykdomų skaičius ir mastas netenkina esamų poreikių. VPSP pr</w:t>
      </w:r>
      <w:r w:rsidRPr="004F4364">
        <w:t>o</w:t>
      </w:r>
      <w:r w:rsidRPr="004F4364">
        <w:t>jektų inicijavimą bei įgyvendinimą apsunkina nepakankamas dėmesys VPSP politikai ir strategijai Lietuvoje, nepakankamas teisinis reglamentavimas (pvz. nereglamentu</w:t>
      </w:r>
      <w:r w:rsidRPr="004F4364">
        <w:t>o</w:t>
      </w:r>
      <w:r w:rsidRPr="004F4364">
        <w:t>tas viešojo ir privataus sektorių partnerystės apibrėžimas ar neapibrėžtos galimos partnerystės formos) ir t. t.</w:t>
      </w:r>
    </w:p>
    <w:p w:rsidR="00B765B4" w:rsidRDefault="00B765B4" w:rsidP="005B524E">
      <w:pPr>
        <w:numPr>
          <w:ilvl w:val="1"/>
          <w:numId w:val="2"/>
        </w:numPr>
        <w:suppressAutoHyphens w:val="0"/>
      </w:pPr>
      <w:r w:rsidRPr="004F4364">
        <w:t>Lietuvoje viešojo ir privataus sektorių partnerystės veiksmingumas yra mažai tyrin</w:t>
      </w:r>
      <w:r w:rsidRPr="004F4364">
        <w:t>ė</w:t>
      </w:r>
      <w:r w:rsidRPr="004F4364">
        <w:t>tas: nebuvo kompleksiškai įvertinta privataus sektoriaus teikiama viešųjų paslaugų kokybė.</w:t>
      </w:r>
    </w:p>
    <w:p w:rsidR="00B765B4" w:rsidRDefault="00B765B4" w:rsidP="005B524E">
      <w:pPr>
        <w:numPr>
          <w:ilvl w:val="1"/>
          <w:numId w:val="2"/>
        </w:numPr>
        <w:suppressAutoHyphens w:val="0"/>
      </w:pPr>
      <w:r>
        <w:t>VPSP naudojimą LVU programoje apsunkina šios priežastis</w:t>
      </w:r>
      <w:r w:rsidRPr="004F4364">
        <w:t>:</w:t>
      </w:r>
      <w:r>
        <w:t xml:space="preserve"> </w:t>
      </w:r>
      <w:r w:rsidRPr="004F4364">
        <w:t>švietimo teikimas yra Lietuvoje gan griežtai reglamentuotas;</w:t>
      </w:r>
      <w:r>
        <w:t xml:space="preserve"> </w:t>
      </w:r>
      <w:r w:rsidRPr="004F4364">
        <w:t>technologijų aspektu verslas mažai ką gali pasiūlyti pakankamai geras technologijas turintiems universitetams;</w:t>
      </w:r>
      <w:r>
        <w:t xml:space="preserve"> žmogiškaisiais i</w:t>
      </w:r>
      <w:r>
        <w:t>š</w:t>
      </w:r>
      <w:r>
        <w:t>tekliais</w:t>
      </w:r>
      <w:r w:rsidRPr="004F4364">
        <w:t xml:space="preserve"> taip pat universitetai gerai aprūpinti;</w:t>
      </w:r>
      <w:r>
        <w:t xml:space="preserve"> </w:t>
      </w:r>
      <w:r w:rsidRPr="004F4364">
        <w:t>pakankamai griežtos struktūrinių lėšų pana</w:t>
      </w:r>
      <w:r>
        <w:t>udojimo ir apskaitos taisyklės.</w:t>
      </w:r>
    </w:p>
    <w:p w:rsidR="005D5EB5" w:rsidRDefault="00833371" w:rsidP="005B524E">
      <w:pPr>
        <w:numPr>
          <w:ilvl w:val="1"/>
          <w:numId w:val="2"/>
        </w:numPr>
        <w:suppressAutoHyphens w:val="0"/>
      </w:pPr>
      <w:r w:rsidRPr="004F4364">
        <w:t>VPSP santykinai naudingesnis būtent dideliems, besikartoja</w:t>
      </w:r>
      <w:r>
        <w:t>ntiems, ilgalaikiams pr</w:t>
      </w:r>
      <w:r>
        <w:t>o</w:t>
      </w:r>
      <w:r>
        <w:t>jektams, reikalaujantiems didelių finansinių injekcijų, o LVU programa būtent toks projektas. Be to, buvo išskirtos ir kitos potencialios naudos tiek iš universitetų pusės, tiek ir iš verslo segmento pusės.</w:t>
      </w:r>
    </w:p>
    <w:p w:rsidR="003B60F7" w:rsidRPr="007124E0" w:rsidRDefault="003B60F7" w:rsidP="005B524E">
      <w:pPr>
        <w:numPr>
          <w:ilvl w:val="1"/>
          <w:numId w:val="2"/>
        </w:numPr>
        <w:suppressAutoHyphens w:val="0"/>
      </w:pPr>
      <w:r>
        <w:t>Apie viešojo ir privataus sektorių partnerystės</w:t>
      </w:r>
      <w:r w:rsidRPr="004F4364">
        <w:t xml:space="preserve"> sutarčių naudojimą</w:t>
      </w:r>
      <w:r>
        <w:t xml:space="preserve"> </w:t>
      </w:r>
      <w:r w:rsidR="005D5EB5">
        <w:t xml:space="preserve">LVU programoje </w:t>
      </w:r>
      <w:r>
        <w:t>v</w:t>
      </w:r>
      <w:r w:rsidRPr="004F4364">
        <w:t xml:space="preserve">ienareikšmiškai atsakyti negalima. Kiekvienu atveju </w:t>
      </w:r>
      <w:r w:rsidR="005E4C9E">
        <w:t>yra būtinas</w:t>
      </w:r>
      <w:r w:rsidRPr="004F4364">
        <w:t xml:space="preserve"> įvertinimas</w:t>
      </w:r>
      <w:r w:rsidR="005E4C9E">
        <w:t>.</w:t>
      </w:r>
    </w:p>
    <w:p w:rsidR="00DE2CE0" w:rsidRDefault="00895F5C" w:rsidP="005B524E">
      <w:pPr>
        <w:numPr>
          <w:ilvl w:val="0"/>
          <w:numId w:val="2"/>
        </w:numPr>
        <w:suppressAutoHyphens w:val="0"/>
      </w:pPr>
      <w:r w:rsidRPr="007124E0">
        <w:t>Atsižvelgiant v</w:t>
      </w:r>
      <w:r w:rsidRPr="002670C8">
        <w:rPr>
          <w:kern w:val="24"/>
        </w:rPr>
        <w:t>iešojo ir privataus sektorių partnerystė</w:t>
      </w:r>
      <w:r w:rsidRPr="007124E0">
        <w:t>s panaudojimo galimy</w:t>
      </w:r>
      <w:r w:rsidR="000F7E26">
        <w:t xml:space="preserve">bių ir poreikių vertinimą, </w:t>
      </w:r>
      <w:r w:rsidR="000D24DB" w:rsidRPr="007124E0">
        <w:t>kuriamam LVU buvo pateiktos rekomendacijos</w:t>
      </w:r>
      <w:r w:rsidR="000D24DB">
        <w:t xml:space="preserve"> nacionaliniu, švietimo ir mokslo sistemos bei programos lygmenimis </w:t>
      </w:r>
      <w:r w:rsidR="00464CF1">
        <w:t xml:space="preserve">(žr. </w:t>
      </w:r>
      <w:r w:rsidR="00464CF1" w:rsidRPr="00464CF1">
        <w:rPr>
          <w:b/>
        </w:rPr>
        <w:t>Rekomendacijos</w:t>
      </w:r>
      <w:r w:rsidR="00464CF1">
        <w:t>)</w:t>
      </w:r>
      <w:r w:rsidRPr="007124E0">
        <w:t>.</w:t>
      </w:r>
    </w:p>
    <w:p w:rsidR="00DE2CE0" w:rsidRDefault="00DE2CE0" w:rsidP="005B524E">
      <w:pPr>
        <w:widowControl/>
        <w:suppressAutoHyphens w:val="0"/>
        <w:spacing w:line="240" w:lineRule="auto"/>
        <w:ind w:firstLine="0"/>
        <w:jc w:val="left"/>
      </w:pPr>
      <w:r>
        <w:br w:type="page"/>
      </w:r>
    </w:p>
    <w:p w:rsidR="00AC6C7B" w:rsidRDefault="00AC6C7B" w:rsidP="005B524E">
      <w:pPr>
        <w:suppressAutoHyphens w:val="0"/>
        <w:ind w:firstLine="0"/>
        <w:jc w:val="center"/>
      </w:pPr>
      <w:bookmarkStart w:id="64" w:name="_Toc248687474"/>
      <w:bookmarkStart w:id="65" w:name="_Toc251011272"/>
      <w:r>
        <w:rPr>
          <w:rStyle w:val="HeadingwonumbChar"/>
        </w:rPr>
        <w:lastRenderedPageBreak/>
        <w:t>Rekomendacijos</w:t>
      </w:r>
      <w:bookmarkEnd w:id="64"/>
      <w:bookmarkEnd w:id="65"/>
    </w:p>
    <w:p w:rsidR="00AC6C7B" w:rsidRDefault="00AC6C7B" w:rsidP="005B524E">
      <w:pPr>
        <w:suppressAutoHyphens w:val="0"/>
      </w:pPr>
      <w:r w:rsidRPr="005D75D4">
        <w:t>Tyrimo duomenys ir visa tyrimo metu surinkta informacija po analizės leido parengti rek</w:t>
      </w:r>
      <w:r>
        <w:t>ome</w:t>
      </w:r>
      <w:r>
        <w:t>n</w:t>
      </w:r>
      <w:r>
        <w:t>dacijas valstybiniu, švietimo politiką formuojančiai institucijai bei LVU programos</w:t>
      </w:r>
      <w:r w:rsidRPr="005D75D4">
        <w:t xml:space="preserve"> lygmenyje. </w:t>
      </w:r>
    </w:p>
    <w:p w:rsidR="00AC6C7B" w:rsidRDefault="00AC6C7B" w:rsidP="005B524E">
      <w:pPr>
        <w:suppressAutoHyphens w:val="0"/>
      </w:pPr>
      <w:r w:rsidRPr="005D75D4">
        <w:t>Konkrečiai šių rekomendacijų tikslas – padėti</w:t>
      </w:r>
      <w:r w:rsidR="00543A0D">
        <w:t>, kad</w:t>
      </w:r>
      <w:r w:rsidRPr="005D75D4">
        <w:t xml:space="preserve"> </w:t>
      </w:r>
      <w:r>
        <w:t>LVU bei kitos programos ar projektai taptų palankios verslo segmentui</w:t>
      </w:r>
      <w:r w:rsidRPr="005D75D4">
        <w:t xml:space="preserve">. </w:t>
      </w:r>
    </w:p>
    <w:p w:rsidR="00ED264A" w:rsidRDefault="00ED264A" w:rsidP="005B524E">
      <w:pPr>
        <w:suppressAutoHyphens w:val="0"/>
      </w:pPr>
      <w:r>
        <w:t>Pirmoji rekomendacijų grupė – rekomendacijos nacionaliniu lygmeniu – leidžia valstybės teisėkūros institucijoms formuoti bei reglamentuoti VPSP taikymą bei virtualaus universiteto plėtrą valst</w:t>
      </w:r>
      <w:r>
        <w:t>y</w:t>
      </w:r>
      <w:r>
        <w:t>bini</w:t>
      </w:r>
      <w:r w:rsidR="00984E7C">
        <w:t>ame lygmenyje.</w:t>
      </w:r>
    </w:p>
    <w:p w:rsidR="00AC6C7B" w:rsidRDefault="00AC6C7B" w:rsidP="005B524E">
      <w:pPr>
        <w:suppressAutoHyphens w:val="0"/>
      </w:pPr>
      <w:r>
        <w:rPr>
          <w:b/>
        </w:rPr>
        <w:t>Lietuvos Respublikos valstybiniame</w:t>
      </w:r>
      <w:r w:rsidRPr="008D2A03">
        <w:rPr>
          <w:b/>
        </w:rPr>
        <w:t xml:space="preserve"> lygmenyje</w:t>
      </w:r>
      <w:r w:rsidRPr="005D75D4">
        <w:t xml:space="preserve"> rekomenduojama:</w:t>
      </w:r>
    </w:p>
    <w:p w:rsidR="00AC6C7B" w:rsidRDefault="00AC6C7B" w:rsidP="005B524E">
      <w:pPr>
        <w:pStyle w:val="ListParagraph"/>
        <w:numPr>
          <w:ilvl w:val="0"/>
          <w:numId w:val="47"/>
        </w:numPr>
        <w:suppressAutoHyphens w:val="0"/>
      </w:pPr>
      <w:r w:rsidRPr="00526691">
        <w:t xml:space="preserve">parengti </w:t>
      </w:r>
      <w:r>
        <w:t>bei patvirtinti viešojo ir privataus sektorių partnerystės skatinimo strategiją, kurioje būtų aiškiai paskirstytos valstybės institucijų, dalyvaujančių VPSP procese, funkc</w:t>
      </w:r>
      <w:r>
        <w:t>i</w:t>
      </w:r>
      <w:r>
        <w:t>jos ir atsakomybės;</w:t>
      </w:r>
    </w:p>
    <w:p w:rsidR="00AC6C7B" w:rsidRDefault="00AC6C7B" w:rsidP="005B524E">
      <w:pPr>
        <w:pStyle w:val="ListParagraph"/>
        <w:numPr>
          <w:ilvl w:val="0"/>
          <w:numId w:val="47"/>
        </w:numPr>
        <w:suppressAutoHyphens w:val="0"/>
      </w:pPr>
      <w:r>
        <w:t>reglamentuoti VPSP apibrėžimą ir formų taikymą;</w:t>
      </w:r>
    </w:p>
    <w:p w:rsidR="00AC6C7B" w:rsidRDefault="00AC6C7B" w:rsidP="005B524E">
      <w:pPr>
        <w:pStyle w:val="ListParagraph"/>
        <w:numPr>
          <w:ilvl w:val="0"/>
          <w:numId w:val="47"/>
        </w:numPr>
        <w:suppressAutoHyphens w:val="0"/>
      </w:pPr>
      <w:r>
        <w:t xml:space="preserve">sukurti </w:t>
      </w:r>
      <w:r w:rsidR="009477E1">
        <w:t xml:space="preserve">ar paskirti </w:t>
      </w:r>
      <w:r>
        <w:t>instituciją, kurį būtų atsakinga už VPSP principo naudojimo plėtrą. Be to, kuri rinktų, analizuotų ir skleistų informaciją apie VPSP projektų vykdymą Lietuvoje ir kitose šalyse, teiktų metodinę pagalbą VPSP projektų vykdymo klausimais viešojo bei valdžios sektoriaus institucijoms bei verslo segmentui;</w:t>
      </w:r>
    </w:p>
    <w:p w:rsidR="003137D8" w:rsidRDefault="003137D8" w:rsidP="005B524E">
      <w:pPr>
        <w:pStyle w:val="ListParagraph"/>
        <w:numPr>
          <w:ilvl w:val="0"/>
          <w:numId w:val="47"/>
        </w:numPr>
        <w:suppressAutoHyphens w:val="0"/>
      </w:pPr>
      <w:r>
        <w:t>užtikrinti visuomenės informavimą apie VPSP galimybes ir naudą;</w:t>
      </w:r>
    </w:p>
    <w:p w:rsidR="00AC6C7B" w:rsidRDefault="00AC6C7B" w:rsidP="005B524E">
      <w:pPr>
        <w:pStyle w:val="ListParagraph"/>
        <w:numPr>
          <w:ilvl w:val="0"/>
          <w:numId w:val="47"/>
        </w:numPr>
        <w:suppressAutoHyphens w:val="0"/>
      </w:pPr>
      <w:r>
        <w:t>parengti tipinių viešojo ir privataus sektorių bendradarbiavimo procedūrų ir procesų apr</w:t>
      </w:r>
      <w:r>
        <w:t>a</w:t>
      </w:r>
      <w:r>
        <w:t>šą;</w:t>
      </w:r>
    </w:p>
    <w:p w:rsidR="00AC6C7B" w:rsidRDefault="00AC6C7B" w:rsidP="005B524E">
      <w:pPr>
        <w:pStyle w:val="ListParagraph"/>
        <w:numPr>
          <w:ilvl w:val="0"/>
          <w:numId w:val="47"/>
        </w:numPr>
        <w:suppressAutoHyphens w:val="0"/>
      </w:pPr>
      <w:r>
        <w:t>parengti tipines sutarčių formas ir skatinti naudojamasi jomis;</w:t>
      </w:r>
    </w:p>
    <w:p w:rsidR="00AC6C7B" w:rsidRDefault="00AC6C7B" w:rsidP="005B524E">
      <w:pPr>
        <w:pStyle w:val="ListParagraph"/>
        <w:numPr>
          <w:ilvl w:val="0"/>
          <w:numId w:val="47"/>
        </w:numPr>
        <w:suppressAutoHyphens w:val="0"/>
      </w:pPr>
      <w:r>
        <w:t>parengti veiksmų planą kiekvien</w:t>
      </w:r>
      <w:r w:rsidR="00347836">
        <w:t>am</w:t>
      </w:r>
      <w:r>
        <w:t xml:space="preserve"> atveju</w:t>
      </w:r>
      <w:r w:rsidR="00347836">
        <w:t>i</w:t>
      </w:r>
      <w:r>
        <w:t>, kai teisės aktuose reglamentuojama nauja viešojo ir privataus sektorių partnerystės forma bei paskirti subjektą, kuris būtų atsaki</w:t>
      </w:r>
      <w:r>
        <w:t>n</w:t>
      </w:r>
      <w:r>
        <w:t>gas už pagalbos teikimą bei sutarčių sudarymo kontrolę;</w:t>
      </w:r>
    </w:p>
    <w:p w:rsidR="00AC6C7B" w:rsidRDefault="00AC6C7B" w:rsidP="005B524E">
      <w:pPr>
        <w:pStyle w:val="ListParagraph"/>
        <w:numPr>
          <w:ilvl w:val="0"/>
          <w:numId w:val="47"/>
        </w:numPr>
        <w:suppressAutoHyphens w:val="0"/>
      </w:pPr>
      <w:r w:rsidRPr="00A1541F">
        <w:t>finansuoti metodinių rekomendacijų leidybą;</w:t>
      </w:r>
    </w:p>
    <w:p w:rsidR="003740F4" w:rsidRDefault="003740F4" w:rsidP="005B524E">
      <w:pPr>
        <w:pStyle w:val="BodyText"/>
        <w:numPr>
          <w:ilvl w:val="0"/>
          <w:numId w:val="47"/>
        </w:numPr>
        <w:suppressAutoHyphens w:val="0"/>
      </w:pPr>
      <w:r>
        <w:t>kompleksiškai įvertinti privataus sektoriaus teikiamą viešųjų paslaugų kokybę;</w:t>
      </w:r>
    </w:p>
    <w:p w:rsidR="00C62AFF" w:rsidRDefault="00C62AFF" w:rsidP="005B524E">
      <w:pPr>
        <w:pStyle w:val="BodyText"/>
        <w:numPr>
          <w:ilvl w:val="0"/>
          <w:numId w:val="47"/>
        </w:numPr>
        <w:suppressAutoHyphens w:val="0"/>
      </w:pPr>
      <w:r>
        <w:t xml:space="preserve">sudaryti </w:t>
      </w:r>
      <w:r w:rsidRPr="00234351">
        <w:t>viešojo tiekimo sutarčių, viešojo paslaugų pirkimo sutarčių ir viešojo darbų pirkimo sutarčių sudary</w:t>
      </w:r>
      <w:r>
        <w:t>mo tvark</w:t>
      </w:r>
      <w:r w:rsidR="00DD228C">
        <w:t>os pakeitimus, kad šios sutartys taptų labiau</w:t>
      </w:r>
      <w:r>
        <w:t xml:space="preserve"> </w:t>
      </w:r>
      <w:r w:rsidRPr="00234351">
        <w:t>lanks</w:t>
      </w:r>
      <w:r w:rsidR="00DD228C">
        <w:t>čios</w:t>
      </w:r>
      <w:r>
        <w:t xml:space="preserve"> </w:t>
      </w:r>
      <w:r w:rsidRPr="00234351">
        <w:t>ir v</w:t>
      </w:r>
      <w:r w:rsidRPr="00234351">
        <w:t>i</w:t>
      </w:r>
      <w:r w:rsidRPr="00234351">
        <w:t>suotinai prieinam</w:t>
      </w:r>
      <w:r w:rsidR="00DD228C">
        <w:t>os</w:t>
      </w:r>
      <w:r w:rsidR="00005124">
        <w:t>;</w:t>
      </w:r>
    </w:p>
    <w:p w:rsidR="00005124" w:rsidRDefault="00005124" w:rsidP="005B524E">
      <w:pPr>
        <w:pStyle w:val="BodyText"/>
        <w:numPr>
          <w:ilvl w:val="0"/>
          <w:numId w:val="47"/>
        </w:numPr>
        <w:suppressAutoHyphens w:val="0"/>
      </w:pPr>
      <w:r w:rsidRPr="00005124">
        <w:t>siūl</w:t>
      </w:r>
      <w:r w:rsidR="00784834">
        <w:t>yti</w:t>
      </w:r>
      <w:r>
        <w:t xml:space="preserve"> </w:t>
      </w:r>
      <w:r w:rsidRPr="00005124">
        <w:t>priemones</w:t>
      </w:r>
      <w:r>
        <w:t>,</w:t>
      </w:r>
      <w:r w:rsidRPr="00005124">
        <w:t xml:space="preserve"> atsižvelg</w:t>
      </w:r>
      <w:r>
        <w:t>iant</w:t>
      </w:r>
      <w:r w:rsidRPr="00005124">
        <w:t xml:space="preserve"> į patirtį, sukauptą konkurencinio </w:t>
      </w:r>
      <w:r>
        <w:t>dialogo metu;</w:t>
      </w:r>
    </w:p>
    <w:p w:rsidR="00933CF3" w:rsidRDefault="00933CF3" w:rsidP="005B524E">
      <w:pPr>
        <w:pStyle w:val="BodyText"/>
        <w:numPr>
          <w:ilvl w:val="0"/>
          <w:numId w:val="47"/>
        </w:numPr>
        <w:suppressAutoHyphens w:val="0"/>
      </w:pPr>
      <w:r>
        <w:t>įvykdyti keletą pilotinių VPSP projektų;</w:t>
      </w:r>
    </w:p>
    <w:p w:rsidR="00933CF3" w:rsidRDefault="009B1D45" w:rsidP="005B524E">
      <w:pPr>
        <w:pStyle w:val="BodyText"/>
        <w:numPr>
          <w:ilvl w:val="0"/>
          <w:numId w:val="47"/>
        </w:numPr>
        <w:suppressAutoHyphens w:val="0"/>
      </w:pPr>
      <w:r>
        <w:t>identifikuoti</w:t>
      </w:r>
      <w:r w:rsidR="00A72D66">
        <w:t>, įvertinti ir sudaryti sąrašą dažniausiai sutartyse pasitaikančias rizikas bei jų sumažinimo būdus;</w:t>
      </w:r>
    </w:p>
    <w:p w:rsidR="009B1D45" w:rsidRDefault="009B1D45" w:rsidP="005B524E">
      <w:pPr>
        <w:pStyle w:val="BodyText"/>
        <w:numPr>
          <w:ilvl w:val="0"/>
          <w:numId w:val="47"/>
        </w:numPr>
        <w:suppressAutoHyphens w:val="0"/>
      </w:pPr>
      <w:r>
        <w:lastRenderedPageBreak/>
        <w:t>skatinti konkurencinį dialogą;</w:t>
      </w:r>
    </w:p>
    <w:p w:rsidR="009B1D45" w:rsidRDefault="009B1D45" w:rsidP="005B524E">
      <w:pPr>
        <w:pStyle w:val="BodyText"/>
        <w:numPr>
          <w:ilvl w:val="0"/>
          <w:numId w:val="47"/>
        </w:numPr>
        <w:suppressAutoHyphens w:val="0"/>
      </w:pPr>
      <w:r>
        <w:t>skatinti konkurenciją, siekiant institucijoms didinti galimybės dėl geresnių sutarčių sąl</w:t>
      </w:r>
      <w:r>
        <w:t>y</w:t>
      </w:r>
      <w:r>
        <w:t>gų</w:t>
      </w:r>
      <w:r w:rsidR="007C62E8">
        <w:t>;</w:t>
      </w:r>
    </w:p>
    <w:p w:rsidR="00D540AE" w:rsidRPr="00526691" w:rsidRDefault="00D540AE" w:rsidP="005B524E">
      <w:pPr>
        <w:pStyle w:val="BodyText"/>
        <w:numPr>
          <w:ilvl w:val="0"/>
          <w:numId w:val="47"/>
        </w:numPr>
        <w:suppressAutoHyphens w:val="0"/>
      </w:pPr>
      <w:r>
        <w:t xml:space="preserve">teisės aktuose įtvirtinti nuostatą, pagal kurią prieš pasirašant pačią sutartį, būtų privaloma atlikti išsamų planuojamo projekto vertinimą, įrodantį, kad </w:t>
      </w:r>
      <w:r w:rsidR="001E4AB0">
        <w:t>partnerystė</w:t>
      </w:r>
      <w:r>
        <w:t xml:space="preserve"> yra efektyviausias būdas</w:t>
      </w:r>
      <w:r w:rsidR="00E36D77">
        <w:t xml:space="preserve"> projekto tikslams pasiekti.</w:t>
      </w:r>
    </w:p>
    <w:p w:rsidR="00D03A7B" w:rsidRPr="00D03A7B" w:rsidRDefault="00D03A7B" w:rsidP="005B524E">
      <w:pPr>
        <w:suppressAutoHyphens w:val="0"/>
      </w:pPr>
      <w:r w:rsidRPr="005D75D4">
        <w:t xml:space="preserve">Antroji rekomendacijų grupė – rekomendacijos institucijai – leidžia </w:t>
      </w:r>
      <w:r>
        <w:t>švietimo politiką formuoja</w:t>
      </w:r>
      <w:r>
        <w:t>n</w:t>
      </w:r>
      <w:r>
        <w:t>čiai institucijai</w:t>
      </w:r>
      <w:r w:rsidRPr="005D75D4">
        <w:t xml:space="preserve"> formuluoti nuotolinių studijų plėtrą nuo strategijos iki konkrečių veiklos aspektų. </w:t>
      </w:r>
    </w:p>
    <w:p w:rsidR="00AC6C7B" w:rsidRDefault="00AC6C7B" w:rsidP="005B524E">
      <w:pPr>
        <w:suppressAutoHyphens w:val="0"/>
      </w:pPr>
      <w:r w:rsidRPr="009954D3">
        <w:rPr>
          <w:b/>
        </w:rPr>
        <w:t>Lietuvos Respublikos švietimo politikos lygmenyje</w:t>
      </w:r>
      <w:r w:rsidRPr="005D75D4">
        <w:t xml:space="preserve"> rekomenduojama:</w:t>
      </w:r>
    </w:p>
    <w:p w:rsidR="00AC6C7B" w:rsidRDefault="00AC6C7B" w:rsidP="005B524E">
      <w:pPr>
        <w:pStyle w:val="ListParagraph"/>
        <w:numPr>
          <w:ilvl w:val="0"/>
          <w:numId w:val="48"/>
        </w:numPr>
        <w:suppressAutoHyphens w:val="0"/>
      </w:pPr>
      <w:r w:rsidRPr="00AA426E">
        <w:t xml:space="preserve">įvertinti </w:t>
      </w:r>
      <w:r>
        <w:t xml:space="preserve">nacionaliniu mastu </w:t>
      </w:r>
      <w:r w:rsidRPr="00AA426E">
        <w:t xml:space="preserve">galimus aukštojo mokslo prieinamumo pokyčius, </w:t>
      </w:r>
      <w:r w:rsidR="00B575F4">
        <w:t xml:space="preserve">pvz. </w:t>
      </w:r>
      <w:r w:rsidRPr="00AA426E">
        <w:t xml:space="preserve">kai aukštoji mokykla studijų procese siekia kuo plačiau naudoti šiuolaikines </w:t>
      </w:r>
      <w:r>
        <w:t xml:space="preserve">IRT priemones ir </w:t>
      </w:r>
      <w:r w:rsidRPr="00AA426E">
        <w:t>diegia nuotolines studijas</w:t>
      </w:r>
      <w:r>
        <w:t>;</w:t>
      </w:r>
    </w:p>
    <w:p w:rsidR="00AC6C7B" w:rsidRDefault="00AC6C7B" w:rsidP="005B524E">
      <w:pPr>
        <w:pStyle w:val="ListParagraph"/>
        <w:numPr>
          <w:ilvl w:val="0"/>
          <w:numId w:val="48"/>
        </w:numPr>
        <w:suppressAutoHyphens w:val="0"/>
      </w:pPr>
      <w:r>
        <w:t>įvertinti Lietuvos virtualaus universiteto kūrimą naujos institucijos pagrindu;</w:t>
      </w:r>
    </w:p>
    <w:p w:rsidR="00AC6C7B" w:rsidRDefault="00AC6C7B" w:rsidP="005B524E">
      <w:pPr>
        <w:pStyle w:val="ListParagraph"/>
        <w:numPr>
          <w:ilvl w:val="0"/>
          <w:numId w:val="48"/>
        </w:numPr>
        <w:suppressAutoHyphens w:val="0"/>
      </w:pPr>
      <w:r>
        <w:t>į</w:t>
      </w:r>
      <w:r w:rsidR="00F91BF7">
        <w:t xml:space="preserve">vertinti galimybes pritraukti </w:t>
      </w:r>
      <w:r>
        <w:t>privatų sektorių į LVU programos realizavimą;</w:t>
      </w:r>
    </w:p>
    <w:p w:rsidR="00895593" w:rsidRDefault="00895593" w:rsidP="005B524E">
      <w:pPr>
        <w:pStyle w:val="ListParagraph"/>
        <w:numPr>
          <w:ilvl w:val="0"/>
          <w:numId w:val="48"/>
        </w:numPr>
        <w:suppressAutoHyphens w:val="0"/>
      </w:pPr>
      <w:r>
        <w:t>nustatyti LVU stebėjimo procedūras, paskiriant atsakingus asmenis kontroliuoti lėšų panaudojimą pagal paskirtį ir patvirtintą sąmatą, įpareigojant atsakingus asmenis kontr</w:t>
      </w:r>
      <w:r>
        <w:t>o</w:t>
      </w:r>
      <w:r>
        <w:t>liuoti patirtų išlaidų apskaitos teisingumą;</w:t>
      </w:r>
    </w:p>
    <w:p w:rsidR="006E0EC2" w:rsidRDefault="006E0EC2" w:rsidP="005B524E">
      <w:pPr>
        <w:pStyle w:val="ListParagraph"/>
        <w:numPr>
          <w:ilvl w:val="0"/>
          <w:numId w:val="48"/>
        </w:numPr>
        <w:suppressAutoHyphens w:val="0"/>
      </w:pPr>
      <w:r>
        <w:t>vykdyti stebėseną, kad biudžeto asignavimai būtų naudojami LVU paprogramės vykd</w:t>
      </w:r>
      <w:r>
        <w:t>y</w:t>
      </w:r>
      <w:r>
        <w:t xml:space="preserve">mo tikslams ir </w:t>
      </w:r>
      <w:r w:rsidR="00213C03">
        <w:t>patirtoms išlaidoms dengti.</w:t>
      </w:r>
    </w:p>
    <w:p w:rsidR="00D03A7B" w:rsidRPr="00D03A7B" w:rsidRDefault="00D03A7B" w:rsidP="005B524E">
      <w:pPr>
        <w:suppressAutoHyphens w:val="0"/>
      </w:pPr>
      <w:r>
        <w:t>Trečioji rekomendacijų grupė – rekomendacijos programai – leidžia programos vykdymą užtikrinančiai institucijai formuluoti LVU programos pakeitimus atsižvelgiant į rinkos dalyvių norą dal</w:t>
      </w:r>
      <w:r>
        <w:t>y</w:t>
      </w:r>
      <w:r>
        <w:t>vauti programos įgyvendinime.</w:t>
      </w:r>
    </w:p>
    <w:p w:rsidR="00AC6C7B" w:rsidRPr="00446C91" w:rsidRDefault="00AC6C7B" w:rsidP="005B524E">
      <w:pPr>
        <w:suppressAutoHyphens w:val="0"/>
      </w:pPr>
      <w:r>
        <w:rPr>
          <w:b/>
        </w:rPr>
        <w:t>Lietuvos virtualaus universiteto programos</w:t>
      </w:r>
      <w:r w:rsidRPr="008D2A03">
        <w:rPr>
          <w:b/>
        </w:rPr>
        <w:t xml:space="preserve"> lygmenyje</w:t>
      </w:r>
      <w:r w:rsidRPr="005D75D4">
        <w:t xml:space="preserve"> rekomenduojama:</w:t>
      </w:r>
    </w:p>
    <w:p w:rsidR="00AC6C7B" w:rsidRDefault="00AC6C7B" w:rsidP="005B524E">
      <w:pPr>
        <w:pStyle w:val="ListParagraph"/>
        <w:numPr>
          <w:ilvl w:val="0"/>
          <w:numId w:val="46"/>
        </w:numPr>
        <w:suppressAutoHyphens w:val="0"/>
      </w:pPr>
      <w:r>
        <w:t xml:space="preserve">informuoti visuomenę apie LVU programos rėmuose vykstančius procesus, t.y. </w:t>
      </w:r>
      <w:r w:rsidRPr="00DF3E8F">
        <w:t xml:space="preserve">parengti ir viešai pristatyti visuomenės informavimo apie </w:t>
      </w:r>
      <w:r>
        <w:t>LVU</w:t>
      </w:r>
      <w:r w:rsidRPr="00DF3E8F">
        <w:t xml:space="preserve"> tvarką</w:t>
      </w:r>
      <w:r>
        <w:t>;</w:t>
      </w:r>
    </w:p>
    <w:p w:rsidR="00AC6C7B" w:rsidRDefault="00AC6C7B" w:rsidP="005B524E">
      <w:pPr>
        <w:pStyle w:val="ListParagraph"/>
        <w:numPr>
          <w:ilvl w:val="0"/>
          <w:numId w:val="46"/>
        </w:numPr>
        <w:suppressAutoHyphens w:val="0"/>
      </w:pPr>
      <w:r>
        <w:t>aiškiai paskirstyti kompetencijas tarp programos dalyvių;</w:t>
      </w:r>
    </w:p>
    <w:p w:rsidR="00AC6C7B" w:rsidRDefault="00AC6C7B" w:rsidP="005B524E">
      <w:pPr>
        <w:pStyle w:val="ListParagraph"/>
        <w:numPr>
          <w:ilvl w:val="0"/>
          <w:numId w:val="46"/>
        </w:numPr>
        <w:suppressAutoHyphens w:val="0"/>
      </w:pPr>
      <w:r>
        <w:t>pakeisti finansavimo gavimo principą nuo visiškai valstybės finansuojamo į daliniai valstybės finansuojama, pritraukiant aukštojo mokslo įstaigų turimas lėšas bei privataus se</w:t>
      </w:r>
      <w:r>
        <w:t>k</w:t>
      </w:r>
      <w:r>
        <w:t>toriaus kapitalą;</w:t>
      </w:r>
    </w:p>
    <w:p w:rsidR="00AC6C7B" w:rsidRDefault="00AC6C7B" w:rsidP="005B524E">
      <w:pPr>
        <w:pStyle w:val="ListParagraph"/>
        <w:numPr>
          <w:ilvl w:val="0"/>
          <w:numId w:val="46"/>
        </w:numPr>
        <w:suppressAutoHyphens w:val="0"/>
      </w:pPr>
      <w:r>
        <w:t>parengti programos dalyvių motyvacijos kilimo metodikas bei procedūras;</w:t>
      </w:r>
    </w:p>
    <w:p w:rsidR="00AC6C7B" w:rsidRDefault="00AC6C7B" w:rsidP="005B524E">
      <w:pPr>
        <w:pStyle w:val="ListParagraph"/>
        <w:numPr>
          <w:ilvl w:val="0"/>
          <w:numId w:val="46"/>
        </w:numPr>
        <w:suppressAutoHyphens w:val="0"/>
      </w:pPr>
      <w:r>
        <w:t>suteikti dalyviams išskirtinę teisę patiems spręsti ar prisijungti prie programos įgyvend</w:t>
      </w:r>
      <w:r>
        <w:t>i</w:t>
      </w:r>
      <w:r>
        <w:t>nimo;</w:t>
      </w:r>
    </w:p>
    <w:p w:rsidR="00AC6C7B" w:rsidRDefault="00AC6C7B" w:rsidP="005B524E">
      <w:pPr>
        <w:pStyle w:val="ListParagraph"/>
        <w:numPr>
          <w:ilvl w:val="0"/>
          <w:numId w:val="46"/>
        </w:numPr>
        <w:suppressAutoHyphens w:val="0"/>
      </w:pPr>
      <w:r w:rsidRPr="004B099C">
        <w:t>parengti dalinimosi gerąja patirtimi sistemą ir užtikrinti gerosios patirties sklaidą;</w:t>
      </w:r>
    </w:p>
    <w:p w:rsidR="00AC6C7B" w:rsidRDefault="00AC6C7B" w:rsidP="005B524E">
      <w:pPr>
        <w:pStyle w:val="ListParagraph"/>
        <w:numPr>
          <w:ilvl w:val="0"/>
          <w:numId w:val="46"/>
        </w:numPr>
        <w:suppressAutoHyphens w:val="0"/>
      </w:pPr>
      <w:r>
        <w:t xml:space="preserve">toliau </w:t>
      </w:r>
      <w:r w:rsidRPr="00CC37BB">
        <w:t xml:space="preserve">plėtoti infrastruktūrą, kuri būtų pritaikyta </w:t>
      </w:r>
      <w:r>
        <w:t xml:space="preserve">LVU ir </w:t>
      </w:r>
      <w:r w:rsidRPr="00CC37BB">
        <w:t>nuotolinių studijų organizavimui;</w:t>
      </w:r>
    </w:p>
    <w:p w:rsidR="009276E2" w:rsidRDefault="001C142A" w:rsidP="005B524E">
      <w:pPr>
        <w:pStyle w:val="ListParagraph"/>
        <w:numPr>
          <w:ilvl w:val="0"/>
          <w:numId w:val="46"/>
        </w:numPr>
        <w:suppressAutoHyphens w:val="0"/>
      </w:pPr>
      <w:r>
        <w:lastRenderedPageBreak/>
        <w:t xml:space="preserve">atlikti </w:t>
      </w:r>
      <w:r w:rsidR="009276E2">
        <w:t xml:space="preserve">ankstesnės LVU tarybos </w:t>
      </w:r>
      <w:r>
        <w:t>veiklos auditą</w:t>
      </w:r>
      <w:r w:rsidR="009276E2">
        <w:t xml:space="preserve"> bei pateikti veiklos ataskaita;</w:t>
      </w:r>
    </w:p>
    <w:p w:rsidR="00F94E22" w:rsidRDefault="00F94E22" w:rsidP="005B524E">
      <w:pPr>
        <w:pStyle w:val="ListParagraph"/>
        <w:numPr>
          <w:ilvl w:val="0"/>
          <w:numId w:val="46"/>
        </w:numPr>
        <w:suppressAutoHyphens w:val="0"/>
      </w:pPr>
      <w:r>
        <w:t>atlikti LVU programos kokybės vertinimą;</w:t>
      </w:r>
    </w:p>
    <w:p w:rsidR="00AC6C7B" w:rsidRDefault="003D4FC9" w:rsidP="005B524E">
      <w:pPr>
        <w:pStyle w:val="ListParagraph"/>
        <w:numPr>
          <w:ilvl w:val="0"/>
          <w:numId w:val="46"/>
        </w:numPr>
        <w:suppressAutoHyphens w:val="0"/>
      </w:pPr>
      <w:r w:rsidRPr="00FD635A">
        <w:t>ieškoti alternatyvių finansavimo šaltinių, realizuojamų per specialias naujų mokymo t</w:t>
      </w:r>
      <w:r w:rsidRPr="00FD635A">
        <w:t>e</w:t>
      </w:r>
      <w:r w:rsidRPr="00FD635A">
        <w:t>chnologijų</w:t>
      </w:r>
      <w:r>
        <w:t xml:space="preserve"> plėtros programas ar projektus;</w:t>
      </w:r>
    </w:p>
    <w:p w:rsidR="00425C68" w:rsidRDefault="00425C68" w:rsidP="005B524E">
      <w:pPr>
        <w:pStyle w:val="ListParagraph"/>
        <w:numPr>
          <w:ilvl w:val="0"/>
          <w:numId w:val="46"/>
        </w:numPr>
        <w:suppressAutoHyphens w:val="0"/>
      </w:pPr>
      <w:r>
        <w:t xml:space="preserve">įvertinti </w:t>
      </w:r>
      <w:r w:rsidR="00C00151">
        <w:t xml:space="preserve">Lietuvos virtualaus universiteto kaip subjekto tolimesnio </w:t>
      </w:r>
      <w:r>
        <w:t>vystymosi galimybes po programos pasibaigimo;</w:t>
      </w:r>
    </w:p>
    <w:p w:rsidR="00425C68" w:rsidRDefault="0093270E" w:rsidP="005B524E">
      <w:pPr>
        <w:pStyle w:val="ListParagraph"/>
        <w:numPr>
          <w:ilvl w:val="0"/>
          <w:numId w:val="46"/>
        </w:numPr>
        <w:suppressAutoHyphens w:val="0"/>
      </w:pPr>
      <w:r>
        <w:t>įvertinti galimybes bei esant poreikiui sukurti Lietuvos virtualaus universiteto programos administracinį vienetą, kuris užtikrintų informacijos sklaidą, koordinavimą bei kitas pr</w:t>
      </w:r>
      <w:r>
        <w:t>o</w:t>
      </w:r>
      <w:r>
        <w:t>gramos įgyvendinimui reikalingas veiklas;</w:t>
      </w:r>
    </w:p>
    <w:p w:rsidR="00895593" w:rsidRPr="001D1438" w:rsidRDefault="007B0418" w:rsidP="005B524E">
      <w:pPr>
        <w:pStyle w:val="ListParagraph"/>
        <w:numPr>
          <w:ilvl w:val="0"/>
          <w:numId w:val="46"/>
        </w:numPr>
        <w:suppressAutoHyphens w:val="0"/>
      </w:pPr>
      <w:r>
        <w:t>sudaryti daugiašal</w:t>
      </w:r>
      <w:r w:rsidR="004C6CBA">
        <w:t>ę</w:t>
      </w:r>
      <w:r>
        <w:t xml:space="preserve"> sutartį tarp visų programoje dalyvaujan</w:t>
      </w:r>
      <w:r w:rsidR="00985ABB">
        <w:t>čių subjektų bei trečiųjų šalių.</w:t>
      </w:r>
    </w:p>
    <w:p w:rsidR="00895F5C" w:rsidRPr="001D1438" w:rsidRDefault="00895F5C" w:rsidP="005B524E">
      <w:pPr>
        <w:pStyle w:val="Heading1"/>
        <w:numPr>
          <w:ilvl w:val="0"/>
          <w:numId w:val="0"/>
        </w:numPr>
        <w:suppressAutoHyphens w:val="0"/>
      </w:pPr>
      <w:r w:rsidRPr="001D1438">
        <w:rPr>
          <w:lang w:eastAsia="ar-SA"/>
        </w:rPr>
        <w:br w:type="page"/>
      </w:r>
      <w:bookmarkStart w:id="66" w:name="_Toc248687475"/>
      <w:bookmarkStart w:id="67" w:name="_Toc251011273"/>
      <w:r w:rsidRPr="001D1438">
        <w:lastRenderedPageBreak/>
        <w:t>Literatūra</w:t>
      </w:r>
      <w:bookmarkEnd w:id="66"/>
      <w:bookmarkEnd w:id="67"/>
    </w:p>
    <w:p w:rsidR="00B661FF" w:rsidRPr="001D1438" w:rsidRDefault="00B661FF" w:rsidP="005B524E">
      <w:pPr>
        <w:numPr>
          <w:ilvl w:val="0"/>
          <w:numId w:val="3"/>
        </w:numPr>
        <w:suppressAutoHyphens w:val="0"/>
        <w:rPr>
          <w:lang w:eastAsia="ar-SA"/>
        </w:rPr>
      </w:pPr>
      <w:r w:rsidRPr="001D1438">
        <w:rPr>
          <w:b/>
          <w:lang w:eastAsia="ar-SA"/>
        </w:rPr>
        <w:t>Anastasiades P.</w:t>
      </w:r>
      <w:r w:rsidRPr="001D1438">
        <w:rPr>
          <w:lang w:eastAsia="ar-SA"/>
        </w:rPr>
        <w:t xml:space="preserve"> </w:t>
      </w:r>
      <w:r w:rsidRPr="004C6CBA">
        <w:rPr>
          <w:lang w:val="en-US" w:eastAsia="ar-SA"/>
        </w:rPr>
        <w:t xml:space="preserve">The Vision of an Interplanetary Individualized Virtual University in the Age of Globalization. Proceedings of the </w:t>
      </w:r>
      <w:proofErr w:type="spellStart"/>
      <w:r w:rsidRPr="004C6CBA">
        <w:rPr>
          <w:lang w:val="en-US" w:eastAsia="ar-SA"/>
        </w:rPr>
        <w:t>Webnet</w:t>
      </w:r>
      <w:proofErr w:type="spellEnd"/>
      <w:r w:rsidRPr="001D1438">
        <w:rPr>
          <w:lang w:eastAsia="ar-SA"/>
        </w:rPr>
        <w:t xml:space="preserve"> 2001, 2001</w:t>
      </w:r>
    </w:p>
    <w:p w:rsidR="00B661FF" w:rsidRPr="004C6CBA" w:rsidRDefault="00B661FF" w:rsidP="005B524E">
      <w:pPr>
        <w:numPr>
          <w:ilvl w:val="0"/>
          <w:numId w:val="3"/>
        </w:numPr>
        <w:suppressAutoHyphens w:val="0"/>
        <w:rPr>
          <w:rFonts w:eastAsia="Arial" w:cs="Arial"/>
          <w:lang w:val="en-US" w:eastAsia="ar-SA"/>
        </w:rPr>
      </w:pPr>
      <w:r w:rsidRPr="004C6CBA">
        <w:rPr>
          <w:rFonts w:eastAsia="TimesNewRoman" w:cs="TimesNewRoman"/>
          <w:b/>
          <w:lang w:val="en-US" w:eastAsia="ar-SA"/>
        </w:rPr>
        <w:t>Anastasiades P.</w:t>
      </w:r>
      <w:r w:rsidRPr="004C6CBA">
        <w:rPr>
          <w:rFonts w:eastAsia="TimesNewRoman" w:cs="TimesNewRoman"/>
          <w:lang w:val="en-US" w:eastAsia="ar-SA"/>
        </w:rPr>
        <w:t xml:space="preserve"> </w:t>
      </w:r>
      <w:r w:rsidRPr="004C6CBA">
        <w:rPr>
          <w:lang w:val="en-US" w:eastAsia="ar-SA"/>
        </w:rPr>
        <w:t>Virtual Universities: a Critical Approach.</w:t>
      </w:r>
      <w:r w:rsidRPr="004C6CBA">
        <w:rPr>
          <w:rFonts w:eastAsia="TimesNewRoman" w:cs="TimesNewRoman"/>
          <w:lang w:val="en-US" w:eastAsia="ar-SA"/>
        </w:rPr>
        <w:t xml:space="preserve"> </w:t>
      </w:r>
      <w:r w:rsidRPr="004C6CBA">
        <w:rPr>
          <w:rFonts w:eastAsia="Arial" w:cs="Arial"/>
          <w:lang w:val="en-US" w:eastAsia="ar-SA"/>
        </w:rPr>
        <w:t>Proceedings of the International Conference on Computers in Education (ICCE’02), 2002</w:t>
      </w:r>
    </w:p>
    <w:p w:rsidR="00B661FF" w:rsidRPr="004C6CBA" w:rsidRDefault="00B661FF" w:rsidP="005B524E">
      <w:pPr>
        <w:numPr>
          <w:ilvl w:val="0"/>
          <w:numId w:val="3"/>
        </w:numPr>
        <w:suppressAutoHyphens w:val="0"/>
        <w:rPr>
          <w:lang w:val="en-US" w:eastAsia="ar-SA"/>
        </w:rPr>
      </w:pPr>
      <w:proofErr w:type="spellStart"/>
      <w:r w:rsidRPr="004C6CBA">
        <w:rPr>
          <w:b/>
          <w:lang w:val="en-US"/>
        </w:rPr>
        <w:t>Arbnor</w:t>
      </w:r>
      <w:proofErr w:type="spellEnd"/>
      <w:r w:rsidRPr="004C6CBA">
        <w:rPr>
          <w:b/>
          <w:lang w:val="en-US"/>
        </w:rPr>
        <w:t xml:space="preserve"> I. </w:t>
      </w:r>
      <w:proofErr w:type="spellStart"/>
      <w:r w:rsidRPr="004C6CBA">
        <w:rPr>
          <w:b/>
          <w:lang w:val="en-US"/>
        </w:rPr>
        <w:t>Bjerke</w:t>
      </w:r>
      <w:proofErr w:type="spellEnd"/>
      <w:r w:rsidRPr="004C6CBA">
        <w:rPr>
          <w:b/>
          <w:lang w:val="en-US"/>
        </w:rPr>
        <w:t xml:space="preserve"> B.</w:t>
      </w:r>
      <w:r w:rsidRPr="004C6CBA">
        <w:rPr>
          <w:lang w:val="en-US"/>
        </w:rPr>
        <w:t xml:space="preserve"> Methodology for Creating Business Knowledge (2</w:t>
      </w:r>
      <w:r w:rsidRPr="004C6CBA">
        <w:rPr>
          <w:vertAlign w:val="superscript"/>
          <w:lang w:val="en-US"/>
        </w:rPr>
        <w:t>nd</w:t>
      </w:r>
      <w:r w:rsidRPr="004C6CBA">
        <w:rPr>
          <w:lang w:val="en-US"/>
        </w:rPr>
        <w:t xml:space="preserve"> </w:t>
      </w:r>
      <w:r w:rsidR="00543D58" w:rsidRPr="004C6CBA">
        <w:rPr>
          <w:lang w:val="en-US"/>
        </w:rPr>
        <w:t>Ed</w:t>
      </w:r>
      <w:r w:rsidRPr="004C6CBA">
        <w:rPr>
          <w:lang w:val="en-US"/>
        </w:rPr>
        <w:t>.). SAGE Public</w:t>
      </w:r>
      <w:r w:rsidRPr="004C6CBA">
        <w:rPr>
          <w:lang w:val="en-US"/>
        </w:rPr>
        <w:t>a</w:t>
      </w:r>
      <w:r w:rsidRPr="004C6CBA">
        <w:rPr>
          <w:lang w:val="en-US"/>
        </w:rPr>
        <w:t>tions. London. 1997.</w:t>
      </w:r>
    </w:p>
    <w:p w:rsidR="00B661FF" w:rsidRPr="004C6CBA" w:rsidRDefault="00B661FF" w:rsidP="005B524E">
      <w:pPr>
        <w:numPr>
          <w:ilvl w:val="0"/>
          <w:numId w:val="3"/>
        </w:numPr>
        <w:suppressAutoHyphens w:val="0"/>
        <w:rPr>
          <w:lang w:val="en-US" w:eastAsia="ar-SA"/>
        </w:rPr>
      </w:pPr>
      <w:proofErr w:type="spellStart"/>
      <w:r w:rsidRPr="004C6CBA">
        <w:rPr>
          <w:b/>
          <w:lang w:val="en-US" w:eastAsia="ar-SA"/>
        </w:rPr>
        <w:t>Athey</w:t>
      </w:r>
      <w:proofErr w:type="spellEnd"/>
      <w:r w:rsidRPr="004C6CBA">
        <w:rPr>
          <w:b/>
          <w:lang w:val="en-US" w:eastAsia="ar-SA"/>
        </w:rPr>
        <w:t>, T.</w:t>
      </w:r>
      <w:r w:rsidRPr="004C6CBA">
        <w:rPr>
          <w:lang w:val="en-US" w:eastAsia="ar-SA"/>
        </w:rPr>
        <w:t xml:space="preserve"> Non-Traditional Universities Challenge 21stCentury Higher Education. On the Hor</w:t>
      </w:r>
      <w:r w:rsidRPr="004C6CBA">
        <w:rPr>
          <w:lang w:val="en-US" w:eastAsia="ar-SA"/>
        </w:rPr>
        <w:t>i</w:t>
      </w:r>
      <w:r w:rsidRPr="004C6CBA">
        <w:rPr>
          <w:lang w:val="en-US" w:eastAsia="ar-SA"/>
        </w:rPr>
        <w:t>zon 6.5: 5-7, 1998</w:t>
      </w:r>
    </w:p>
    <w:p w:rsidR="00B661FF" w:rsidRPr="004C6CBA" w:rsidRDefault="00B661FF" w:rsidP="005B524E">
      <w:pPr>
        <w:numPr>
          <w:ilvl w:val="0"/>
          <w:numId w:val="3"/>
        </w:numPr>
        <w:suppressAutoHyphens w:val="0"/>
        <w:rPr>
          <w:lang w:val="en-US"/>
        </w:rPr>
      </w:pPr>
      <w:proofErr w:type="spellStart"/>
      <w:r w:rsidRPr="004C6CBA">
        <w:rPr>
          <w:b/>
          <w:lang w:val="en-US"/>
        </w:rPr>
        <w:t>Bjarnason</w:t>
      </w:r>
      <w:proofErr w:type="spellEnd"/>
      <w:r w:rsidRPr="004C6CBA">
        <w:rPr>
          <w:b/>
          <w:lang w:val="en-US"/>
        </w:rPr>
        <w:t xml:space="preserve">, S., Kai-Ming Cheng, </w:t>
      </w:r>
      <w:proofErr w:type="spellStart"/>
      <w:r w:rsidRPr="004C6CBA">
        <w:rPr>
          <w:b/>
          <w:lang w:val="en-US"/>
        </w:rPr>
        <w:t>Fielden</w:t>
      </w:r>
      <w:proofErr w:type="spellEnd"/>
      <w:r w:rsidRPr="004C6CBA">
        <w:rPr>
          <w:b/>
          <w:lang w:val="en-US"/>
        </w:rPr>
        <w:t>, J., Lemaitre, M. et al</w:t>
      </w:r>
      <w:r w:rsidRPr="004C6CBA">
        <w:rPr>
          <w:lang w:val="en-US"/>
        </w:rPr>
        <w:t>. A New Dynamic: Private Higher Education, World Conference on Higher Education, 2009</w:t>
      </w:r>
    </w:p>
    <w:p w:rsidR="00B661FF" w:rsidRPr="004C6CBA" w:rsidRDefault="00B661FF" w:rsidP="005B524E">
      <w:pPr>
        <w:numPr>
          <w:ilvl w:val="0"/>
          <w:numId w:val="3"/>
        </w:numPr>
        <w:suppressAutoHyphens w:val="0"/>
        <w:rPr>
          <w:lang w:val="en-US" w:eastAsia="ar-SA"/>
        </w:rPr>
      </w:pPr>
      <w:r w:rsidRPr="004C6CBA">
        <w:rPr>
          <w:b/>
          <w:lang w:val="en-US" w:eastAsia="ar-SA"/>
        </w:rPr>
        <w:t>Brown S.</w:t>
      </w:r>
      <w:r w:rsidRPr="004C6CBA">
        <w:rPr>
          <w:lang w:val="en-US" w:eastAsia="ar-SA"/>
        </w:rPr>
        <w:t xml:space="preserve"> Virtual University: Real Challenges. In B. Collis &amp; R. Oliver (Eds.), Proceedings of World Conference on Educational Multimedia, Hypermedia and Telecommunications 1999 (pp. 759-764). Chesapeake, VA: AACE, 1999</w:t>
      </w:r>
    </w:p>
    <w:p w:rsidR="00B661FF" w:rsidRDefault="00E1024F" w:rsidP="005B524E">
      <w:pPr>
        <w:numPr>
          <w:ilvl w:val="0"/>
          <w:numId w:val="3"/>
        </w:numPr>
        <w:suppressAutoHyphens w:val="0"/>
        <w:rPr>
          <w:lang w:val="en-US"/>
        </w:rPr>
      </w:pPr>
      <w:proofErr w:type="spellStart"/>
      <w:r>
        <w:rPr>
          <w:b/>
          <w:lang w:val="en-US" w:eastAsia="ar-SA"/>
        </w:rPr>
        <w:t>Brožaitis</w:t>
      </w:r>
      <w:proofErr w:type="spellEnd"/>
      <w:r w:rsidR="00B661FF" w:rsidRPr="004C6CBA">
        <w:rPr>
          <w:b/>
          <w:lang w:val="en-US" w:eastAsia="ar-SA"/>
        </w:rPr>
        <w:t xml:space="preserve"> H.</w:t>
      </w:r>
      <w:r w:rsidR="00B661FF" w:rsidRPr="004C6CBA">
        <w:rPr>
          <w:lang w:val="en-US" w:eastAsia="ar-SA"/>
        </w:rPr>
        <w:t xml:space="preserve"> Impact assessment of the draft 2007- 2013 EU structural funds regulations, 2004</w:t>
      </w:r>
    </w:p>
    <w:p w:rsidR="00314CBE" w:rsidRPr="00314CBE" w:rsidRDefault="00314CBE" w:rsidP="005B524E">
      <w:pPr>
        <w:numPr>
          <w:ilvl w:val="0"/>
          <w:numId w:val="3"/>
        </w:numPr>
        <w:suppressAutoHyphens w:val="0"/>
      </w:pPr>
      <w:r w:rsidRPr="00314CBE">
        <w:rPr>
          <w:b/>
        </w:rPr>
        <w:t>Butkevičienė E ir kt.</w:t>
      </w:r>
      <w:r w:rsidRPr="00314CBE">
        <w:t xml:space="preserve"> E. mokymosi ypatybių švietimo sektoriuose studija, Kaunas, 2008</w:t>
      </w:r>
    </w:p>
    <w:p w:rsidR="00B661FF" w:rsidRPr="004C6CBA" w:rsidRDefault="00B661FF" w:rsidP="005B524E">
      <w:pPr>
        <w:pStyle w:val="BodyText"/>
        <w:numPr>
          <w:ilvl w:val="0"/>
          <w:numId w:val="3"/>
        </w:numPr>
        <w:suppressAutoHyphens w:val="0"/>
        <w:rPr>
          <w:lang w:val="en-US" w:eastAsia="ar-SA"/>
        </w:rPr>
      </w:pPr>
      <w:proofErr w:type="spellStart"/>
      <w:r w:rsidRPr="004C6CBA">
        <w:rPr>
          <w:b/>
          <w:lang w:val="en-US" w:eastAsia="ar-SA"/>
        </w:rPr>
        <w:t>Cloete</w:t>
      </w:r>
      <w:proofErr w:type="spellEnd"/>
      <w:r w:rsidRPr="004C6CBA">
        <w:rPr>
          <w:b/>
          <w:lang w:val="en-US" w:eastAsia="ar-SA"/>
        </w:rPr>
        <w:t xml:space="preserve"> E.</w:t>
      </w:r>
      <w:r w:rsidRPr="004C6CBA">
        <w:rPr>
          <w:lang w:val="en-US" w:eastAsia="ar-SA"/>
        </w:rPr>
        <w:t xml:space="preserve"> Challenges for Virtual Universities, 2000</w:t>
      </w:r>
    </w:p>
    <w:p w:rsidR="00B661FF" w:rsidRPr="004C6CBA" w:rsidRDefault="00B661FF" w:rsidP="005B524E">
      <w:pPr>
        <w:numPr>
          <w:ilvl w:val="0"/>
          <w:numId w:val="3"/>
        </w:numPr>
        <w:suppressAutoHyphens w:val="0"/>
        <w:rPr>
          <w:lang w:val="en-US" w:eastAsia="ar-SA"/>
        </w:rPr>
      </w:pPr>
      <w:r w:rsidRPr="004C6CBA">
        <w:rPr>
          <w:b/>
          <w:lang w:val="en-US"/>
        </w:rPr>
        <w:t>Cochran W.G.</w:t>
      </w:r>
      <w:r w:rsidRPr="004C6CBA">
        <w:rPr>
          <w:lang w:val="en-US"/>
        </w:rPr>
        <w:t xml:space="preserve"> Sampling Techniques (Probability &amp; Mathematical Statistics) (3</w:t>
      </w:r>
      <w:r w:rsidRPr="004C6CBA">
        <w:rPr>
          <w:vertAlign w:val="superscript"/>
          <w:lang w:val="en-US"/>
        </w:rPr>
        <w:t>rd</w:t>
      </w:r>
      <w:r w:rsidRPr="004C6CBA">
        <w:rPr>
          <w:lang w:val="en-US"/>
        </w:rPr>
        <w:t xml:space="preserve"> </w:t>
      </w:r>
      <w:r w:rsidR="00543D58" w:rsidRPr="004C6CBA">
        <w:rPr>
          <w:lang w:val="en-US"/>
        </w:rPr>
        <w:t>Ed</w:t>
      </w:r>
      <w:r w:rsidRPr="004C6CBA">
        <w:rPr>
          <w:lang w:val="en-US"/>
        </w:rPr>
        <w:t>.). New York: John Wiley &amp; Sons, 1977</w:t>
      </w:r>
    </w:p>
    <w:p w:rsidR="00B661FF" w:rsidRPr="004C6CBA" w:rsidRDefault="00B661FF" w:rsidP="005B524E">
      <w:pPr>
        <w:numPr>
          <w:ilvl w:val="0"/>
          <w:numId w:val="3"/>
        </w:numPr>
        <w:suppressAutoHyphens w:val="0"/>
        <w:rPr>
          <w:lang w:val="en-US" w:eastAsia="ar-SA"/>
        </w:rPr>
      </w:pPr>
      <w:r w:rsidRPr="004C6CBA">
        <w:rPr>
          <w:b/>
          <w:lang w:val="en-US" w:eastAsia="ar-SA"/>
        </w:rPr>
        <w:t>Cunha M.M. et al.</w:t>
      </w:r>
      <w:r w:rsidRPr="004C6CBA">
        <w:rPr>
          <w:lang w:val="en-US" w:eastAsia="ar-SA"/>
        </w:rPr>
        <w:t xml:space="preserve"> Infrastructures for the Virtual University. EUNIS 2005 Conference – Le</w:t>
      </w:r>
      <w:r w:rsidRPr="004C6CBA">
        <w:rPr>
          <w:lang w:val="en-US" w:eastAsia="ar-SA"/>
        </w:rPr>
        <w:t>a</w:t>
      </w:r>
      <w:r w:rsidRPr="004C6CBA">
        <w:rPr>
          <w:lang w:val="en-US" w:eastAsia="ar-SA"/>
        </w:rPr>
        <w:t>dership and Strategy in a Cyber-Infrastructure World, the University of Manchester, UK, 2005</w:t>
      </w:r>
    </w:p>
    <w:p w:rsidR="00B661FF" w:rsidRPr="004C6CBA" w:rsidRDefault="00B661FF" w:rsidP="005B524E">
      <w:pPr>
        <w:numPr>
          <w:ilvl w:val="0"/>
          <w:numId w:val="3"/>
        </w:numPr>
        <w:suppressAutoHyphens w:val="0"/>
        <w:rPr>
          <w:lang w:val="en-US" w:bidi="en-US"/>
        </w:rPr>
      </w:pPr>
      <w:r w:rsidRPr="004C6CBA">
        <w:rPr>
          <w:b/>
          <w:lang w:val="en-US" w:bidi="en-US"/>
        </w:rPr>
        <w:t>D‘Antoni S</w:t>
      </w:r>
      <w:r w:rsidRPr="004C6CBA">
        <w:rPr>
          <w:lang w:val="en-US" w:bidi="en-US"/>
        </w:rPr>
        <w:t>. The Virtual University. Models and Messages. Lessons from the Case Studies. UNESCO International Institute for Education Planning, 2003</w:t>
      </w:r>
    </w:p>
    <w:p w:rsidR="00B661FF" w:rsidRPr="004C6CBA" w:rsidRDefault="00B661FF" w:rsidP="005B524E">
      <w:pPr>
        <w:pStyle w:val="BodyText"/>
        <w:numPr>
          <w:ilvl w:val="0"/>
          <w:numId w:val="3"/>
        </w:numPr>
        <w:suppressAutoHyphens w:val="0"/>
        <w:rPr>
          <w:lang w:val="en-US" w:eastAsia="ar-SA"/>
        </w:rPr>
      </w:pPr>
      <w:r w:rsidRPr="004C6CBA">
        <w:rPr>
          <w:rFonts w:eastAsia="font40" w:cs="font40"/>
          <w:b/>
          <w:lang w:val="en-US" w:eastAsia="ar-SA"/>
        </w:rPr>
        <w:t>Davies D.</w:t>
      </w:r>
      <w:r w:rsidRPr="004C6CBA">
        <w:rPr>
          <w:rFonts w:eastAsia="font40" w:cs="font40"/>
          <w:lang w:val="en-US" w:eastAsia="ar-SA"/>
        </w:rPr>
        <w:t xml:space="preserve"> </w:t>
      </w:r>
      <w:r w:rsidRPr="004C6CBA">
        <w:rPr>
          <w:lang w:val="en-US" w:eastAsia="ar-SA"/>
        </w:rPr>
        <w:t>The virtual university: a learning university</w:t>
      </w:r>
      <w:r w:rsidRPr="004C6CBA">
        <w:rPr>
          <w:rFonts w:eastAsia="font40" w:cs="font40"/>
          <w:lang w:val="en-US" w:eastAsia="ar-SA"/>
        </w:rPr>
        <w:t xml:space="preserve">, </w:t>
      </w:r>
      <w:r w:rsidRPr="004C6CBA">
        <w:rPr>
          <w:lang w:val="en-US" w:eastAsia="ar-SA"/>
        </w:rPr>
        <w:t>Journal of Workplace Learning Volume 10 Number 4</w:t>
      </w:r>
      <w:r w:rsidR="003D046E">
        <w:rPr>
          <w:lang w:val="en-US" w:eastAsia="ar-SA"/>
        </w:rPr>
        <w:t>,</w:t>
      </w:r>
      <w:r w:rsidRPr="004C6CBA">
        <w:rPr>
          <w:lang w:val="en-US" w:eastAsia="ar-SA"/>
        </w:rPr>
        <w:t xml:space="preserve"> 1998</w:t>
      </w:r>
      <w:r w:rsidR="003D046E">
        <w:rPr>
          <w:lang w:val="en-US" w:eastAsia="ar-SA"/>
        </w:rPr>
        <w:t>,</w:t>
      </w:r>
      <w:r w:rsidRPr="004C6CBA">
        <w:rPr>
          <w:lang w:val="en-US" w:eastAsia="ar-SA"/>
        </w:rPr>
        <w:t xml:space="preserve"> 175–213</w:t>
      </w:r>
    </w:p>
    <w:p w:rsidR="00B661FF" w:rsidRPr="004C6CBA" w:rsidRDefault="00B661FF" w:rsidP="005B524E">
      <w:pPr>
        <w:pStyle w:val="BodyText"/>
        <w:numPr>
          <w:ilvl w:val="0"/>
          <w:numId w:val="3"/>
        </w:numPr>
        <w:suppressAutoHyphens w:val="0"/>
        <w:rPr>
          <w:lang w:val="en-US" w:eastAsia="ar-SA"/>
        </w:rPr>
      </w:pPr>
      <w:r w:rsidRPr="004C6CBA">
        <w:rPr>
          <w:b/>
          <w:lang w:val="en-US" w:eastAsia="ar-SA"/>
        </w:rPr>
        <w:t>Davies G., Stacey E.</w:t>
      </w:r>
      <w:r w:rsidRPr="004C6CBA">
        <w:rPr>
          <w:lang w:val="en-US" w:eastAsia="ar-SA"/>
        </w:rPr>
        <w:t xml:space="preserve"> Virtual universities: are dual mode universities the solution? FIE Conf</w:t>
      </w:r>
      <w:r w:rsidRPr="004C6CBA">
        <w:rPr>
          <w:lang w:val="en-US" w:eastAsia="ar-SA"/>
        </w:rPr>
        <w:t>e</w:t>
      </w:r>
      <w:r w:rsidRPr="004C6CBA">
        <w:rPr>
          <w:lang w:val="en-US" w:eastAsia="ar-SA"/>
        </w:rPr>
        <w:t xml:space="preserve">rence, 1998 </w:t>
      </w:r>
    </w:p>
    <w:p w:rsidR="00B661FF" w:rsidRPr="004C6CBA" w:rsidRDefault="00B661FF" w:rsidP="005B524E">
      <w:pPr>
        <w:numPr>
          <w:ilvl w:val="0"/>
          <w:numId w:val="3"/>
        </w:numPr>
        <w:suppressAutoHyphens w:val="0"/>
        <w:rPr>
          <w:lang w:val="en-US" w:bidi="en-US"/>
        </w:rPr>
      </w:pPr>
      <w:proofErr w:type="spellStart"/>
      <w:r w:rsidRPr="004C6CBA">
        <w:rPr>
          <w:b/>
          <w:lang w:val="en-US" w:bidi="en-US"/>
        </w:rPr>
        <w:t>Demirdjian</w:t>
      </w:r>
      <w:proofErr w:type="spellEnd"/>
      <w:r w:rsidRPr="004C6CBA">
        <w:rPr>
          <w:b/>
          <w:lang w:val="en-US" w:bidi="en-US"/>
        </w:rPr>
        <w:t xml:space="preserve"> Z.</w:t>
      </w:r>
      <w:r w:rsidRPr="004C6CBA">
        <w:rPr>
          <w:lang w:val="en-US" w:bidi="en-US"/>
        </w:rPr>
        <w:t xml:space="preserve"> </w:t>
      </w:r>
      <w:r w:rsidRPr="004C6CBA">
        <w:rPr>
          <w:kern w:val="24"/>
          <w:lang w:val="en-US" w:bidi="en-US"/>
        </w:rPr>
        <w:t>The virtual university: is it a panacea or a Pandora’s Box?</w:t>
      </w:r>
      <w:r w:rsidRPr="004C6CBA">
        <w:rPr>
          <w:lang w:val="en-US" w:bidi="en-US"/>
        </w:rPr>
        <w:t xml:space="preserve"> Academy of Bus</w:t>
      </w:r>
      <w:r w:rsidRPr="004C6CBA">
        <w:rPr>
          <w:lang w:val="en-US" w:bidi="en-US"/>
        </w:rPr>
        <w:t>i</w:t>
      </w:r>
      <w:r w:rsidRPr="004C6CBA">
        <w:rPr>
          <w:lang w:val="en-US" w:bidi="en-US"/>
        </w:rPr>
        <w:t>ness &amp; Administrative Sciences Conference. Cancun, Mexico, 2003</w:t>
      </w:r>
    </w:p>
    <w:p w:rsidR="00B661FF" w:rsidRDefault="00B661FF" w:rsidP="005B524E">
      <w:pPr>
        <w:numPr>
          <w:ilvl w:val="0"/>
          <w:numId w:val="3"/>
        </w:numPr>
        <w:suppressAutoHyphens w:val="0"/>
        <w:rPr>
          <w:lang w:val="en-US" w:eastAsia="ar-SA"/>
        </w:rPr>
      </w:pPr>
      <w:r w:rsidRPr="004C6CBA">
        <w:rPr>
          <w:b/>
          <w:lang w:val="en-US" w:eastAsia="ar-SA"/>
        </w:rPr>
        <w:t>Denisovas V.</w:t>
      </w:r>
      <w:r w:rsidRPr="004C6CBA">
        <w:rPr>
          <w:lang w:val="en-US" w:eastAsia="ar-SA"/>
        </w:rPr>
        <w:t xml:space="preserve"> </w:t>
      </w:r>
      <w:r w:rsidRPr="00543D58">
        <w:rPr>
          <w:lang w:eastAsia="ar-SA"/>
        </w:rPr>
        <w:t>Elektroninių paslaugų švietimui kitose šalyse analizė</w:t>
      </w:r>
      <w:r w:rsidRPr="004C6CBA">
        <w:rPr>
          <w:lang w:val="en-US" w:eastAsia="ar-SA"/>
        </w:rPr>
        <w:t>, 2007</w:t>
      </w:r>
    </w:p>
    <w:p w:rsidR="002B3AB8" w:rsidRPr="002B3AB8" w:rsidRDefault="002B3AB8" w:rsidP="005B524E">
      <w:pPr>
        <w:numPr>
          <w:ilvl w:val="0"/>
          <w:numId w:val="3"/>
        </w:numPr>
        <w:suppressAutoHyphens w:val="0"/>
        <w:rPr>
          <w:lang w:eastAsia="ar-SA"/>
        </w:rPr>
      </w:pPr>
      <w:r w:rsidRPr="002B3AB8">
        <w:rPr>
          <w:b/>
          <w:lang w:eastAsia="ar-SA"/>
        </w:rPr>
        <w:t>Dičpetris L</w:t>
      </w:r>
      <w:r w:rsidRPr="002B3AB8">
        <w:rPr>
          <w:lang w:eastAsia="ar-SA"/>
        </w:rPr>
        <w:t>. VPP projekto tinkamumo, naudos ir atsipirkimo vertinimas. Praktiniai aspektai viešajam sektoriui</w:t>
      </w:r>
      <w:r>
        <w:rPr>
          <w:lang w:eastAsia="ar-SA"/>
        </w:rPr>
        <w:t>, 2004</w:t>
      </w:r>
    </w:p>
    <w:p w:rsidR="00B661FF" w:rsidRPr="004C6CBA" w:rsidRDefault="00B661FF" w:rsidP="005B524E">
      <w:pPr>
        <w:numPr>
          <w:ilvl w:val="0"/>
          <w:numId w:val="3"/>
        </w:numPr>
        <w:suppressAutoHyphens w:val="0"/>
        <w:rPr>
          <w:lang w:val="en-US" w:bidi="en-US"/>
        </w:rPr>
      </w:pPr>
      <w:proofErr w:type="spellStart"/>
      <w:r w:rsidRPr="004C6CBA">
        <w:rPr>
          <w:b/>
          <w:lang w:val="en-US" w:bidi="en-US"/>
        </w:rPr>
        <w:t>DiPiro</w:t>
      </w:r>
      <w:proofErr w:type="spellEnd"/>
      <w:r w:rsidRPr="004C6CBA">
        <w:rPr>
          <w:b/>
          <w:lang w:val="en-US" w:bidi="en-US"/>
        </w:rPr>
        <w:t xml:space="preserve"> J.T.</w:t>
      </w:r>
      <w:r w:rsidRPr="004C6CBA">
        <w:rPr>
          <w:lang w:val="en-US" w:bidi="en-US"/>
        </w:rPr>
        <w:t xml:space="preserve"> The virtual university – higher education 'on-line'. Am. J. Pharm. Educ. 63, 170-</w:t>
      </w:r>
      <w:r w:rsidRPr="004C6CBA">
        <w:rPr>
          <w:lang w:val="en-US" w:bidi="en-US"/>
        </w:rPr>
        <w:lastRenderedPageBreak/>
        <w:t>174, 1999</w:t>
      </w:r>
    </w:p>
    <w:p w:rsidR="00B661FF" w:rsidRPr="004C6CBA" w:rsidRDefault="00B661FF" w:rsidP="005B524E">
      <w:pPr>
        <w:numPr>
          <w:ilvl w:val="0"/>
          <w:numId w:val="3"/>
        </w:numPr>
        <w:suppressAutoHyphens w:val="0"/>
        <w:rPr>
          <w:lang w:val="en-US" w:eastAsia="ar-SA"/>
        </w:rPr>
      </w:pPr>
      <w:proofErr w:type="spellStart"/>
      <w:r w:rsidRPr="004C6CBA">
        <w:rPr>
          <w:b/>
          <w:lang w:val="en-US" w:eastAsia="ar-SA"/>
        </w:rPr>
        <w:t>Duin</w:t>
      </w:r>
      <w:proofErr w:type="spellEnd"/>
      <w:r w:rsidRPr="004C6CBA">
        <w:rPr>
          <w:b/>
          <w:lang w:val="en-US" w:eastAsia="ar-SA"/>
        </w:rPr>
        <w:t xml:space="preserve"> A.H. Baer L.L.</w:t>
      </w:r>
      <w:r w:rsidRPr="004C6CBA">
        <w:rPr>
          <w:lang w:val="en-US" w:eastAsia="ar-SA"/>
        </w:rPr>
        <w:t xml:space="preserve"> Transforming Higher Education: Building a Statewide Partnership, 1999</w:t>
      </w:r>
    </w:p>
    <w:p w:rsidR="00B661FF" w:rsidRPr="004C6CBA" w:rsidRDefault="00B661FF" w:rsidP="005B524E">
      <w:pPr>
        <w:pStyle w:val="ListParagraph"/>
        <w:numPr>
          <w:ilvl w:val="0"/>
          <w:numId w:val="3"/>
        </w:numPr>
        <w:suppressAutoHyphens w:val="0"/>
        <w:rPr>
          <w:lang w:val="en-US"/>
        </w:rPr>
      </w:pPr>
      <w:proofErr w:type="spellStart"/>
      <w:r w:rsidRPr="004C6CBA">
        <w:rPr>
          <w:b/>
          <w:lang w:val="en-US"/>
        </w:rPr>
        <w:t>Eisenhardt</w:t>
      </w:r>
      <w:proofErr w:type="spellEnd"/>
      <w:r w:rsidRPr="004C6CBA">
        <w:rPr>
          <w:b/>
          <w:lang w:val="en-US"/>
        </w:rPr>
        <w:t xml:space="preserve"> K.M.</w:t>
      </w:r>
      <w:r w:rsidRPr="004C6CBA">
        <w:rPr>
          <w:lang w:val="en-US"/>
        </w:rPr>
        <w:t xml:space="preserve"> Building theories form case study research, Academy of Management R</w:t>
      </w:r>
      <w:r w:rsidRPr="004C6CBA">
        <w:rPr>
          <w:lang w:val="en-US"/>
        </w:rPr>
        <w:t>e</w:t>
      </w:r>
      <w:r w:rsidRPr="004C6CBA">
        <w:rPr>
          <w:lang w:val="en-US"/>
        </w:rPr>
        <w:t>view, Vol. 14, pp. 532-50, 1989</w:t>
      </w:r>
    </w:p>
    <w:p w:rsidR="00B661FF" w:rsidRPr="004C6CBA" w:rsidRDefault="00B661FF" w:rsidP="005B524E">
      <w:pPr>
        <w:numPr>
          <w:ilvl w:val="0"/>
          <w:numId w:val="3"/>
        </w:numPr>
        <w:suppressAutoHyphens w:val="0"/>
        <w:rPr>
          <w:lang w:val="en-US" w:eastAsia="ar-SA"/>
        </w:rPr>
      </w:pPr>
      <w:r w:rsidRPr="004C6CBA">
        <w:rPr>
          <w:b/>
          <w:lang w:val="en-US" w:eastAsia="ar-SA"/>
        </w:rPr>
        <w:t xml:space="preserve">Farrell, Glen M. et al. </w:t>
      </w:r>
      <w:proofErr w:type="gramStart"/>
      <w:r w:rsidRPr="004C6CBA">
        <w:rPr>
          <w:b/>
          <w:lang w:val="en-US" w:eastAsia="ar-SA"/>
        </w:rPr>
        <w:t>eds</w:t>
      </w:r>
      <w:proofErr w:type="gramEnd"/>
      <w:r w:rsidRPr="004C6CBA">
        <w:rPr>
          <w:lang w:val="en-US" w:eastAsia="ar-SA"/>
        </w:rPr>
        <w:t>. The Development of Virtual Education: A global perspective, 1999.</w:t>
      </w:r>
    </w:p>
    <w:p w:rsidR="00B661FF" w:rsidRPr="004C6CBA" w:rsidRDefault="00B661FF" w:rsidP="005B524E">
      <w:pPr>
        <w:numPr>
          <w:ilvl w:val="0"/>
          <w:numId w:val="3"/>
        </w:numPr>
        <w:suppressAutoHyphens w:val="0"/>
        <w:rPr>
          <w:lang w:val="en-US"/>
        </w:rPr>
      </w:pPr>
      <w:r w:rsidRPr="004C6CBA">
        <w:rPr>
          <w:b/>
          <w:lang w:val="en-US" w:eastAsia="ar-SA"/>
        </w:rPr>
        <w:t>Farrell, Glen M.</w:t>
      </w:r>
      <w:r w:rsidRPr="004C6CBA">
        <w:rPr>
          <w:lang w:val="en-US" w:eastAsia="ar-SA"/>
        </w:rPr>
        <w:t xml:space="preserve"> </w:t>
      </w:r>
      <w:r w:rsidRPr="004C6CBA">
        <w:rPr>
          <w:lang w:val="en-US"/>
        </w:rPr>
        <w:t>The Changing Faces of Virtual Education</w:t>
      </w:r>
      <w:r w:rsidRPr="004C6CBA">
        <w:rPr>
          <w:lang w:val="en-US" w:eastAsia="ar-SA"/>
        </w:rPr>
        <w:t xml:space="preserve">, </w:t>
      </w:r>
      <w:r w:rsidRPr="004C6CBA">
        <w:rPr>
          <w:lang w:val="en-US"/>
        </w:rPr>
        <w:t>The Commonwealth of Learning, 2001</w:t>
      </w:r>
    </w:p>
    <w:p w:rsidR="00B661FF" w:rsidRPr="004C6CBA" w:rsidRDefault="00B661FF" w:rsidP="005B524E">
      <w:pPr>
        <w:numPr>
          <w:ilvl w:val="0"/>
          <w:numId w:val="3"/>
        </w:numPr>
        <w:suppressAutoHyphens w:val="0"/>
        <w:rPr>
          <w:lang w:val="en-US" w:eastAsia="ar-SA"/>
        </w:rPr>
      </w:pPr>
      <w:r w:rsidRPr="004C6CBA">
        <w:rPr>
          <w:b/>
          <w:lang w:val="en-US" w:eastAsia="ar-SA"/>
        </w:rPr>
        <w:t>Goddard J., Cornford, J.</w:t>
      </w:r>
      <w:r w:rsidRPr="004C6CBA">
        <w:rPr>
          <w:lang w:val="en-US" w:eastAsia="ar-SA"/>
        </w:rPr>
        <w:t xml:space="preserve"> Space, Place and the Virtual University: The Virtual University is the University made concrete. 2004</w:t>
      </w:r>
    </w:p>
    <w:p w:rsidR="00B661FF" w:rsidRPr="001D1438" w:rsidRDefault="004600AA" w:rsidP="005B524E">
      <w:pPr>
        <w:numPr>
          <w:ilvl w:val="0"/>
          <w:numId w:val="3"/>
        </w:numPr>
        <w:suppressAutoHyphens w:val="0"/>
      </w:pPr>
      <w:r>
        <w:rPr>
          <w:b/>
        </w:rPr>
        <w:t>Gudelis</w:t>
      </w:r>
      <w:r w:rsidR="00B661FF" w:rsidRPr="001D1438">
        <w:rPr>
          <w:b/>
        </w:rPr>
        <w:t xml:space="preserve"> D., Rozenbergaitė V.</w:t>
      </w:r>
      <w:r w:rsidR="00B661FF" w:rsidRPr="001D1438">
        <w:t xml:space="preserve"> Viešojo ir privataus sektorių partnerystės galimybės. </w:t>
      </w:r>
      <w:r w:rsidR="00B661FF" w:rsidRPr="001D1438">
        <w:rPr>
          <w:i/>
        </w:rPr>
        <w:t>Viešoji p</w:t>
      </w:r>
      <w:r w:rsidR="00B661FF" w:rsidRPr="001D1438">
        <w:rPr>
          <w:i/>
        </w:rPr>
        <w:t>o</w:t>
      </w:r>
      <w:r w:rsidR="00B661FF" w:rsidRPr="001D1438">
        <w:rPr>
          <w:i/>
        </w:rPr>
        <w:t>litika ir administravimas. Nr.8</w:t>
      </w:r>
      <w:r w:rsidR="00B661FF" w:rsidRPr="001D1438">
        <w:t>, pp.58-73, 2004</w:t>
      </w:r>
    </w:p>
    <w:p w:rsidR="00B661FF" w:rsidRPr="00C00C87" w:rsidRDefault="004600AA" w:rsidP="005B524E">
      <w:pPr>
        <w:pStyle w:val="BodyText"/>
        <w:numPr>
          <w:ilvl w:val="0"/>
          <w:numId w:val="3"/>
        </w:numPr>
        <w:suppressAutoHyphens w:val="0"/>
      </w:pPr>
      <w:r>
        <w:rPr>
          <w:b/>
        </w:rPr>
        <w:t>Gudelis</w:t>
      </w:r>
      <w:r w:rsidR="00B661FF" w:rsidRPr="00776F30">
        <w:rPr>
          <w:b/>
        </w:rPr>
        <w:t xml:space="preserve"> D., Rozenbergaitė V.</w:t>
      </w:r>
      <w:r w:rsidR="00B661FF">
        <w:t xml:space="preserve"> Viešojo ir privataus sektorių partnerystės galimybės</w:t>
      </w:r>
      <w:r w:rsidR="00B661FF" w:rsidRPr="00264FD2">
        <w:rPr>
          <w:i/>
        </w:rPr>
        <w:t>. Viešoji p</w:t>
      </w:r>
      <w:r w:rsidR="00B661FF" w:rsidRPr="00264FD2">
        <w:rPr>
          <w:i/>
        </w:rPr>
        <w:t>o</w:t>
      </w:r>
      <w:r w:rsidR="00B661FF" w:rsidRPr="00264FD2">
        <w:rPr>
          <w:i/>
        </w:rPr>
        <w:t>litika ir administravimas.</w:t>
      </w:r>
      <w:r w:rsidR="00B661FF">
        <w:rPr>
          <w:i/>
        </w:rPr>
        <w:t xml:space="preserve"> Nr.8</w:t>
      </w:r>
      <w:r w:rsidR="00B661FF">
        <w:t>, pp.58-73., 2004</w:t>
      </w:r>
    </w:p>
    <w:p w:rsidR="00B661FF" w:rsidRPr="004C6CBA" w:rsidRDefault="00B661FF" w:rsidP="005B524E">
      <w:pPr>
        <w:pStyle w:val="ListParagraph"/>
        <w:numPr>
          <w:ilvl w:val="0"/>
          <w:numId w:val="3"/>
        </w:numPr>
        <w:suppressAutoHyphens w:val="0"/>
        <w:rPr>
          <w:lang w:val="en-US"/>
        </w:rPr>
      </w:pPr>
      <w:r w:rsidRPr="004C6CBA">
        <w:rPr>
          <w:b/>
          <w:lang w:val="en-US"/>
        </w:rPr>
        <w:t>Guest at el.</w:t>
      </w:r>
      <w:r w:rsidRPr="004C6CBA">
        <w:rPr>
          <w:lang w:val="en-US"/>
        </w:rPr>
        <w:t xml:space="preserve"> How Many Interviews Are Enough? An Experiment with Data Saturation (Field Methods, Vol. 18, No. 1, February 2006)</w:t>
      </w:r>
    </w:p>
    <w:p w:rsidR="00B661FF" w:rsidRPr="004C6CBA" w:rsidRDefault="00B661FF" w:rsidP="005B524E">
      <w:pPr>
        <w:numPr>
          <w:ilvl w:val="0"/>
          <w:numId w:val="3"/>
        </w:numPr>
        <w:suppressAutoHyphens w:val="0"/>
        <w:rPr>
          <w:lang w:val="en-US"/>
        </w:rPr>
      </w:pPr>
      <w:r w:rsidRPr="004C6CBA">
        <w:rPr>
          <w:b/>
          <w:lang w:val="en-US" w:bidi="en-US"/>
        </w:rPr>
        <w:t>Guidelines for Successful Public</w:t>
      </w:r>
      <w:r w:rsidRPr="004C6CBA">
        <w:rPr>
          <w:lang w:val="en-US" w:bidi="en-US"/>
        </w:rPr>
        <w:t xml:space="preserve"> </w:t>
      </w:r>
      <w:r w:rsidRPr="000F035A">
        <w:rPr>
          <w:b/>
          <w:lang w:val="en-US" w:bidi="en-US"/>
        </w:rPr>
        <w:t>– Private Partnerships</w:t>
      </w:r>
      <w:r w:rsidRPr="004C6CBA">
        <w:rPr>
          <w:lang w:val="en-US" w:bidi="en-US"/>
        </w:rPr>
        <w:t>. 2003</w:t>
      </w:r>
    </w:p>
    <w:p w:rsidR="00B661FF" w:rsidRPr="004C6CBA" w:rsidRDefault="00B661FF" w:rsidP="005B524E">
      <w:pPr>
        <w:numPr>
          <w:ilvl w:val="0"/>
          <w:numId w:val="3"/>
        </w:numPr>
        <w:suppressAutoHyphens w:val="0"/>
        <w:rPr>
          <w:b/>
          <w:kern w:val="0"/>
          <w:lang w:val="en-US" w:eastAsia="lt-LT"/>
        </w:rPr>
      </w:pPr>
      <w:r w:rsidRPr="004C6CBA">
        <w:rPr>
          <w:b/>
          <w:kern w:val="0"/>
          <w:lang w:val="en-US" w:eastAsia="lt-LT"/>
        </w:rPr>
        <w:t>Guidelines on best practice for the audit of risk in public/private partnerships</w:t>
      </w:r>
      <w:r w:rsidRPr="004C6CBA">
        <w:rPr>
          <w:kern w:val="0"/>
          <w:lang w:val="en-US" w:eastAsia="lt-LT"/>
        </w:rPr>
        <w:t xml:space="preserve">. INTOSAI Working Group on the Audit of </w:t>
      </w:r>
      <w:r w:rsidR="00543D58" w:rsidRPr="004C6CBA">
        <w:rPr>
          <w:kern w:val="0"/>
          <w:lang w:val="en-US" w:eastAsia="lt-LT"/>
        </w:rPr>
        <w:t>Privatization</w:t>
      </w:r>
      <w:r w:rsidRPr="004C6CBA">
        <w:rPr>
          <w:kern w:val="0"/>
          <w:lang w:val="en-US" w:eastAsia="lt-LT"/>
        </w:rPr>
        <w:t>, November 2007</w:t>
      </w:r>
    </w:p>
    <w:p w:rsidR="00B661FF" w:rsidRPr="004C6CBA" w:rsidRDefault="004600AA" w:rsidP="005B524E">
      <w:pPr>
        <w:numPr>
          <w:ilvl w:val="0"/>
          <w:numId w:val="3"/>
        </w:numPr>
        <w:suppressAutoHyphens w:val="0"/>
        <w:rPr>
          <w:lang w:val="en-US" w:eastAsia="ar-SA"/>
        </w:rPr>
      </w:pPr>
      <w:r>
        <w:rPr>
          <w:b/>
          <w:lang w:val="en-US" w:eastAsia="ar-SA"/>
        </w:rPr>
        <w:t>Hanna</w:t>
      </w:r>
      <w:r w:rsidR="00B661FF" w:rsidRPr="004C6CBA">
        <w:rPr>
          <w:b/>
          <w:lang w:val="en-US" w:eastAsia="ar-SA"/>
        </w:rPr>
        <w:t xml:space="preserve"> D.</w:t>
      </w:r>
      <w:r w:rsidR="00B661FF" w:rsidRPr="004C6CBA">
        <w:rPr>
          <w:lang w:val="en-US" w:eastAsia="ar-SA"/>
        </w:rPr>
        <w:t xml:space="preserve"> Higher Education in an Era of Digital Competition: Emerging Organizational Mo</w:t>
      </w:r>
      <w:r w:rsidR="00B661FF" w:rsidRPr="004C6CBA">
        <w:rPr>
          <w:lang w:val="en-US" w:eastAsia="ar-SA"/>
        </w:rPr>
        <w:t>d</w:t>
      </w:r>
      <w:r w:rsidR="00B661FF" w:rsidRPr="004C6CBA">
        <w:rPr>
          <w:lang w:val="en-US" w:eastAsia="ar-SA"/>
        </w:rPr>
        <w:t>els. Journal of Asynchronous Learning Networks 2.1 (March), 1998</w:t>
      </w:r>
    </w:p>
    <w:p w:rsidR="00B661FF" w:rsidRPr="004C6CBA" w:rsidRDefault="00B661FF" w:rsidP="005B524E">
      <w:pPr>
        <w:numPr>
          <w:ilvl w:val="0"/>
          <w:numId w:val="3"/>
        </w:numPr>
        <w:suppressAutoHyphens w:val="0"/>
        <w:rPr>
          <w:lang w:val="en-US" w:eastAsia="ar-SA"/>
        </w:rPr>
      </w:pPr>
      <w:r w:rsidRPr="004C6CBA">
        <w:rPr>
          <w:b/>
          <w:lang w:val="en-US"/>
        </w:rPr>
        <w:t>Healey J.</w:t>
      </w:r>
      <w:r w:rsidRPr="004C6CBA">
        <w:rPr>
          <w:lang w:val="en-US"/>
        </w:rPr>
        <w:t xml:space="preserve"> Statistics: A tool for social research. Belmont: Wadsworth</w:t>
      </w:r>
      <w:r w:rsidRPr="004C6CBA">
        <w:rPr>
          <w:lang w:val="en-US" w:eastAsia="ar-SA"/>
        </w:rPr>
        <w:t xml:space="preserve"> </w:t>
      </w:r>
      <w:r w:rsidRPr="004C6CBA">
        <w:rPr>
          <w:lang w:val="en-US"/>
        </w:rPr>
        <w:t>Publishing, 1995.</w:t>
      </w:r>
    </w:p>
    <w:p w:rsidR="00B661FF" w:rsidRPr="004C6CBA" w:rsidRDefault="004600AA" w:rsidP="005B524E">
      <w:pPr>
        <w:numPr>
          <w:ilvl w:val="0"/>
          <w:numId w:val="3"/>
        </w:numPr>
        <w:suppressAutoHyphens w:val="0"/>
        <w:rPr>
          <w:lang w:val="en-US" w:eastAsia="ar-SA"/>
        </w:rPr>
      </w:pPr>
      <w:r>
        <w:rPr>
          <w:b/>
          <w:lang w:val="en-US" w:eastAsia="ar-SA"/>
        </w:rPr>
        <w:t>Hurst</w:t>
      </w:r>
      <w:r w:rsidR="00B661FF" w:rsidRPr="004C6CBA">
        <w:rPr>
          <w:b/>
          <w:lang w:val="en-US" w:eastAsia="ar-SA"/>
        </w:rPr>
        <w:t xml:space="preserve"> F.</w:t>
      </w:r>
      <w:r w:rsidR="00B661FF" w:rsidRPr="004C6CBA">
        <w:rPr>
          <w:lang w:val="en-US" w:eastAsia="ar-SA"/>
        </w:rPr>
        <w:t xml:space="preserve"> So You Want to Start a Virtual University? On the Horizon 6.4: 4-8, 1998</w:t>
      </w:r>
    </w:p>
    <w:p w:rsidR="00B661FF" w:rsidRPr="004C6CBA" w:rsidRDefault="00B661FF" w:rsidP="005B524E">
      <w:pPr>
        <w:pStyle w:val="ListParagraph"/>
        <w:numPr>
          <w:ilvl w:val="0"/>
          <w:numId w:val="3"/>
        </w:numPr>
        <w:suppressAutoHyphens w:val="0"/>
        <w:rPr>
          <w:lang w:val="en-US"/>
        </w:rPr>
      </w:pPr>
      <w:r w:rsidRPr="004C6CBA">
        <w:rPr>
          <w:b/>
          <w:lang w:val="en-US"/>
        </w:rPr>
        <w:t>Yin R.K</w:t>
      </w:r>
      <w:r w:rsidRPr="004C6CBA">
        <w:rPr>
          <w:lang w:val="en-US"/>
        </w:rPr>
        <w:t>, Case Study Research: Design and Methods (Applied Social Research Methods), Sage Publications, Inc; 4th edition, 2008</w:t>
      </w:r>
    </w:p>
    <w:p w:rsidR="00B661FF" w:rsidRPr="004C6CBA" w:rsidRDefault="004600AA" w:rsidP="005B524E">
      <w:pPr>
        <w:numPr>
          <w:ilvl w:val="0"/>
          <w:numId w:val="3"/>
        </w:numPr>
        <w:suppressAutoHyphens w:val="0"/>
        <w:rPr>
          <w:sz w:val="22"/>
          <w:lang w:val="en-US" w:eastAsia="ar-SA"/>
        </w:rPr>
      </w:pPr>
      <w:proofErr w:type="spellStart"/>
      <w:r>
        <w:rPr>
          <w:b/>
          <w:lang w:val="en-US"/>
        </w:rPr>
        <w:t>Kaeter</w:t>
      </w:r>
      <w:proofErr w:type="spellEnd"/>
      <w:r w:rsidR="00B661FF" w:rsidRPr="004C6CBA">
        <w:rPr>
          <w:b/>
          <w:lang w:val="en-US"/>
        </w:rPr>
        <w:t xml:space="preserve"> M</w:t>
      </w:r>
      <w:r w:rsidR="00B661FF" w:rsidRPr="004C6CBA">
        <w:rPr>
          <w:lang w:val="en-US"/>
        </w:rPr>
        <w:t>. Virtual cap and gown. Training, 37 (9), 114-122, 2000</w:t>
      </w:r>
    </w:p>
    <w:p w:rsidR="00B661FF" w:rsidRPr="001D1438" w:rsidRDefault="00B661FF" w:rsidP="005B524E">
      <w:pPr>
        <w:numPr>
          <w:ilvl w:val="0"/>
          <w:numId w:val="3"/>
        </w:numPr>
        <w:suppressAutoHyphens w:val="0"/>
        <w:rPr>
          <w:lang w:eastAsia="ar-SA"/>
        </w:rPr>
      </w:pPr>
      <w:r w:rsidRPr="001D1438">
        <w:rPr>
          <w:b/>
        </w:rPr>
        <w:t>Kardelis K.</w:t>
      </w:r>
      <w:r w:rsidRPr="001D1438">
        <w:t xml:space="preserve"> Mokslinių tyrimų metodologija ir metodai. Kaunas: </w:t>
      </w:r>
      <w:proofErr w:type="spellStart"/>
      <w:r w:rsidRPr="001D1438">
        <w:t>Judex</w:t>
      </w:r>
      <w:proofErr w:type="spellEnd"/>
      <w:r w:rsidRPr="001D1438">
        <w:t>, 2002</w:t>
      </w:r>
    </w:p>
    <w:p w:rsidR="00B661FF" w:rsidRPr="004C6CBA" w:rsidRDefault="00B661FF" w:rsidP="005B524E">
      <w:pPr>
        <w:numPr>
          <w:ilvl w:val="0"/>
          <w:numId w:val="3"/>
        </w:numPr>
        <w:suppressAutoHyphens w:val="0"/>
        <w:rPr>
          <w:lang w:val="en-US" w:bidi="en-US"/>
        </w:rPr>
      </w:pPr>
      <w:proofErr w:type="spellStart"/>
      <w:r w:rsidRPr="004C6CBA">
        <w:rPr>
          <w:b/>
          <w:lang w:val="en-US" w:bidi="en-US"/>
        </w:rPr>
        <w:t>Landow</w:t>
      </w:r>
      <w:proofErr w:type="spellEnd"/>
      <w:r w:rsidRPr="004C6CBA">
        <w:rPr>
          <w:b/>
          <w:lang w:val="en-US" w:bidi="en-US"/>
        </w:rPr>
        <w:t xml:space="preserve"> G.P</w:t>
      </w:r>
      <w:r w:rsidRPr="004C6CBA">
        <w:rPr>
          <w:lang w:val="en-US" w:bidi="en-US"/>
        </w:rPr>
        <w:t>. Newman and the Idea of an Electronic University, Yale University Press, New Haven, 2003</w:t>
      </w:r>
    </w:p>
    <w:p w:rsidR="00B661FF" w:rsidRPr="004C6CBA" w:rsidRDefault="00B661FF" w:rsidP="005B524E">
      <w:pPr>
        <w:numPr>
          <w:ilvl w:val="0"/>
          <w:numId w:val="3"/>
        </w:numPr>
        <w:suppressAutoHyphens w:val="0"/>
        <w:rPr>
          <w:lang w:val="en-US" w:bidi="en-US"/>
        </w:rPr>
      </w:pPr>
      <w:proofErr w:type="spellStart"/>
      <w:r w:rsidRPr="004C6CBA">
        <w:rPr>
          <w:b/>
          <w:lang w:val="en-US" w:bidi="en-US"/>
        </w:rPr>
        <w:t>Lefrere</w:t>
      </w:r>
      <w:proofErr w:type="spellEnd"/>
      <w:r w:rsidRPr="004C6CBA">
        <w:rPr>
          <w:b/>
          <w:lang w:val="en-US" w:bidi="en-US"/>
        </w:rPr>
        <w:t xml:space="preserve"> P.</w:t>
      </w:r>
      <w:r w:rsidRPr="004C6CBA">
        <w:rPr>
          <w:lang w:val="en-US" w:bidi="en-US"/>
        </w:rPr>
        <w:t xml:space="preserve"> Real options for virtual universities, 2003</w:t>
      </w:r>
    </w:p>
    <w:p w:rsidR="00B661FF" w:rsidRPr="004C6CBA" w:rsidRDefault="000F035A" w:rsidP="005B524E">
      <w:pPr>
        <w:numPr>
          <w:ilvl w:val="0"/>
          <w:numId w:val="3"/>
        </w:numPr>
        <w:suppressAutoHyphens w:val="0"/>
        <w:rPr>
          <w:lang w:val="en-US"/>
        </w:rPr>
      </w:pPr>
      <w:proofErr w:type="spellStart"/>
      <w:r>
        <w:rPr>
          <w:b/>
          <w:lang w:val="en-US" w:bidi="en-US"/>
        </w:rPr>
        <w:t>Leng</w:t>
      </w:r>
      <w:proofErr w:type="spellEnd"/>
      <w:r>
        <w:rPr>
          <w:b/>
          <w:lang w:val="en-US" w:bidi="en-US"/>
        </w:rPr>
        <w:t xml:space="preserve"> P.H., </w:t>
      </w:r>
      <w:proofErr w:type="spellStart"/>
      <w:r>
        <w:rPr>
          <w:b/>
          <w:lang w:val="en-US" w:bidi="en-US"/>
        </w:rPr>
        <w:t>Kalmangerai</w:t>
      </w:r>
      <w:proofErr w:type="spellEnd"/>
      <w:r w:rsidR="00B661FF" w:rsidRPr="004C6CBA">
        <w:rPr>
          <w:b/>
          <w:lang w:val="en-US" w:bidi="en-US"/>
        </w:rPr>
        <w:t xml:space="preserve"> Y.M., &amp; </w:t>
      </w:r>
      <w:proofErr w:type="spellStart"/>
      <w:r w:rsidR="00B661FF" w:rsidRPr="004C6CBA">
        <w:rPr>
          <w:b/>
          <w:lang w:val="en-US" w:bidi="en-US"/>
        </w:rPr>
        <w:t>Gruengard</w:t>
      </w:r>
      <w:proofErr w:type="spellEnd"/>
      <w:r w:rsidR="00B661FF" w:rsidRPr="004C6CBA">
        <w:rPr>
          <w:b/>
          <w:lang w:val="en-US" w:bidi="en-US"/>
        </w:rPr>
        <w:t xml:space="preserve"> E. </w:t>
      </w:r>
      <w:r w:rsidR="00B661FF" w:rsidRPr="004C6CBA">
        <w:rPr>
          <w:lang w:val="en-US" w:bidi="en-US"/>
        </w:rPr>
        <w:t>University education via the Internet: a new paradigm for public-private partnership. 2000</w:t>
      </w:r>
    </w:p>
    <w:p w:rsidR="00B661FF" w:rsidRPr="001D1438" w:rsidRDefault="00B661FF" w:rsidP="005B524E">
      <w:pPr>
        <w:numPr>
          <w:ilvl w:val="0"/>
          <w:numId w:val="3"/>
        </w:numPr>
        <w:suppressAutoHyphens w:val="0"/>
      </w:pPr>
      <w:r w:rsidRPr="001D1438">
        <w:rPr>
          <w:b/>
        </w:rPr>
        <w:t>Lietuvos Respublikos Investicijų įstatymo 2, 4 straipsnių papildymo ir pakeitimo ir Įstatymo papildymo ketvirtuoju (1) skirsniu įstatymas</w:t>
      </w:r>
      <w:r w:rsidRPr="001D1438">
        <w:t xml:space="preserve"> 2009 m. birželio 16 d. Nr. XI-299, Vi</w:t>
      </w:r>
      <w:r w:rsidRPr="001D1438">
        <w:t>l</w:t>
      </w:r>
      <w:r w:rsidRPr="001D1438">
        <w:lastRenderedPageBreak/>
        <w:t>nius (</w:t>
      </w:r>
      <w:proofErr w:type="spellStart"/>
      <w:r w:rsidRPr="001D1438">
        <w:t>Žin</w:t>
      </w:r>
      <w:proofErr w:type="spellEnd"/>
      <w:r w:rsidRPr="001D1438">
        <w:t>., 1999, Nr. 66-2127; 2001, Nr. 64-2329; 2003, Nr. 69-3119)</w:t>
      </w:r>
    </w:p>
    <w:p w:rsidR="00B661FF" w:rsidRPr="001D1438" w:rsidRDefault="00B661FF" w:rsidP="005B524E">
      <w:pPr>
        <w:pStyle w:val="BodyText"/>
        <w:numPr>
          <w:ilvl w:val="0"/>
          <w:numId w:val="3"/>
        </w:numPr>
        <w:suppressAutoHyphens w:val="0"/>
        <w:rPr>
          <w:lang w:eastAsia="ar-SA"/>
        </w:rPr>
      </w:pPr>
      <w:r w:rsidRPr="001D1438">
        <w:rPr>
          <w:rFonts w:eastAsia="Arial"/>
          <w:b/>
          <w:lang w:bidi="en-US"/>
        </w:rPr>
        <w:t>L</w:t>
      </w:r>
      <w:r w:rsidRPr="001D1438">
        <w:rPr>
          <w:b/>
          <w:lang w:bidi="en-US"/>
        </w:rPr>
        <w:t>ietuvos virtualaus universiteto 2007–2012 metų programa</w:t>
      </w:r>
      <w:r w:rsidRPr="001D1438">
        <w:rPr>
          <w:lang w:bidi="en-US"/>
        </w:rPr>
        <w:t xml:space="preserve">, </w:t>
      </w:r>
      <w:r w:rsidRPr="001D1438">
        <w:rPr>
          <w:lang w:eastAsia="ar-SA"/>
        </w:rPr>
        <w:t>2007 m. balandžio 27 d. Nr. ISAK-791</w:t>
      </w:r>
    </w:p>
    <w:p w:rsidR="00B661FF" w:rsidRPr="004C6CBA" w:rsidRDefault="004600AA" w:rsidP="005B524E">
      <w:pPr>
        <w:numPr>
          <w:ilvl w:val="0"/>
          <w:numId w:val="3"/>
        </w:numPr>
        <w:suppressAutoHyphens w:val="0"/>
        <w:rPr>
          <w:lang w:val="en-US"/>
        </w:rPr>
      </w:pPr>
      <w:r>
        <w:rPr>
          <w:b/>
          <w:lang w:val="en-US"/>
        </w:rPr>
        <w:t>Mabizela</w:t>
      </w:r>
      <w:r w:rsidR="00B661FF" w:rsidRPr="004C6CBA">
        <w:rPr>
          <w:b/>
          <w:lang w:val="en-US"/>
        </w:rPr>
        <w:t xml:space="preserve"> M.</w:t>
      </w:r>
      <w:r w:rsidR="00B661FF" w:rsidRPr="004C6CBA">
        <w:rPr>
          <w:lang w:val="en-US"/>
        </w:rPr>
        <w:t xml:space="preserve"> The Business of Higher Education: A Study of Public-Private Partnerships in the Provision of Higher Education in South Africa, Publisher: Human Sciences Research Council. 2005</w:t>
      </w:r>
    </w:p>
    <w:p w:rsidR="00B661FF" w:rsidRPr="004C6CBA" w:rsidRDefault="00B661FF" w:rsidP="005B524E">
      <w:pPr>
        <w:numPr>
          <w:ilvl w:val="0"/>
          <w:numId w:val="3"/>
        </w:numPr>
        <w:suppressAutoHyphens w:val="0"/>
        <w:rPr>
          <w:lang w:val="en-US" w:eastAsia="ar-SA"/>
        </w:rPr>
      </w:pPr>
      <w:r w:rsidRPr="004C6CBA">
        <w:rPr>
          <w:b/>
          <w:lang w:val="en-US" w:eastAsia="ar-SA"/>
        </w:rPr>
        <w:t>Mansour A. Al-</w:t>
      </w:r>
      <w:proofErr w:type="spellStart"/>
      <w:r w:rsidRPr="004C6CBA">
        <w:rPr>
          <w:b/>
          <w:lang w:val="en-US" w:eastAsia="ar-SA"/>
        </w:rPr>
        <w:t>Shehri</w:t>
      </w:r>
      <w:proofErr w:type="spellEnd"/>
      <w:r w:rsidRPr="004C6CBA">
        <w:rPr>
          <w:b/>
          <w:lang w:val="en-US" w:eastAsia="ar-SA"/>
        </w:rPr>
        <w:t>.</w:t>
      </w:r>
      <w:r w:rsidRPr="004C6CBA">
        <w:rPr>
          <w:lang w:val="en-US" w:eastAsia="ar-SA"/>
        </w:rPr>
        <w:t xml:space="preserve"> A virtual university: A proposed model, 2004</w:t>
      </w:r>
    </w:p>
    <w:p w:rsidR="00B661FF" w:rsidRPr="004C6CBA" w:rsidRDefault="00B661FF" w:rsidP="005B524E">
      <w:pPr>
        <w:numPr>
          <w:ilvl w:val="0"/>
          <w:numId w:val="3"/>
        </w:numPr>
        <w:suppressAutoHyphens w:val="0"/>
        <w:rPr>
          <w:lang w:val="en-US" w:eastAsia="ar-SA"/>
        </w:rPr>
      </w:pPr>
      <w:r w:rsidRPr="004C6CBA">
        <w:rPr>
          <w:rFonts w:eastAsia="Bold" w:cs="Bold"/>
          <w:b/>
          <w:lang w:val="en-US" w:eastAsia="ar-SA"/>
        </w:rPr>
        <w:t xml:space="preserve">Mason R., </w:t>
      </w:r>
      <w:proofErr w:type="spellStart"/>
      <w:r w:rsidRPr="004C6CBA">
        <w:rPr>
          <w:rFonts w:eastAsia="Bold" w:cs="Bold"/>
          <w:b/>
          <w:lang w:val="en-US" w:eastAsia="ar-SA"/>
        </w:rPr>
        <w:t>Rennie</w:t>
      </w:r>
      <w:proofErr w:type="spellEnd"/>
      <w:r w:rsidRPr="004C6CBA">
        <w:rPr>
          <w:rFonts w:eastAsia="Bold" w:cs="Bold"/>
          <w:b/>
          <w:lang w:val="en-US" w:eastAsia="ar-SA"/>
        </w:rPr>
        <w:t xml:space="preserve"> F.</w:t>
      </w:r>
      <w:r w:rsidRPr="004C6CBA">
        <w:rPr>
          <w:rFonts w:eastAsia="Bold" w:cs="Bold"/>
          <w:lang w:val="en-US" w:eastAsia="ar-SA"/>
        </w:rPr>
        <w:t xml:space="preserve"> UK Models of Virtual Universities, </w:t>
      </w:r>
      <w:r w:rsidRPr="004C6CBA">
        <w:rPr>
          <w:lang w:val="en-US" w:eastAsia="ar-SA"/>
        </w:rPr>
        <w:t>Proceedings of the International Co</w:t>
      </w:r>
      <w:r w:rsidRPr="004C6CBA">
        <w:rPr>
          <w:lang w:val="en-US" w:eastAsia="ar-SA"/>
        </w:rPr>
        <w:t>n</w:t>
      </w:r>
      <w:r w:rsidRPr="004C6CBA">
        <w:rPr>
          <w:lang w:val="en-US" w:eastAsia="ar-SA"/>
        </w:rPr>
        <w:t>ference on Computers in Education (ICCE’02), 2002</w:t>
      </w:r>
    </w:p>
    <w:p w:rsidR="00B661FF" w:rsidRPr="004C6CBA" w:rsidRDefault="00B661FF" w:rsidP="005B524E">
      <w:pPr>
        <w:pStyle w:val="ListParagraph"/>
        <w:numPr>
          <w:ilvl w:val="0"/>
          <w:numId w:val="3"/>
        </w:numPr>
        <w:suppressAutoHyphens w:val="0"/>
        <w:rPr>
          <w:lang w:val="en-US"/>
        </w:rPr>
      </w:pPr>
      <w:r w:rsidRPr="004C6CBA">
        <w:rPr>
          <w:b/>
          <w:lang w:val="en-US"/>
        </w:rPr>
        <w:t>McNamara C.</w:t>
      </w:r>
      <w:r w:rsidRPr="004C6CBA">
        <w:rPr>
          <w:lang w:val="en-US"/>
        </w:rPr>
        <w:t>, General Guidelines for Conducting Interviews, Minnesota, 1999</w:t>
      </w:r>
    </w:p>
    <w:p w:rsidR="00B661FF" w:rsidRPr="001D1438" w:rsidRDefault="00B661FF" w:rsidP="005B524E">
      <w:pPr>
        <w:numPr>
          <w:ilvl w:val="0"/>
          <w:numId w:val="3"/>
        </w:numPr>
        <w:suppressAutoHyphens w:val="0"/>
      </w:pPr>
      <w:r w:rsidRPr="001D1438">
        <w:rPr>
          <w:b/>
        </w:rPr>
        <w:t xml:space="preserve">Narožnij V. </w:t>
      </w:r>
      <w:r w:rsidRPr="001D1438">
        <w:t>Virtualus mokymasis: tradicinių studijų ir nuotolinio mokymo metodų integracija, Magistro baigiamasis darbas, 2005</w:t>
      </w:r>
    </w:p>
    <w:p w:rsidR="00B661FF" w:rsidRPr="004C6CBA" w:rsidRDefault="00B661FF" w:rsidP="005B524E">
      <w:pPr>
        <w:numPr>
          <w:ilvl w:val="0"/>
          <w:numId w:val="3"/>
        </w:numPr>
        <w:suppressAutoHyphens w:val="0"/>
        <w:rPr>
          <w:lang w:val="en-US"/>
        </w:rPr>
      </w:pPr>
      <w:r w:rsidRPr="004C6CBA">
        <w:rPr>
          <w:b/>
          <w:lang w:val="en-US"/>
        </w:rPr>
        <w:t>Patrinos H.E. at al.</w:t>
      </w:r>
      <w:r w:rsidRPr="004C6CBA">
        <w:rPr>
          <w:lang w:val="en-US"/>
        </w:rPr>
        <w:t xml:space="preserve"> The Role and Impact of Public-Private Partnerships in Education, </w:t>
      </w:r>
      <w:r w:rsidRPr="004C6CBA">
        <w:rPr>
          <w:rFonts w:ascii="Minion-Regular" w:hAnsi="Minion-Regular" w:cs="Minion-Regular"/>
          <w:lang w:val="en-US" w:bidi="en-US"/>
        </w:rPr>
        <w:t>ISBN: 978-0-8213-7866-3, 2008</w:t>
      </w:r>
    </w:p>
    <w:p w:rsidR="00B661FF" w:rsidRPr="004C6CBA" w:rsidRDefault="00B661FF" w:rsidP="005B524E">
      <w:pPr>
        <w:numPr>
          <w:ilvl w:val="0"/>
          <w:numId w:val="3"/>
        </w:numPr>
        <w:suppressAutoHyphens w:val="0"/>
        <w:rPr>
          <w:lang w:val="en-US"/>
        </w:rPr>
      </w:pPr>
      <w:r w:rsidRPr="004C6CBA">
        <w:rPr>
          <w:rFonts w:ascii="Minion-Regular" w:hAnsi="Minion-Regular" w:cs="Minion-Regular"/>
          <w:b/>
          <w:lang w:val="en-US" w:bidi="en-US"/>
        </w:rPr>
        <w:t xml:space="preserve">Patrinos, H.A., Barrera-Osorio, F., </w:t>
      </w:r>
      <w:proofErr w:type="spellStart"/>
      <w:r w:rsidRPr="004C6CBA">
        <w:rPr>
          <w:rFonts w:ascii="Minion-Regular" w:hAnsi="Minion-Regular" w:cs="Minion-Regular"/>
          <w:b/>
          <w:lang w:val="en-US" w:bidi="en-US"/>
        </w:rPr>
        <w:t>Guáquet</w:t>
      </w:r>
      <w:proofErr w:type="spellEnd"/>
      <w:r w:rsidRPr="004C6CBA">
        <w:rPr>
          <w:rFonts w:ascii="Minion-Regular" w:hAnsi="Minion-Regular" w:cs="Minion-Regular"/>
          <w:b/>
          <w:lang w:val="en-US" w:bidi="en-US"/>
        </w:rPr>
        <w:t xml:space="preserve"> J.</w:t>
      </w:r>
      <w:r w:rsidRPr="004C6CBA">
        <w:rPr>
          <w:lang w:val="en-US"/>
        </w:rPr>
        <w:t xml:space="preserve"> The Role and Impact of Public-Private Par</w:t>
      </w:r>
      <w:r w:rsidRPr="004C6CBA">
        <w:rPr>
          <w:lang w:val="en-US"/>
        </w:rPr>
        <w:t>t</w:t>
      </w:r>
      <w:r w:rsidRPr="004C6CBA">
        <w:rPr>
          <w:lang w:val="en-US"/>
        </w:rPr>
        <w:t>nerships in Education, 2009</w:t>
      </w:r>
    </w:p>
    <w:p w:rsidR="00B661FF" w:rsidRPr="004C6CBA" w:rsidRDefault="00B661FF" w:rsidP="005B524E">
      <w:pPr>
        <w:numPr>
          <w:ilvl w:val="0"/>
          <w:numId w:val="3"/>
        </w:numPr>
        <w:suppressAutoHyphens w:val="0"/>
        <w:rPr>
          <w:kern w:val="0"/>
          <w:lang w:val="en-US" w:eastAsia="lt-LT"/>
        </w:rPr>
      </w:pPr>
      <w:r w:rsidRPr="004C6CBA">
        <w:rPr>
          <w:b/>
          <w:lang w:val="en-US"/>
        </w:rPr>
        <w:t>Prensky M.</w:t>
      </w:r>
      <w:r w:rsidRPr="004C6CBA">
        <w:rPr>
          <w:lang w:val="en-US"/>
        </w:rPr>
        <w:t xml:space="preserve"> Digital Natives, Digital Immigrants. On the Horizon, MCB University Press, Vol. 9 No. 5, October 2001</w:t>
      </w:r>
    </w:p>
    <w:p w:rsidR="00B661FF" w:rsidRPr="004C6CBA" w:rsidRDefault="00B661FF" w:rsidP="005B524E">
      <w:pPr>
        <w:numPr>
          <w:ilvl w:val="0"/>
          <w:numId w:val="3"/>
        </w:numPr>
        <w:suppressAutoHyphens w:val="0"/>
        <w:rPr>
          <w:kern w:val="0"/>
          <w:lang w:val="en-US" w:eastAsia="lt-LT"/>
        </w:rPr>
      </w:pPr>
      <w:r w:rsidRPr="004C6CBA">
        <w:rPr>
          <w:b/>
          <w:lang w:val="en-US"/>
        </w:rPr>
        <w:t>PricewaterhouseCoopers</w:t>
      </w:r>
      <w:r w:rsidRPr="004C6CBA">
        <w:rPr>
          <w:lang w:val="en-US"/>
        </w:rPr>
        <w:t xml:space="preserve"> Delivering the PPP promise. A review of PPP issues and activity, 2005.</w:t>
      </w:r>
    </w:p>
    <w:p w:rsidR="00B661FF" w:rsidRPr="004C6CBA" w:rsidRDefault="00B661FF" w:rsidP="005B524E">
      <w:pPr>
        <w:numPr>
          <w:ilvl w:val="0"/>
          <w:numId w:val="3"/>
        </w:numPr>
        <w:suppressAutoHyphens w:val="0"/>
        <w:rPr>
          <w:kern w:val="0"/>
          <w:lang w:val="en-US" w:eastAsia="lt-LT"/>
        </w:rPr>
      </w:pPr>
      <w:r w:rsidRPr="004C6CBA">
        <w:rPr>
          <w:b/>
          <w:lang w:val="en-US"/>
        </w:rPr>
        <w:t>PricewaterhouseCoopers</w:t>
      </w:r>
      <w:r w:rsidRPr="004C6CBA">
        <w:rPr>
          <w:lang w:val="en-US"/>
        </w:rPr>
        <w:t xml:space="preserve"> Developing Public Private Partnership in New Europe, 2004.</w:t>
      </w:r>
    </w:p>
    <w:p w:rsidR="00B661FF" w:rsidRPr="004C6CBA" w:rsidRDefault="00B661FF" w:rsidP="005B524E">
      <w:pPr>
        <w:numPr>
          <w:ilvl w:val="0"/>
          <w:numId w:val="3"/>
        </w:numPr>
        <w:suppressAutoHyphens w:val="0"/>
        <w:rPr>
          <w:b/>
          <w:kern w:val="0"/>
          <w:lang w:val="en-US" w:eastAsia="lt-LT"/>
        </w:rPr>
      </w:pPr>
      <w:r w:rsidRPr="004C6CBA">
        <w:rPr>
          <w:rFonts w:ascii="TimesNewRomanPS-ItalicMT" w:eastAsia="Times New Roman" w:hAnsi="TimesNewRomanPS-ItalicMT" w:cs="TimesNewRomanPS-ItalicMT"/>
          <w:b/>
          <w:iCs/>
          <w:kern w:val="0"/>
          <w:lang w:val="en-US" w:eastAsia="lt-LT"/>
        </w:rPr>
        <w:t>Public-Private Partnerships</w:t>
      </w:r>
      <w:r w:rsidRPr="004C6CBA">
        <w:rPr>
          <w:b/>
          <w:kern w:val="0"/>
          <w:lang w:val="en-US" w:eastAsia="lt-LT"/>
        </w:rPr>
        <w:t xml:space="preserve"> </w:t>
      </w:r>
      <w:r w:rsidRPr="004C6CBA">
        <w:rPr>
          <w:rFonts w:ascii="TimesNewRomanPS-ItalicMT" w:eastAsia="Times New Roman" w:hAnsi="TimesNewRomanPS-ItalicMT" w:cs="TimesNewRomanPS-ItalicMT"/>
          <w:b/>
          <w:iCs/>
          <w:kern w:val="0"/>
          <w:lang w:val="en-US" w:eastAsia="lt-LT"/>
        </w:rPr>
        <w:t>Models and Trends in the European Union</w:t>
      </w:r>
      <w:r w:rsidRPr="004C6CBA">
        <w:rPr>
          <w:rFonts w:ascii="TimesNewRomanPS-ItalicMT" w:eastAsia="Times New Roman" w:hAnsi="TimesNewRomanPS-ItalicMT" w:cs="TimesNewRomanPS-ItalicMT"/>
          <w:iCs/>
          <w:kern w:val="0"/>
          <w:lang w:val="en-US" w:eastAsia="lt-LT"/>
        </w:rPr>
        <w:t xml:space="preserve">. European </w:t>
      </w:r>
      <w:proofErr w:type="spellStart"/>
      <w:r w:rsidRPr="004C6CBA">
        <w:rPr>
          <w:rFonts w:ascii="TimesNewRomanPS-ItalicMT" w:eastAsia="Times New Roman" w:hAnsi="TimesNewRomanPS-ItalicMT" w:cs="TimesNewRomanPS-ItalicMT"/>
          <w:iCs/>
          <w:kern w:val="0"/>
          <w:lang w:val="en-US" w:eastAsia="lt-LT"/>
        </w:rPr>
        <w:t>Parl</w:t>
      </w:r>
      <w:r w:rsidRPr="004C6CBA">
        <w:rPr>
          <w:rFonts w:ascii="TimesNewRomanPS-ItalicMT" w:eastAsia="Times New Roman" w:hAnsi="TimesNewRomanPS-ItalicMT" w:cs="TimesNewRomanPS-ItalicMT"/>
          <w:iCs/>
          <w:kern w:val="0"/>
          <w:lang w:val="en-US" w:eastAsia="lt-LT"/>
        </w:rPr>
        <w:t>a</w:t>
      </w:r>
      <w:r w:rsidRPr="004C6CBA">
        <w:rPr>
          <w:rFonts w:ascii="TimesNewRomanPS-ItalicMT" w:eastAsia="Times New Roman" w:hAnsi="TimesNewRomanPS-ItalicMT" w:cs="TimesNewRomanPS-ItalicMT"/>
          <w:iCs/>
          <w:kern w:val="0"/>
          <w:lang w:val="en-US" w:eastAsia="lt-LT"/>
        </w:rPr>
        <w:t>ment</w:t>
      </w:r>
      <w:proofErr w:type="spellEnd"/>
      <w:r w:rsidRPr="004C6CBA">
        <w:rPr>
          <w:rFonts w:ascii="TimesNewRomanPS-ItalicMT" w:eastAsia="Times New Roman" w:hAnsi="TimesNewRomanPS-ItalicMT" w:cs="TimesNewRomanPS-ItalicMT"/>
          <w:iCs/>
          <w:kern w:val="0"/>
          <w:lang w:val="en-US" w:eastAsia="lt-LT"/>
        </w:rPr>
        <w:t xml:space="preserve">, </w:t>
      </w:r>
      <w:r w:rsidRPr="004C6CBA">
        <w:rPr>
          <w:lang w:val="en-US"/>
        </w:rPr>
        <w:t>IP/A/IMCO/SC/2005-161, 2005</w:t>
      </w:r>
    </w:p>
    <w:p w:rsidR="00B661FF" w:rsidRPr="004C6CBA" w:rsidRDefault="00B661FF" w:rsidP="005B524E">
      <w:pPr>
        <w:numPr>
          <w:ilvl w:val="0"/>
          <w:numId w:val="3"/>
        </w:numPr>
        <w:suppressAutoHyphens w:val="0"/>
        <w:rPr>
          <w:lang w:val="en-US" w:eastAsia="ar-SA"/>
        </w:rPr>
      </w:pPr>
      <w:proofErr w:type="spellStart"/>
      <w:r w:rsidRPr="004C6CBA">
        <w:rPr>
          <w:b/>
          <w:lang w:val="en-US" w:eastAsia="ar-SA"/>
        </w:rPr>
        <w:t>Remenyi</w:t>
      </w:r>
      <w:proofErr w:type="spellEnd"/>
      <w:r w:rsidRPr="004C6CBA">
        <w:rPr>
          <w:b/>
          <w:lang w:val="en-US" w:eastAsia="ar-SA"/>
        </w:rPr>
        <w:t xml:space="preserve"> D. et al.</w:t>
      </w:r>
      <w:r w:rsidRPr="004C6CBA">
        <w:rPr>
          <w:lang w:val="en-US" w:eastAsia="ar-SA"/>
        </w:rPr>
        <w:t xml:space="preserve"> Doing Research in Business and Management: An Introduction to Process and Method. London: Sage Publications, 1998</w:t>
      </w:r>
    </w:p>
    <w:p w:rsidR="00B661FF" w:rsidRPr="004C6CBA" w:rsidRDefault="00B661FF" w:rsidP="005B524E">
      <w:pPr>
        <w:numPr>
          <w:ilvl w:val="0"/>
          <w:numId w:val="3"/>
        </w:numPr>
        <w:suppressAutoHyphens w:val="0"/>
        <w:rPr>
          <w:rFonts w:ascii="Minion-Regular" w:hAnsi="Minion-Regular" w:cs="Minion-Regular"/>
          <w:lang w:val="en-US" w:bidi="en-US"/>
        </w:rPr>
      </w:pPr>
      <w:r w:rsidRPr="004C6CBA">
        <w:rPr>
          <w:b/>
          <w:lang w:val="en-US" w:bidi="en-US"/>
        </w:rPr>
        <w:t xml:space="preserve">Renda, A., </w:t>
      </w:r>
      <w:r w:rsidRPr="004C6CBA">
        <w:rPr>
          <w:rFonts w:ascii="TimesNewRoman" w:hAnsi="TimesNewRoman" w:cs="TimesNewRoman"/>
          <w:b/>
          <w:lang w:val="en-US" w:bidi="en-US"/>
        </w:rPr>
        <w:t>Schrefler</w:t>
      </w:r>
      <w:r w:rsidRPr="004C6CBA">
        <w:rPr>
          <w:b/>
          <w:lang w:val="en-US" w:bidi="en-US"/>
        </w:rPr>
        <w:t>, L.</w:t>
      </w:r>
      <w:r w:rsidRPr="004C6CBA">
        <w:rPr>
          <w:lang w:val="en-US" w:bidi="en-US"/>
        </w:rPr>
        <w:t xml:space="preserve"> Public – Private Partnerships</w:t>
      </w:r>
      <w:r w:rsidRPr="004C6CBA">
        <w:rPr>
          <w:lang w:val="en-US"/>
        </w:rPr>
        <w:t>: Models and Trends in the European Union. 2006</w:t>
      </w:r>
    </w:p>
    <w:p w:rsidR="00B661FF" w:rsidRPr="001D1438" w:rsidRDefault="00B661FF" w:rsidP="005B524E">
      <w:pPr>
        <w:numPr>
          <w:ilvl w:val="0"/>
          <w:numId w:val="3"/>
        </w:numPr>
        <w:suppressAutoHyphens w:val="0"/>
        <w:rPr>
          <w:lang w:eastAsia="ar-SA"/>
        </w:rPr>
      </w:pPr>
      <w:r w:rsidRPr="001D1438">
        <w:rPr>
          <w:b/>
          <w:lang w:eastAsia="ar-SA"/>
        </w:rPr>
        <w:t>Rutkauskienė D. ir kt</w:t>
      </w:r>
      <w:r w:rsidRPr="001D1438">
        <w:rPr>
          <w:lang w:eastAsia="ar-SA"/>
        </w:rPr>
        <w:t>. Lietuvos virtualus universitetas : monografija, Kaunas : Technologija, 2006</w:t>
      </w:r>
    </w:p>
    <w:p w:rsidR="00B661FF" w:rsidRPr="004C6CBA" w:rsidRDefault="00B661FF" w:rsidP="005B524E">
      <w:pPr>
        <w:numPr>
          <w:ilvl w:val="0"/>
          <w:numId w:val="3"/>
        </w:numPr>
        <w:suppressAutoHyphens w:val="0"/>
        <w:rPr>
          <w:lang w:val="en-US" w:eastAsia="ar-SA"/>
        </w:rPr>
      </w:pPr>
      <w:r w:rsidRPr="004C6CBA">
        <w:rPr>
          <w:b/>
          <w:lang w:val="en-US"/>
        </w:rPr>
        <w:t>Saunders M. et al.</w:t>
      </w:r>
      <w:r w:rsidRPr="004C6CBA">
        <w:rPr>
          <w:lang w:val="en-US"/>
        </w:rPr>
        <w:t xml:space="preserve"> A. Research Methods for Business</w:t>
      </w:r>
      <w:r w:rsidRPr="004C6CBA">
        <w:rPr>
          <w:lang w:val="en-US" w:eastAsia="ar-SA"/>
        </w:rPr>
        <w:t xml:space="preserve"> </w:t>
      </w:r>
      <w:r w:rsidRPr="004C6CBA">
        <w:rPr>
          <w:lang w:val="en-US"/>
        </w:rPr>
        <w:t>Students. FT Prentice Hall. Harlow. 2007</w:t>
      </w:r>
    </w:p>
    <w:p w:rsidR="00B661FF" w:rsidRPr="004C6CBA" w:rsidRDefault="00B661FF" w:rsidP="005B524E">
      <w:pPr>
        <w:numPr>
          <w:ilvl w:val="0"/>
          <w:numId w:val="3"/>
        </w:numPr>
        <w:suppressAutoHyphens w:val="0"/>
        <w:rPr>
          <w:lang w:val="en-US" w:eastAsia="ar-SA"/>
        </w:rPr>
      </w:pPr>
      <w:r w:rsidRPr="004C6CBA">
        <w:rPr>
          <w:b/>
          <w:lang w:val="en-US" w:eastAsia="ar-SA"/>
        </w:rPr>
        <w:t>Saunders M. et al.</w:t>
      </w:r>
      <w:r w:rsidRPr="004C6CBA">
        <w:rPr>
          <w:lang w:val="en-US" w:eastAsia="ar-SA"/>
        </w:rPr>
        <w:t xml:space="preserve"> Research Methods for Business Students. London, Hong Kong, Johanne</w:t>
      </w:r>
      <w:r w:rsidRPr="004C6CBA">
        <w:rPr>
          <w:lang w:val="en-US" w:eastAsia="ar-SA"/>
        </w:rPr>
        <w:t>s</w:t>
      </w:r>
      <w:r w:rsidRPr="004C6CBA">
        <w:rPr>
          <w:lang w:val="en-US" w:eastAsia="ar-SA"/>
        </w:rPr>
        <w:t xml:space="preserve">burg, </w:t>
      </w:r>
      <w:r w:rsidR="00543D58" w:rsidRPr="004C6CBA">
        <w:rPr>
          <w:lang w:val="en-US" w:eastAsia="ar-SA"/>
        </w:rPr>
        <w:t>Melbourne</w:t>
      </w:r>
      <w:r w:rsidRPr="004C6CBA">
        <w:rPr>
          <w:lang w:val="en-US" w:eastAsia="ar-SA"/>
        </w:rPr>
        <w:t xml:space="preserve">, </w:t>
      </w:r>
      <w:r w:rsidR="00543D58" w:rsidRPr="004C6CBA">
        <w:rPr>
          <w:lang w:val="en-US" w:eastAsia="ar-SA"/>
        </w:rPr>
        <w:t>Singapore</w:t>
      </w:r>
      <w:r w:rsidRPr="004C6CBA">
        <w:rPr>
          <w:lang w:val="en-US" w:eastAsia="ar-SA"/>
        </w:rPr>
        <w:t xml:space="preserve">, </w:t>
      </w:r>
      <w:r w:rsidR="00543D58" w:rsidRPr="004C6CBA">
        <w:rPr>
          <w:lang w:val="en-US" w:eastAsia="ar-SA"/>
        </w:rPr>
        <w:t>Washington</w:t>
      </w:r>
      <w:r w:rsidRPr="004C6CBA">
        <w:rPr>
          <w:lang w:val="en-US" w:eastAsia="ar-SA"/>
        </w:rPr>
        <w:t>: Pitman Publishing, 1997. 429 p. ISBN 0-273-62017-7</w:t>
      </w:r>
    </w:p>
    <w:p w:rsidR="00B661FF" w:rsidRPr="004C6CBA" w:rsidRDefault="00B661FF" w:rsidP="005B524E">
      <w:pPr>
        <w:pStyle w:val="BodyText"/>
        <w:numPr>
          <w:ilvl w:val="0"/>
          <w:numId w:val="3"/>
        </w:numPr>
        <w:suppressAutoHyphens w:val="0"/>
        <w:rPr>
          <w:lang w:val="en-US"/>
        </w:rPr>
      </w:pPr>
      <w:r w:rsidRPr="004C6CBA">
        <w:rPr>
          <w:b/>
          <w:lang w:val="en-US"/>
        </w:rPr>
        <w:lastRenderedPageBreak/>
        <w:t>Savas E. S.</w:t>
      </w:r>
      <w:r w:rsidRPr="004C6CBA">
        <w:rPr>
          <w:lang w:val="en-US"/>
        </w:rPr>
        <w:t xml:space="preserve"> </w:t>
      </w:r>
      <w:r w:rsidR="00543D58" w:rsidRPr="004C6CBA">
        <w:rPr>
          <w:lang w:val="en-US"/>
        </w:rPr>
        <w:t>Privatization</w:t>
      </w:r>
      <w:r w:rsidRPr="004C6CBA">
        <w:rPr>
          <w:lang w:val="en-US"/>
        </w:rPr>
        <w:t xml:space="preserve"> and Public-Private Partnerships. New York: </w:t>
      </w:r>
      <w:proofErr w:type="spellStart"/>
      <w:r w:rsidRPr="004C6CBA">
        <w:rPr>
          <w:lang w:val="en-US"/>
        </w:rPr>
        <w:t>Chatam</w:t>
      </w:r>
      <w:proofErr w:type="spellEnd"/>
      <w:r w:rsidRPr="004C6CBA">
        <w:rPr>
          <w:lang w:val="en-US"/>
        </w:rPr>
        <w:t xml:space="preserve"> House Publis</w:t>
      </w:r>
      <w:r w:rsidRPr="004C6CBA">
        <w:rPr>
          <w:lang w:val="en-US"/>
        </w:rPr>
        <w:t>h</w:t>
      </w:r>
      <w:r w:rsidRPr="004C6CBA">
        <w:rPr>
          <w:lang w:val="en-US"/>
        </w:rPr>
        <w:t>ers, 2000</w:t>
      </w:r>
    </w:p>
    <w:p w:rsidR="00B661FF" w:rsidRPr="004C6CBA" w:rsidRDefault="00B661FF" w:rsidP="005B524E">
      <w:pPr>
        <w:pStyle w:val="BodyText"/>
        <w:numPr>
          <w:ilvl w:val="0"/>
          <w:numId w:val="3"/>
        </w:numPr>
        <w:suppressAutoHyphens w:val="0"/>
        <w:rPr>
          <w:lang w:val="en-US"/>
        </w:rPr>
      </w:pPr>
      <w:r w:rsidRPr="004C6CBA">
        <w:rPr>
          <w:b/>
          <w:lang w:val="en-US"/>
        </w:rPr>
        <w:t>Savas E. S.</w:t>
      </w:r>
      <w:r w:rsidRPr="004C6CBA">
        <w:rPr>
          <w:lang w:val="en-US"/>
        </w:rPr>
        <w:t xml:space="preserve"> Privatization: The Key to Better Government. Chatham, NJ: </w:t>
      </w:r>
      <w:proofErr w:type="spellStart"/>
      <w:r w:rsidRPr="004C6CBA">
        <w:rPr>
          <w:lang w:val="en-US"/>
        </w:rPr>
        <w:t>Chatam</w:t>
      </w:r>
      <w:proofErr w:type="spellEnd"/>
      <w:r w:rsidRPr="004C6CBA">
        <w:rPr>
          <w:lang w:val="en-US"/>
        </w:rPr>
        <w:t xml:space="preserve"> House, 3, 1987</w:t>
      </w:r>
    </w:p>
    <w:p w:rsidR="00B661FF" w:rsidRPr="004C6CBA" w:rsidRDefault="00B661FF" w:rsidP="005B524E">
      <w:pPr>
        <w:pStyle w:val="BodyText"/>
        <w:numPr>
          <w:ilvl w:val="0"/>
          <w:numId w:val="3"/>
        </w:numPr>
        <w:suppressAutoHyphens w:val="0"/>
        <w:rPr>
          <w:lang w:val="en-US"/>
        </w:rPr>
      </w:pPr>
      <w:r w:rsidRPr="004C6CBA">
        <w:rPr>
          <w:b/>
          <w:lang w:val="en-US"/>
        </w:rPr>
        <w:t>Savas E. S.</w:t>
      </w:r>
      <w:r w:rsidRPr="004C6CBA">
        <w:rPr>
          <w:lang w:val="en-US"/>
        </w:rPr>
        <w:t xml:space="preserve"> Quoted in David Osborne and Ted </w:t>
      </w:r>
      <w:proofErr w:type="spellStart"/>
      <w:r w:rsidRPr="004C6CBA">
        <w:rPr>
          <w:lang w:val="en-US"/>
        </w:rPr>
        <w:t>Gaebler</w:t>
      </w:r>
      <w:proofErr w:type="spellEnd"/>
      <w:r w:rsidRPr="004C6CBA">
        <w:rPr>
          <w:lang w:val="en-US"/>
        </w:rPr>
        <w:t xml:space="preserve">, Reinventing Government. </w:t>
      </w:r>
      <w:proofErr w:type="spellStart"/>
      <w:r w:rsidRPr="004C6CBA">
        <w:rPr>
          <w:lang w:val="en-US"/>
        </w:rPr>
        <w:t>Readung</w:t>
      </w:r>
      <w:proofErr w:type="spellEnd"/>
      <w:r w:rsidRPr="004C6CBA">
        <w:rPr>
          <w:lang w:val="en-US"/>
        </w:rPr>
        <w:t xml:space="preserve">, MA: </w:t>
      </w:r>
      <w:proofErr w:type="spellStart"/>
      <w:r w:rsidRPr="004C6CBA">
        <w:rPr>
          <w:lang w:val="en-US"/>
        </w:rPr>
        <w:t>Adidison</w:t>
      </w:r>
      <w:proofErr w:type="spellEnd"/>
      <w:r w:rsidRPr="004C6CBA">
        <w:rPr>
          <w:lang w:val="en-US"/>
        </w:rPr>
        <w:t xml:space="preserve"> – Wesley, p. 25, 1992</w:t>
      </w:r>
    </w:p>
    <w:p w:rsidR="00B661FF" w:rsidRPr="004C6CBA" w:rsidRDefault="00B661FF" w:rsidP="005B524E">
      <w:pPr>
        <w:numPr>
          <w:ilvl w:val="0"/>
          <w:numId w:val="3"/>
        </w:numPr>
        <w:suppressAutoHyphens w:val="0"/>
        <w:rPr>
          <w:lang w:val="en-US"/>
        </w:rPr>
      </w:pPr>
      <w:r w:rsidRPr="004C6CBA">
        <w:rPr>
          <w:b/>
          <w:lang w:val="en-US"/>
        </w:rPr>
        <w:t>Sedjari, A.</w:t>
      </w:r>
      <w:r w:rsidRPr="004C6CBA">
        <w:rPr>
          <w:lang w:val="en-US"/>
        </w:rPr>
        <w:t xml:space="preserve"> Public–Private Partnerships as a Tool for Modernizing Public Administration // I</w:t>
      </w:r>
      <w:r w:rsidRPr="004C6CBA">
        <w:rPr>
          <w:lang w:val="en-US"/>
        </w:rPr>
        <w:t>n</w:t>
      </w:r>
      <w:r w:rsidRPr="004C6CBA">
        <w:rPr>
          <w:lang w:val="en-US"/>
        </w:rPr>
        <w:t>ternational Review of Administrative Sciences, 2004, Vol. 70, No. 2, p. 291–306.</w:t>
      </w:r>
    </w:p>
    <w:p w:rsidR="00B661FF" w:rsidRPr="004C6CBA" w:rsidRDefault="00B661FF" w:rsidP="005B524E">
      <w:pPr>
        <w:numPr>
          <w:ilvl w:val="0"/>
          <w:numId w:val="3"/>
        </w:numPr>
        <w:suppressAutoHyphens w:val="0"/>
        <w:rPr>
          <w:lang w:val="en-US"/>
        </w:rPr>
      </w:pPr>
      <w:r w:rsidRPr="004C6CBA">
        <w:rPr>
          <w:b/>
          <w:lang w:val="en-US"/>
        </w:rPr>
        <w:t>Seufert, S.</w:t>
      </w:r>
      <w:r w:rsidRPr="004C6CBA">
        <w:rPr>
          <w:lang w:val="en-US"/>
        </w:rPr>
        <w:t xml:space="preserve"> E-Learning Business Models. Framework and Best Practice Examples. Idea Group Publishing. ISBN B00006ISNY., 2001</w:t>
      </w:r>
    </w:p>
    <w:p w:rsidR="00B661FF" w:rsidRPr="001D1438" w:rsidRDefault="00B661FF" w:rsidP="005B524E">
      <w:pPr>
        <w:numPr>
          <w:ilvl w:val="0"/>
          <w:numId w:val="3"/>
        </w:numPr>
        <w:suppressAutoHyphens w:val="0"/>
      </w:pPr>
      <w:r w:rsidRPr="001D1438">
        <w:rPr>
          <w:b/>
        </w:rPr>
        <w:t xml:space="preserve">Skietrys, E., </w:t>
      </w:r>
      <w:proofErr w:type="spellStart"/>
      <w:r w:rsidRPr="001D1438">
        <w:rPr>
          <w:b/>
        </w:rPr>
        <w:t>Raipa</w:t>
      </w:r>
      <w:proofErr w:type="spellEnd"/>
      <w:r w:rsidRPr="001D1438">
        <w:rPr>
          <w:b/>
        </w:rPr>
        <w:t>, A., Bartkus, E.</w:t>
      </w:r>
      <w:r w:rsidRPr="001D1438">
        <w:t xml:space="preserve"> </w:t>
      </w:r>
      <w:r w:rsidRPr="00543D58">
        <w:rPr>
          <w:lang w:val="en-US"/>
        </w:rPr>
        <w:t>Dimensions of the Efficiency of Public – Private Partne</w:t>
      </w:r>
      <w:r w:rsidRPr="00543D58">
        <w:rPr>
          <w:lang w:val="en-US"/>
        </w:rPr>
        <w:t>r</w:t>
      </w:r>
      <w:r w:rsidRPr="00543D58">
        <w:rPr>
          <w:lang w:val="en-US"/>
        </w:rPr>
        <w:t>ship</w:t>
      </w:r>
      <w:r w:rsidRPr="001D1438">
        <w:t>, 2008</w:t>
      </w:r>
    </w:p>
    <w:p w:rsidR="00B661FF" w:rsidRPr="004C6CBA" w:rsidRDefault="00B661FF" w:rsidP="005B524E">
      <w:pPr>
        <w:numPr>
          <w:ilvl w:val="0"/>
          <w:numId w:val="3"/>
        </w:numPr>
        <w:suppressAutoHyphens w:val="0"/>
        <w:rPr>
          <w:lang w:val="en-US" w:eastAsia="ar-SA"/>
        </w:rPr>
      </w:pPr>
      <w:r w:rsidRPr="004C6CBA">
        <w:rPr>
          <w:b/>
          <w:lang w:val="en-US" w:eastAsia="ar-SA"/>
        </w:rPr>
        <w:t>Smith, B.</w:t>
      </w:r>
      <w:r w:rsidRPr="004C6CBA">
        <w:rPr>
          <w:lang w:val="en-US" w:eastAsia="ar-SA"/>
        </w:rPr>
        <w:t xml:space="preserve"> Creating Consortia: Export the Best, Import the Rest. Convergence Magazine 1.4 (December), 1998</w:t>
      </w:r>
    </w:p>
    <w:p w:rsidR="00B661FF" w:rsidRPr="004C6CBA" w:rsidRDefault="00B661FF" w:rsidP="005B524E">
      <w:pPr>
        <w:numPr>
          <w:ilvl w:val="0"/>
          <w:numId w:val="3"/>
        </w:numPr>
        <w:suppressAutoHyphens w:val="0"/>
        <w:rPr>
          <w:lang w:val="en-US"/>
        </w:rPr>
      </w:pPr>
      <w:r w:rsidRPr="004C6CBA">
        <w:rPr>
          <w:b/>
          <w:lang w:val="en-US"/>
        </w:rPr>
        <w:t>Taylor, R. J.</w:t>
      </w:r>
      <w:r w:rsidRPr="004C6CBA">
        <w:rPr>
          <w:lang w:val="en-US"/>
        </w:rPr>
        <w:t xml:space="preserve"> Contracting for Health Services. In Private Participation in Health Services Handbook, eds. A. Harding and A. </w:t>
      </w:r>
      <w:proofErr w:type="spellStart"/>
      <w:r w:rsidRPr="004C6CBA">
        <w:rPr>
          <w:lang w:val="en-US"/>
        </w:rPr>
        <w:t>Preker</w:t>
      </w:r>
      <w:proofErr w:type="spellEnd"/>
      <w:r w:rsidRPr="004C6CBA">
        <w:rPr>
          <w:lang w:val="en-US"/>
        </w:rPr>
        <w:t>, 195–204. Washington, DC: World Bank. 2003</w:t>
      </w:r>
    </w:p>
    <w:p w:rsidR="00B661FF" w:rsidRPr="004C6CBA" w:rsidRDefault="00B661FF" w:rsidP="005B524E">
      <w:pPr>
        <w:numPr>
          <w:ilvl w:val="0"/>
          <w:numId w:val="3"/>
        </w:numPr>
        <w:suppressAutoHyphens w:val="0"/>
        <w:rPr>
          <w:lang w:val="en-US" w:eastAsia="ar-SA"/>
        </w:rPr>
      </w:pPr>
      <w:proofErr w:type="spellStart"/>
      <w:r w:rsidRPr="004C6CBA">
        <w:rPr>
          <w:b/>
          <w:lang w:val="en-US" w:eastAsia="ar-SA"/>
        </w:rPr>
        <w:t>Teare</w:t>
      </w:r>
      <w:proofErr w:type="spellEnd"/>
      <w:r w:rsidRPr="004C6CBA">
        <w:rPr>
          <w:b/>
          <w:lang w:val="en-US" w:eastAsia="ar-SA"/>
        </w:rPr>
        <w:t xml:space="preserve"> R. et al.</w:t>
      </w:r>
      <w:r w:rsidRPr="004C6CBA">
        <w:rPr>
          <w:lang w:val="en-US" w:eastAsia="ar-SA"/>
        </w:rPr>
        <w:t xml:space="preserve"> The virtual university: An action paradigm and process for workplace learning. New York: Wellington House, 1998</w:t>
      </w:r>
    </w:p>
    <w:p w:rsidR="00B661FF" w:rsidRPr="004C6CBA" w:rsidRDefault="00B661FF" w:rsidP="005B524E">
      <w:pPr>
        <w:numPr>
          <w:ilvl w:val="0"/>
          <w:numId w:val="3"/>
        </w:numPr>
        <w:suppressAutoHyphens w:val="0"/>
        <w:rPr>
          <w:lang w:val="en-US" w:bidi="en-US"/>
        </w:rPr>
      </w:pPr>
      <w:proofErr w:type="spellStart"/>
      <w:r w:rsidRPr="004C6CBA">
        <w:rPr>
          <w:b/>
          <w:lang w:val="en-US" w:bidi="en-US"/>
        </w:rPr>
        <w:t>Teicher</w:t>
      </w:r>
      <w:proofErr w:type="spellEnd"/>
      <w:r w:rsidRPr="004C6CBA">
        <w:rPr>
          <w:b/>
          <w:lang w:val="en-US" w:bidi="en-US"/>
        </w:rPr>
        <w:t xml:space="preserve"> U</w:t>
      </w:r>
      <w:r w:rsidRPr="004C6CBA">
        <w:rPr>
          <w:lang w:val="en-US" w:bidi="en-US"/>
        </w:rPr>
        <w:t>. Institutional and societal implications of virtual university, 2003</w:t>
      </w:r>
    </w:p>
    <w:p w:rsidR="00B661FF" w:rsidRPr="004C6CBA" w:rsidRDefault="00B661FF" w:rsidP="005B524E">
      <w:pPr>
        <w:numPr>
          <w:ilvl w:val="0"/>
          <w:numId w:val="3"/>
        </w:numPr>
        <w:suppressAutoHyphens w:val="0"/>
        <w:rPr>
          <w:lang w:eastAsia="ar-SA"/>
        </w:rPr>
      </w:pPr>
      <w:r w:rsidRPr="004C6CBA">
        <w:rPr>
          <w:b/>
        </w:rPr>
        <w:t>Tidikis R.</w:t>
      </w:r>
      <w:r w:rsidRPr="004C6CBA">
        <w:t xml:space="preserve"> Socialinių mokslų ir tyrimų metodologija. Vilnius: LTU, 2003</w:t>
      </w:r>
    </w:p>
    <w:p w:rsidR="00B661FF" w:rsidRPr="004C6CBA" w:rsidRDefault="00B661FF" w:rsidP="005B524E">
      <w:pPr>
        <w:numPr>
          <w:ilvl w:val="0"/>
          <w:numId w:val="3"/>
        </w:numPr>
        <w:suppressAutoHyphens w:val="0"/>
        <w:rPr>
          <w:lang w:val="en-US" w:bidi="en-US"/>
        </w:rPr>
      </w:pPr>
      <w:proofErr w:type="spellStart"/>
      <w:r w:rsidRPr="004C6CBA">
        <w:rPr>
          <w:b/>
          <w:lang w:val="en-US" w:bidi="en-US"/>
        </w:rPr>
        <w:t>Totkov</w:t>
      </w:r>
      <w:proofErr w:type="spellEnd"/>
      <w:r w:rsidRPr="004C6CBA">
        <w:rPr>
          <w:b/>
          <w:lang w:val="en-US" w:bidi="en-US"/>
        </w:rPr>
        <w:t xml:space="preserve"> G.</w:t>
      </w:r>
      <w:r w:rsidRPr="004C6CBA">
        <w:rPr>
          <w:lang w:val="en-US" w:bidi="en-US"/>
        </w:rPr>
        <w:t xml:space="preserve"> Virtual Learning Environments: Towards New Generation, International Conference on Computer Systems and Technologies – </w:t>
      </w:r>
      <w:proofErr w:type="spellStart"/>
      <w:r w:rsidRPr="004C6CBA">
        <w:rPr>
          <w:lang w:val="en-US" w:bidi="en-US"/>
        </w:rPr>
        <w:t>CompSysTech</w:t>
      </w:r>
      <w:proofErr w:type="spellEnd"/>
      <w:r w:rsidRPr="004C6CBA">
        <w:rPr>
          <w:lang w:val="en-US" w:bidi="en-US"/>
        </w:rPr>
        <w:t>, 2003</w:t>
      </w:r>
    </w:p>
    <w:p w:rsidR="00B661FF" w:rsidRPr="004C6CBA" w:rsidRDefault="00B661FF" w:rsidP="005B524E">
      <w:pPr>
        <w:numPr>
          <w:ilvl w:val="0"/>
          <w:numId w:val="3"/>
        </w:numPr>
        <w:suppressAutoHyphens w:val="0"/>
        <w:rPr>
          <w:lang w:val="en-US" w:bidi="en-US"/>
        </w:rPr>
      </w:pPr>
      <w:proofErr w:type="spellStart"/>
      <w:r w:rsidRPr="004C6CBA">
        <w:rPr>
          <w:b/>
          <w:lang w:val="en-US" w:bidi="en-US"/>
        </w:rPr>
        <w:t>Twigg</w:t>
      </w:r>
      <w:proofErr w:type="spellEnd"/>
      <w:r w:rsidRPr="004C6CBA">
        <w:rPr>
          <w:b/>
          <w:lang w:val="en-US" w:bidi="en-US"/>
        </w:rPr>
        <w:t xml:space="preserve"> C.A</w:t>
      </w:r>
      <w:r w:rsidRPr="004C6CBA">
        <w:rPr>
          <w:lang w:val="en-US" w:bidi="en-US"/>
        </w:rPr>
        <w:t>. Expanding Access to Learning. The Role of Virtual University. Center for Ac</w:t>
      </w:r>
      <w:r w:rsidRPr="004C6CBA">
        <w:rPr>
          <w:lang w:val="en-US" w:bidi="en-US"/>
        </w:rPr>
        <w:t>a</w:t>
      </w:r>
      <w:r w:rsidRPr="004C6CBA">
        <w:rPr>
          <w:lang w:val="en-US" w:bidi="en-US"/>
        </w:rPr>
        <w:t>demic Transformation, 2003</w:t>
      </w:r>
    </w:p>
    <w:p w:rsidR="00B661FF" w:rsidRPr="001D1438" w:rsidRDefault="00B661FF" w:rsidP="005B524E">
      <w:pPr>
        <w:numPr>
          <w:ilvl w:val="0"/>
          <w:numId w:val="3"/>
        </w:numPr>
        <w:suppressAutoHyphens w:val="0"/>
        <w:rPr>
          <w:kern w:val="0"/>
          <w:lang w:eastAsia="lt-LT"/>
        </w:rPr>
      </w:pPr>
      <w:r w:rsidRPr="001D1438">
        <w:rPr>
          <w:rFonts w:ascii="TimesNewRomanPSMT" w:hAnsi="TimesNewRomanPSMT"/>
          <w:b/>
          <w:kern w:val="0"/>
          <w:lang w:eastAsia="lt-LT"/>
        </w:rPr>
        <w:t>Vie</w:t>
      </w:r>
      <w:r w:rsidRPr="001D1438">
        <w:rPr>
          <w:b/>
          <w:kern w:val="0"/>
          <w:lang w:eastAsia="lt-LT"/>
        </w:rPr>
        <w:t>šojo ir privataus sektoriaus bendradarbiavimas</w:t>
      </w:r>
      <w:r w:rsidRPr="001D1438">
        <w:rPr>
          <w:kern w:val="0"/>
          <w:lang w:eastAsia="lt-LT"/>
        </w:rPr>
        <w:t xml:space="preserve">. </w:t>
      </w:r>
      <w:r w:rsidRPr="002670C8">
        <w:rPr>
          <w:kern w:val="0"/>
          <w:lang w:eastAsia="lt-LT"/>
        </w:rPr>
        <w:t xml:space="preserve">Valstybinio audito ataskaita. </w:t>
      </w:r>
      <w:r w:rsidRPr="001D1438">
        <w:t>2008 m. sausio 15 d. Nr. VA-P-30-5-1Vilnius</w:t>
      </w:r>
    </w:p>
    <w:p w:rsidR="00B661FF" w:rsidRPr="00543D58" w:rsidRDefault="00B661FF" w:rsidP="005B524E">
      <w:pPr>
        <w:numPr>
          <w:ilvl w:val="0"/>
          <w:numId w:val="3"/>
        </w:numPr>
        <w:suppressAutoHyphens w:val="0"/>
        <w:rPr>
          <w:lang w:val="en-US" w:bidi="en-US"/>
        </w:rPr>
      </w:pPr>
      <w:r w:rsidRPr="00543D58">
        <w:rPr>
          <w:b/>
          <w:lang w:val="en-US" w:bidi="en-US"/>
        </w:rPr>
        <w:t>Virtual University? Educational Environments of the Future</w:t>
      </w:r>
      <w:r w:rsidRPr="00543D58">
        <w:rPr>
          <w:lang w:val="en-US" w:bidi="en-US"/>
        </w:rPr>
        <w:t xml:space="preserve">. </w:t>
      </w:r>
      <w:proofErr w:type="spellStart"/>
      <w:r w:rsidRPr="00543D58">
        <w:rPr>
          <w:lang w:val="en-US" w:bidi="en-US"/>
        </w:rPr>
        <w:t>Henk</w:t>
      </w:r>
      <w:proofErr w:type="spellEnd"/>
      <w:r w:rsidRPr="00543D58">
        <w:rPr>
          <w:lang w:val="en-US" w:bidi="en-US"/>
        </w:rPr>
        <w:t xml:space="preserve"> J. van </w:t>
      </w:r>
      <w:proofErr w:type="spellStart"/>
      <w:r w:rsidRPr="00543D58">
        <w:rPr>
          <w:lang w:val="en-US" w:bidi="en-US"/>
        </w:rPr>
        <w:t>der</w:t>
      </w:r>
      <w:proofErr w:type="spellEnd"/>
      <w:r w:rsidRPr="00543D58">
        <w:rPr>
          <w:lang w:val="en-US" w:bidi="en-US"/>
        </w:rPr>
        <w:t xml:space="preserve"> Molen (ed</w:t>
      </w:r>
      <w:r w:rsidRPr="00543D58">
        <w:rPr>
          <w:lang w:val="en-US" w:bidi="en-US"/>
        </w:rPr>
        <w:t>i</w:t>
      </w:r>
      <w:r w:rsidRPr="00543D58">
        <w:rPr>
          <w:lang w:val="en-US" w:bidi="en-US"/>
        </w:rPr>
        <w:t>tor). Portland Press, London, 2001</w:t>
      </w:r>
    </w:p>
    <w:p w:rsidR="00B661FF" w:rsidRPr="004C6CBA" w:rsidRDefault="00B661FF" w:rsidP="005B524E">
      <w:pPr>
        <w:numPr>
          <w:ilvl w:val="0"/>
          <w:numId w:val="3"/>
        </w:numPr>
        <w:suppressAutoHyphens w:val="0"/>
        <w:rPr>
          <w:lang w:val="en-US" w:eastAsia="ar-SA"/>
        </w:rPr>
      </w:pPr>
      <w:r w:rsidRPr="004C6CBA">
        <w:rPr>
          <w:b/>
          <w:lang w:val="en-US" w:eastAsia="ar-SA"/>
        </w:rPr>
        <w:t>Whittington D.</w:t>
      </w:r>
      <w:r w:rsidRPr="004C6CBA">
        <w:rPr>
          <w:lang w:val="en-US" w:eastAsia="ar-SA"/>
        </w:rPr>
        <w:t xml:space="preserve"> Evaluating three years’ use of a virtual university. Journal of Quality Assu</w:t>
      </w:r>
      <w:r w:rsidRPr="004C6CBA">
        <w:rPr>
          <w:lang w:val="en-US" w:eastAsia="ar-SA"/>
        </w:rPr>
        <w:t>r</w:t>
      </w:r>
      <w:r w:rsidRPr="004C6CBA">
        <w:rPr>
          <w:lang w:val="en-US" w:eastAsia="ar-SA"/>
        </w:rPr>
        <w:t xml:space="preserve">ance in Education, 2000, 8 (1), pp. 48-52. </w:t>
      </w:r>
    </w:p>
    <w:p w:rsidR="00B661FF" w:rsidRDefault="00B661FF" w:rsidP="005B524E">
      <w:pPr>
        <w:numPr>
          <w:ilvl w:val="0"/>
          <w:numId w:val="3"/>
        </w:numPr>
        <w:suppressAutoHyphens w:val="0"/>
        <w:rPr>
          <w:kern w:val="0"/>
          <w:lang w:eastAsia="lt-LT"/>
        </w:rPr>
      </w:pPr>
      <w:r w:rsidRPr="001D1438">
        <w:rPr>
          <w:b/>
          <w:kern w:val="0"/>
          <w:lang w:eastAsia="lt-LT"/>
        </w:rPr>
        <w:t>Žalioji knyga dėl viešųjų ir privačiųjų partnerysčių ir dėl Bendrijos viešųjų sutarčių ir koncesijų teisės</w:t>
      </w:r>
      <w:r w:rsidRPr="001D1438">
        <w:rPr>
          <w:kern w:val="0"/>
          <w:lang w:eastAsia="lt-LT"/>
        </w:rPr>
        <w:t>. Europos Sąjunga. Briuselis, 2004-04-30, KOM (2004) 327.</w:t>
      </w:r>
    </w:p>
    <w:p w:rsidR="00B661FF" w:rsidRPr="004C6CBA" w:rsidRDefault="00B661FF" w:rsidP="005B524E">
      <w:pPr>
        <w:numPr>
          <w:ilvl w:val="0"/>
          <w:numId w:val="3"/>
        </w:numPr>
        <w:suppressAutoHyphens w:val="0"/>
        <w:rPr>
          <w:kern w:val="0"/>
          <w:lang w:val="ru-RU" w:eastAsia="lt-LT"/>
        </w:rPr>
      </w:pPr>
      <w:r w:rsidRPr="004C6CBA">
        <w:rPr>
          <w:b/>
          <w:kern w:val="0"/>
          <w:lang w:val="ru-RU" w:eastAsia="lt-LT"/>
        </w:rPr>
        <w:t>Веселкова Н.В.</w:t>
      </w:r>
      <w:r w:rsidRPr="004C6CBA">
        <w:rPr>
          <w:kern w:val="0"/>
          <w:lang w:val="ru-RU" w:eastAsia="lt-LT"/>
        </w:rPr>
        <w:t xml:space="preserve"> Методические принципы полуформализованного интервью// Социология 4М, 1995, N 5-6, С. 28-48.</w:t>
      </w:r>
    </w:p>
    <w:p w:rsidR="00B661FF" w:rsidRPr="004C6CBA" w:rsidRDefault="00B661FF" w:rsidP="005B524E">
      <w:pPr>
        <w:numPr>
          <w:ilvl w:val="0"/>
          <w:numId w:val="3"/>
        </w:numPr>
        <w:suppressAutoHyphens w:val="0"/>
        <w:rPr>
          <w:kern w:val="0"/>
          <w:lang w:val="ru-RU" w:eastAsia="lt-LT"/>
        </w:rPr>
      </w:pPr>
      <w:r w:rsidRPr="004C6CBA">
        <w:rPr>
          <w:b/>
          <w:kern w:val="0"/>
          <w:lang w:val="ru-RU" w:eastAsia="lt-LT"/>
        </w:rPr>
        <w:lastRenderedPageBreak/>
        <w:t>Веселкова Н.В.</w:t>
      </w:r>
      <w:r w:rsidRPr="004C6CBA">
        <w:rPr>
          <w:kern w:val="0"/>
          <w:lang w:val="ru-RU" w:eastAsia="lt-LT"/>
        </w:rPr>
        <w:t xml:space="preserve"> Полуформализованное интервью// Социологический журнал, 1994, N 3, С.</w:t>
      </w:r>
    </w:p>
    <w:p w:rsidR="00895F5C" w:rsidRPr="00FC6E95" w:rsidRDefault="00895F5C" w:rsidP="005B524E">
      <w:pPr>
        <w:suppressAutoHyphens w:val="0"/>
        <w:rPr>
          <w:lang w:val="en-US" w:eastAsia="ar-SA"/>
        </w:rPr>
      </w:pPr>
      <w:r w:rsidRPr="001D1438">
        <w:rPr>
          <w:sz w:val="22"/>
          <w:lang w:eastAsia="ar-SA"/>
        </w:rPr>
        <w:br w:type="page"/>
      </w:r>
      <w:r w:rsidR="00FC6E95" w:rsidRPr="00396058">
        <w:rPr>
          <w:b/>
          <w:lang w:eastAsia="ar-SA"/>
        </w:rPr>
        <w:lastRenderedPageBreak/>
        <w:t>Gubaidulin I</w:t>
      </w:r>
      <w:r w:rsidR="00FC6E95">
        <w:rPr>
          <w:lang w:eastAsia="ar-SA"/>
        </w:rPr>
        <w:t xml:space="preserve">. </w:t>
      </w:r>
      <w:r w:rsidR="00FC6E95" w:rsidRPr="00FC6E95">
        <w:t>Viešojo ir privataus s</w:t>
      </w:r>
      <w:r w:rsidR="00FC6E95">
        <w:t>ektorių partnerystės galimybės L</w:t>
      </w:r>
      <w:r w:rsidR="00FC6E95" w:rsidRPr="00FC6E95">
        <w:t xml:space="preserve">ietuvos virtualaus </w:t>
      </w:r>
      <w:r w:rsidR="00673428">
        <w:t xml:space="preserve">universiteto programoje </w:t>
      </w:r>
      <w:r w:rsidR="00FC6E95">
        <w:t>/ Elektroninio verslo vadybos magistro baigiamasis darbas. Vadovas lekt. E. Mal</w:t>
      </w:r>
      <w:r w:rsidR="00FC6E95">
        <w:t>i</w:t>
      </w:r>
      <w:r w:rsidR="00FC6E95">
        <w:t xml:space="preserve">nauskienė. – Vilnius: Mykolo Romerio universitetas, Socialinės informatikos fakultetas, </w:t>
      </w:r>
      <w:r w:rsidR="00FC6E95">
        <w:rPr>
          <w:lang w:val="ru-RU"/>
        </w:rPr>
        <w:t>2009</w:t>
      </w:r>
      <w:r w:rsidR="00FC6E95">
        <w:rPr>
          <w:lang w:val="en-US"/>
        </w:rPr>
        <w:t>. – 6</w:t>
      </w:r>
      <w:r w:rsidR="002D599B">
        <w:rPr>
          <w:lang w:val="en-US"/>
        </w:rPr>
        <w:t xml:space="preserve">6 </w:t>
      </w:r>
      <w:r w:rsidR="00FC6E95">
        <w:rPr>
          <w:lang w:val="en-US"/>
        </w:rPr>
        <w:t>p.</w:t>
      </w:r>
    </w:p>
    <w:p w:rsidR="00FC6E95" w:rsidRPr="001D1438" w:rsidRDefault="00396058" w:rsidP="005B524E">
      <w:pPr>
        <w:pStyle w:val="Headingwonumb"/>
        <w:suppressAutoHyphens w:val="0"/>
        <w:rPr>
          <w:lang w:eastAsia="ar-SA"/>
        </w:rPr>
      </w:pPr>
      <w:bookmarkStart w:id="68" w:name="_Toc251011274"/>
      <w:r>
        <w:rPr>
          <w:lang w:eastAsia="ar-SA"/>
        </w:rPr>
        <w:t>Anotacija</w:t>
      </w:r>
      <w:bookmarkEnd w:id="68"/>
    </w:p>
    <w:p w:rsidR="00253F72" w:rsidRDefault="003D046E" w:rsidP="005B524E">
      <w:pPr>
        <w:suppressAutoHyphens w:val="0"/>
        <w:spacing w:after="100" w:afterAutospacing="1"/>
      </w:pPr>
      <w:r>
        <w:t>Magistro baigiamajame darbe išanalizuot</w:t>
      </w:r>
      <w:r w:rsidR="007F6737">
        <w:t>i</w:t>
      </w:r>
      <w:r>
        <w:t xml:space="preserve"> ir įvertint</w:t>
      </w:r>
      <w:r w:rsidR="007F6737">
        <w:t>i</w:t>
      </w:r>
      <w:r>
        <w:t xml:space="preserve"> </w:t>
      </w:r>
      <w:r w:rsidR="007F6737" w:rsidRPr="007124E0">
        <w:t>v</w:t>
      </w:r>
      <w:r w:rsidR="007F6737" w:rsidRPr="002670C8">
        <w:rPr>
          <w:kern w:val="24"/>
        </w:rPr>
        <w:t>iešojo ir privataus sektorių partnerystė</w:t>
      </w:r>
      <w:r w:rsidR="007F6737" w:rsidRPr="007124E0">
        <w:t>s panaudojimo ga</w:t>
      </w:r>
      <w:r w:rsidR="007F6737">
        <w:t>limybės ir poreikis</w:t>
      </w:r>
      <w:r w:rsidR="00214049">
        <w:t>, iškeltos viešojo ir privataus sektorių partnerystės panaudojimo problemos bei pateiktos rekomendacijos, kaip šias problemas spręsti.</w:t>
      </w:r>
      <w:r w:rsidR="00DC241A">
        <w:t xml:space="preserve"> Pirmoje darbo dalyje apžvelgtas </w:t>
      </w:r>
      <w:r w:rsidR="00DC241A">
        <w:rPr>
          <w:noProof/>
        </w:rPr>
        <w:t>viešojo ir privataus sektorių partnerystės vaidmuo šiuolaikiniame švietime ir moksle</w:t>
      </w:r>
      <w:r w:rsidR="00DC241A">
        <w:t>. Antroje dalyje a</w:t>
      </w:r>
      <w:r w:rsidR="006E751A">
        <w:t>pibrėžta</w:t>
      </w:r>
      <w:r w:rsidR="00DC241A" w:rsidRPr="001D1438">
        <w:t xml:space="preserve"> virtualaus universiteto sąvok</w:t>
      </w:r>
      <w:r w:rsidR="00DC241A">
        <w:t>ą</w:t>
      </w:r>
      <w:r w:rsidR="006E751A">
        <w:t xml:space="preserve">, </w:t>
      </w:r>
      <w:r w:rsidR="00DC241A" w:rsidRPr="001D1438">
        <w:t>detalizuoti virtualaus universiteto modeli</w:t>
      </w:r>
      <w:r w:rsidR="006E751A">
        <w:t>ai</w:t>
      </w:r>
      <w:r w:rsidR="00DC241A" w:rsidRPr="001D1438">
        <w:t xml:space="preserve"> bei apžve</w:t>
      </w:r>
      <w:r w:rsidR="00DC241A">
        <w:t>lgt</w:t>
      </w:r>
      <w:r w:rsidR="006E751A">
        <w:t>a</w:t>
      </w:r>
      <w:r w:rsidR="00DC241A">
        <w:t xml:space="preserve"> ger</w:t>
      </w:r>
      <w:r w:rsidR="006E751A">
        <w:t>oji pasaulinė</w:t>
      </w:r>
      <w:r w:rsidR="00DC241A">
        <w:t xml:space="preserve"> praktik</w:t>
      </w:r>
      <w:r w:rsidR="006E751A">
        <w:t>a</w:t>
      </w:r>
      <w:r w:rsidR="00DC241A">
        <w:t>.</w:t>
      </w:r>
      <w:r w:rsidR="001F4251">
        <w:t xml:space="preserve"> Trečioje dalyje aprašoma tyrimo metodologija. Tyrimo tikslas – p</w:t>
      </w:r>
      <w:r w:rsidR="00DC241A" w:rsidRPr="001D1438">
        <w:t xml:space="preserve">agrįsti literatūros </w:t>
      </w:r>
      <w:r w:rsidR="00DC241A">
        <w:t xml:space="preserve">ir atvejų </w:t>
      </w:r>
      <w:r w:rsidR="00DC241A" w:rsidRPr="001D1438">
        <w:t>analizės būdu išrinktus v</w:t>
      </w:r>
      <w:r w:rsidR="00DC241A" w:rsidRPr="002670C8">
        <w:rPr>
          <w:kern w:val="24"/>
        </w:rPr>
        <w:t>iešojo ir privataus sektorių partnerystė</w:t>
      </w:r>
      <w:r w:rsidR="00DC241A" w:rsidRPr="001D1438">
        <w:t>s galimybių taikym</w:t>
      </w:r>
      <w:r w:rsidR="00DC241A">
        <w:t>o</w:t>
      </w:r>
      <w:r w:rsidR="00DC241A" w:rsidRPr="001D1438">
        <w:t xml:space="preserve"> </w:t>
      </w:r>
      <w:r w:rsidR="00DC241A">
        <w:t>bei poreikio Lietuvos virtualaus universiteto programoje.</w:t>
      </w:r>
      <w:r w:rsidR="0078419A">
        <w:t xml:space="preserve"> Ketvirtoje dalyj</w:t>
      </w:r>
      <w:r w:rsidR="001F4251">
        <w:t>e v</w:t>
      </w:r>
      <w:r w:rsidR="001F4251" w:rsidRPr="007124E0">
        <w:t>adovaujantys tyrimo metu gautais rezultatais buvo pateiktas apibendrintas v</w:t>
      </w:r>
      <w:r w:rsidR="001F4251" w:rsidRPr="002670C8">
        <w:rPr>
          <w:kern w:val="24"/>
        </w:rPr>
        <w:t>iešojo ir privataus sektorių partnerystė</w:t>
      </w:r>
      <w:r w:rsidR="001F4251" w:rsidRPr="007124E0">
        <w:t>s panaudojimo ga</w:t>
      </w:r>
      <w:r w:rsidR="001F4251">
        <w:t>limybių ir poreikių vertinimas.</w:t>
      </w:r>
    </w:p>
    <w:p w:rsidR="00253F72" w:rsidRPr="001D1438" w:rsidRDefault="00253F72" w:rsidP="005B524E">
      <w:pPr>
        <w:suppressAutoHyphens w:val="0"/>
      </w:pPr>
      <w:r w:rsidRPr="003D046E">
        <w:rPr>
          <w:b/>
        </w:rPr>
        <w:t>Pagrindiniai žodžiai:</w:t>
      </w:r>
      <w:r>
        <w:t xml:space="preserve"> viešojo ir privataus sektorių partnerystė, virtualus universitetas, Lietuvos virtu</w:t>
      </w:r>
      <w:r w:rsidR="00DC241A">
        <w:t xml:space="preserve">alus universitetas, </w:t>
      </w:r>
      <w:r w:rsidR="00A36DB2">
        <w:t>virtualus</w:t>
      </w:r>
      <w:r w:rsidR="00DC241A">
        <w:t xml:space="preserve"> mokymas(</w:t>
      </w:r>
      <w:proofErr w:type="spellStart"/>
      <w:r>
        <w:t>is</w:t>
      </w:r>
      <w:proofErr w:type="spellEnd"/>
      <w:r>
        <w:t>)</w:t>
      </w:r>
    </w:p>
    <w:p w:rsidR="002E6B31" w:rsidRDefault="00895F5C" w:rsidP="005B524E">
      <w:pPr>
        <w:pStyle w:val="Headingwonumb"/>
        <w:suppressAutoHyphens w:val="0"/>
        <w:rPr>
          <w:sz w:val="22"/>
          <w:lang w:eastAsia="ar-SA"/>
        </w:rPr>
      </w:pPr>
      <w:r w:rsidRPr="001D1438">
        <w:rPr>
          <w:sz w:val="22"/>
          <w:lang w:eastAsia="ar-SA"/>
        </w:rPr>
        <w:br w:type="page"/>
      </w:r>
      <w:bookmarkStart w:id="69" w:name="_Toc248687477"/>
    </w:p>
    <w:p w:rsidR="002E6B31" w:rsidRPr="002E6B31" w:rsidRDefault="002E6B31" w:rsidP="005B524E">
      <w:pPr>
        <w:suppressAutoHyphens w:val="0"/>
        <w:rPr>
          <w:lang w:val="en-US" w:eastAsia="ar-SA"/>
        </w:rPr>
      </w:pPr>
      <w:r w:rsidRPr="002E6B31">
        <w:rPr>
          <w:b/>
          <w:lang w:val="en-US" w:eastAsia="ar-SA"/>
        </w:rPr>
        <w:lastRenderedPageBreak/>
        <w:t>Gubaidulin I</w:t>
      </w:r>
      <w:r w:rsidRPr="002E6B31">
        <w:rPr>
          <w:lang w:val="en-US" w:eastAsia="ar-SA"/>
        </w:rPr>
        <w:t xml:space="preserve">. </w:t>
      </w:r>
      <w:r w:rsidR="00C7234B" w:rsidRPr="00C7234B">
        <w:rPr>
          <w:lang w:val="en-US"/>
        </w:rPr>
        <w:t>Public-private partnership opportunities for Lithuanian Virtual University pr</w:t>
      </w:r>
      <w:r w:rsidR="00C7234B" w:rsidRPr="00C7234B">
        <w:rPr>
          <w:lang w:val="en-US"/>
        </w:rPr>
        <w:t>o</w:t>
      </w:r>
      <w:r w:rsidR="00C7234B" w:rsidRPr="00C7234B">
        <w:rPr>
          <w:lang w:val="en-US"/>
        </w:rPr>
        <w:t xml:space="preserve">gram </w:t>
      </w:r>
      <w:r w:rsidRPr="002E6B31">
        <w:rPr>
          <w:lang w:val="en-US"/>
        </w:rPr>
        <w:t xml:space="preserve">/ </w:t>
      </w:r>
      <w:r>
        <w:rPr>
          <w:lang w:val="en-US"/>
        </w:rPr>
        <w:t xml:space="preserve">Master’s work in </w:t>
      </w:r>
      <w:r w:rsidR="005C6804" w:rsidRPr="002E6B31">
        <w:rPr>
          <w:lang w:val="en-US"/>
        </w:rPr>
        <w:t>Electronic Business</w:t>
      </w:r>
      <w:r w:rsidR="005C6804">
        <w:rPr>
          <w:lang w:val="en-US"/>
        </w:rPr>
        <w:t xml:space="preserve"> Management</w:t>
      </w:r>
      <w:r w:rsidRPr="002E6B31">
        <w:rPr>
          <w:lang w:val="en-US"/>
        </w:rPr>
        <w:t xml:space="preserve">. </w:t>
      </w:r>
      <w:proofErr w:type="gramStart"/>
      <w:r>
        <w:rPr>
          <w:lang w:val="en-US"/>
        </w:rPr>
        <w:t>Supervisor</w:t>
      </w:r>
      <w:r w:rsidRPr="002E6B31">
        <w:rPr>
          <w:lang w:val="en-US"/>
        </w:rPr>
        <w:t xml:space="preserve"> </w:t>
      </w:r>
      <w:r>
        <w:rPr>
          <w:lang w:val="en-US"/>
        </w:rPr>
        <w:t>l</w:t>
      </w:r>
      <w:r w:rsidRPr="002E6B31">
        <w:rPr>
          <w:lang w:val="en-US"/>
        </w:rPr>
        <w:t>ect. E. Malinauskienė.</w:t>
      </w:r>
      <w:proofErr w:type="gramEnd"/>
      <w:r w:rsidRPr="002E6B31">
        <w:rPr>
          <w:lang w:val="en-US"/>
        </w:rPr>
        <w:t xml:space="preserve"> – Vilnius: </w:t>
      </w:r>
      <w:r>
        <w:rPr>
          <w:lang w:val="en-US"/>
        </w:rPr>
        <w:t xml:space="preserve">Faculty of Social Informatics, </w:t>
      </w:r>
      <w:proofErr w:type="spellStart"/>
      <w:r>
        <w:rPr>
          <w:lang w:val="en-US"/>
        </w:rPr>
        <w:t>Mykolas</w:t>
      </w:r>
      <w:proofErr w:type="spellEnd"/>
      <w:r>
        <w:rPr>
          <w:lang w:val="en-US"/>
        </w:rPr>
        <w:t xml:space="preserve"> </w:t>
      </w:r>
      <w:proofErr w:type="spellStart"/>
      <w:r>
        <w:rPr>
          <w:lang w:val="en-US"/>
        </w:rPr>
        <w:t>Romeris</w:t>
      </w:r>
      <w:proofErr w:type="spellEnd"/>
      <w:r>
        <w:rPr>
          <w:lang w:val="en-US"/>
        </w:rPr>
        <w:t xml:space="preserve"> University</w:t>
      </w:r>
      <w:r w:rsidRPr="002E6B31">
        <w:rPr>
          <w:lang w:val="en-US"/>
        </w:rPr>
        <w:t>, 2009. – 6</w:t>
      </w:r>
      <w:r w:rsidR="002D599B">
        <w:rPr>
          <w:lang w:val="en-US"/>
        </w:rPr>
        <w:t xml:space="preserve">6 </w:t>
      </w:r>
      <w:r w:rsidRPr="002E6B31">
        <w:rPr>
          <w:lang w:val="en-US"/>
        </w:rPr>
        <w:t>p.</w:t>
      </w:r>
    </w:p>
    <w:p w:rsidR="002E6B31" w:rsidRPr="002E6B31" w:rsidRDefault="002E6B31" w:rsidP="005B524E">
      <w:pPr>
        <w:pStyle w:val="Headingwonumb"/>
        <w:suppressAutoHyphens w:val="0"/>
        <w:rPr>
          <w:lang w:val="en-US" w:eastAsia="ar-SA"/>
        </w:rPr>
      </w:pPr>
      <w:bookmarkStart w:id="70" w:name="_Toc251011275"/>
      <w:r w:rsidRPr="002E6B31">
        <w:rPr>
          <w:lang w:val="en-US" w:eastAsia="ar-SA"/>
        </w:rPr>
        <w:t>AnotATION</w:t>
      </w:r>
      <w:bookmarkEnd w:id="70"/>
    </w:p>
    <w:p w:rsidR="00215E92" w:rsidRDefault="004864E6" w:rsidP="005B524E">
      <w:pPr>
        <w:suppressAutoHyphens w:val="0"/>
        <w:rPr>
          <w:lang w:val="en-US"/>
        </w:rPr>
      </w:pPr>
      <w:r w:rsidRPr="004864E6">
        <w:rPr>
          <w:lang w:val="en-US"/>
        </w:rPr>
        <w:t xml:space="preserve">Presented in this thesis are the evaluations and analysis of the needs and requirements for the use of partnership of the public and private sectors, important points have been raised for the problems of such a partnership and </w:t>
      </w:r>
      <w:r w:rsidR="00E91D0E" w:rsidRPr="004864E6">
        <w:rPr>
          <w:lang w:val="en-US"/>
        </w:rPr>
        <w:t>recommendations</w:t>
      </w:r>
      <w:r w:rsidRPr="004864E6">
        <w:rPr>
          <w:lang w:val="en-US"/>
        </w:rPr>
        <w:t xml:space="preserve"> </w:t>
      </w:r>
      <w:proofErr w:type="gramStart"/>
      <w:r w:rsidRPr="004864E6">
        <w:rPr>
          <w:lang w:val="en-US"/>
        </w:rPr>
        <w:t>outlined,</w:t>
      </w:r>
      <w:proofErr w:type="gramEnd"/>
      <w:r w:rsidRPr="004864E6">
        <w:rPr>
          <w:lang w:val="en-US"/>
        </w:rPr>
        <w:t xml:space="preserve"> how to fix those problems. The role of public and private partnership in education and scientific </w:t>
      </w:r>
      <w:r w:rsidR="00E91D0E" w:rsidRPr="004864E6">
        <w:rPr>
          <w:lang w:val="en-US"/>
        </w:rPr>
        <w:t>research</w:t>
      </w:r>
      <w:r w:rsidRPr="004864E6">
        <w:rPr>
          <w:lang w:val="en-US"/>
        </w:rPr>
        <w:t xml:space="preserve"> is examined in the first part. The definition of a virtual university, detailed models and world's best practices are described in the second part. The research methodology is described in the third part. The objective of the research is, to base the poss</w:t>
      </w:r>
      <w:r w:rsidRPr="004864E6">
        <w:rPr>
          <w:lang w:val="en-US"/>
        </w:rPr>
        <w:t>i</w:t>
      </w:r>
      <w:r w:rsidRPr="004864E6">
        <w:rPr>
          <w:lang w:val="en-US"/>
        </w:rPr>
        <w:t>bilities and needs of application of the partnership of public and private sectors, in the Lithuanian virtual university program, using literature and case analysis. The overall evaluation of the possibilities and needs of use of the public and private sector partnership, based on the results of the research, is provided in the fourth part.</w:t>
      </w:r>
    </w:p>
    <w:p w:rsidR="002E6B31" w:rsidRPr="002E6B31" w:rsidRDefault="002E6B31" w:rsidP="005B524E">
      <w:pPr>
        <w:suppressAutoHyphens w:val="0"/>
        <w:spacing w:before="100" w:beforeAutospacing="1"/>
        <w:rPr>
          <w:lang w:val="en-US"/>
        </w:rPr>
      </w:pPr>
      <w:r w:rsidRPr="002E6B31">
        <w:rPr>
          <w:b/>
          <w:lang w:val="en-US"/>
        </w:rPr>
        <w:t>Keywords:</w:t>
      </w:r>
      <w:r w:rsidRPr="002E6B31">
        <w:rPr>
          <w:lang w:val="en-US"/>
        </w:rPr>
        <w:t xml:space="preserve"> </w:t>
      </w:r>
      <w:r w:rsidR="00310737">
        <w:rPr>
          <w:lang w:val="en-US"/>
        </w:rPr>
        <w:t>p</w:t>
      </w:r>
      <w:r w:rsidR="00310737" w:rsidRPr="00310737">
        <w:rPr>
          <w:lang w:val="en-US"/>
        </w:rPr>
        <w:t>ublic-private partnership</w:t>
      </w:r>
      <w:r w:rsidRPr="002E6B31">
        <w:rPr>
          <w:lang w:val="en-US"/>
        </w:rPr>
        <w:t xml:space="preserve">, </w:t>
      </w:r>
      <w:r w:rsidR="00310737">
        <w:rPr>
          <w:lang w:val="en-US"/>
        </w:rPr>
        <w:t>v</w:t>
      </w:r>
      <w:r w:rsidR="00310737" w:rsidRPr="00310737">
        <w:rPr>
          <w:lang w:val="en-US"/>
        </w:rPr>
        <w:t>irtual university</w:t>
      </w:r>
      <w:r w:rsidR="00310737">
        <w:rPr>
          <w:lang w:val="en-US"/>
        </w:rPr>
        <w:t xml:space="preserve">, </w:t>
      </w:r>
      <w:r w:rsidR="00445F40" w:rsidRPr="00445F40">
        <w:rPr>
          <w:lang w:val="en-US"/>
        </w:rPr>
        <w:t>Lithuanian Virtual University</w:t>
      </w:r>
      <w:r w:rsidR="00310737">
        <w:rPr>
          <w:lang w:val="en-US"/>
        </w:rPr>
        <w:t xml:space="preserve">, </w:t>
      </w:r>
      <w:r w:rsidR="00A36DB2">
        <w:rPr>
          <w:lang w:val="en-US"/>
        </w:rPr>
        <w:t xml:space="preserve">virtual </w:t>
      </w:r>
      <w:r w:rsidR="00310737">
        <w:rPr>
          <w:lang w:val="en-US"/>
        </w:rPr>
        <w:t>learning.</w:t>
      </w:r>
    </w:p>
    <w:p w:rsidR="002E6B31" w:rsidRDefault="002E6B31" w:rsidP="005B524E">
      <w:pPr>
        <w:pStyle w:val="Headingwonumb"/>
        <w:suppressAutoHyphens w:val="0"/>
        <w:rPr>
          <w:sz w:val="22"/>
          <w:lang w:eastAsia="ar-SA"/>
        </w:rPr>
      </w:pPr>
      <w:r w:rsidRPr="001D1438">
        <w:rPr>
          <w:sz w:val="22"/>
          <w:lang w:eastAsia="ar-SA"/>
        </w:rPr>
        <w:br w:type="page"/>
      </w:r>
    </w:p>
    <w:p w:rsidR="00FE7184" w:rsidRDefault="00FE7184" w:rsidP="005B524E">
      <w:pPr>
        <w:suppressAutoHyphens w:val="0"/>
        <w:rPr>
          <w:lang w:eastAsia="ar-SA"/>
        </w:rPr>
      </w:pPr>
      <w:r w:rsidRPr="00396058">
        <w:rPr>
          <w:b/>
          <w:lang w:eastAsia="ar-SA"/>
        </w:rPr>
        <w:lastRenderedPageBreak/>
        <w:t>Gubaidulin I</w:t>
      </w:r>
      <w:r>
        <w:rPr>
          <w:lang w:eastAsia="ar-SA"/>
        </w:rPr>
        <w:t xml:space="preserve">. </w:t>
      </w:r>
      <w:r w:rsidRPr="00FC6E95">
        <w:t>Viešojo ir privataus s</w:t>
      </w:r>
      <w:r>
        <w:t>ektorių partnerystės galimybės L</w:t>
      </w:r>
      <w:r w:rsidRPr="00FC6E95">
        <w:t xml:space="preserve">ietuvos virtualaus </w:t>
      </w:r>
      <w:r w:rsidR="00673428">
        <w:t xml:space="preserve">universiteto programoje </w:t>
      </w:r>
      <w:r>
        <w:t>/ Elektroninio verslo vadybos magistro baigiamasis darbas. Vadovas lekt. E. Mal</w:t>
      </w:r>
      <w:r>
        <w:t>i</w:t>
      </w:r>
      <w:r>
        <w:t xml:space="preserve">nauskienė. – Vilnius: Mykolo Romerio universitetas, Socialinės informatikos fakultetas, </w:t>
      </w:r>
      <w:r>
        <w:rPr>
          <w:lang w:val="ru-RU"/>
        </w:rPr>
        <w:t>2009</w:t>
      </w:r>
      <w:r>
        <w:rPr>
          <w:lang w:val="en-US"/>
        </w:rPr>
        <w:t>. – 6</w:t>
      </w:r>
      <w:r w:rsidR="007B07B8">
        <w:rPr>
          <w:lang w:val="ru-RU"/>
        </w:rPr>
        <w:t xml:space="preserve">6 </w:t>
      </w:r>
      <w:r w:rsidR="007B07B8">
        <w:rPr>
          <w:lang w:val="en-US"/>
        </w:rPr>
        <w:t>p</w:t>
      </w:r>
      <w:r>
        <w:rPr>
          <w:lang w:val="en-US"/>
        </w:rPr>
        <w:t>.</w:t>
      </w:r>
    </w:p>
    <w:p w:rsidR="00895F5C" w:rsidRPr="001D1438" w:rsidRDefault="00895F5C" w:rsidP="005B524E">
      <w:pPr>
        <w:pStyle w:val="Headingwonumb"/>
        <w:suppressAutoHyphens w:val="0"/>
        <w:rPr>
          <w:lang w:eastAsia="ar-SA"/>
        </w:rPr>
      </w:pPr>
      <w:bookmarkStart w:id="71" w:name="_Toc251011276"/>
      <w:r w:rsidRPr="001D1438">
        <w:rPr>
          <w:lang w:eastAsia="ar-SA"/>
        </w:rPr>
        <w:t>Santrauka</w:t>
      </w:r>
      <w:bookmarkEnd w:id="69"/>
      <w:bookmarkEnd w:id="71"/>
    </w:p>
    <w:p w:rsidR="00895F5C" w:rsidRDefault="00BE37A0" w:rsidP="005B524E">
      <w:pPr>
        <w:suppressAutoHyphens w:val="0"/>
      </w:pPr>
      <w:r>
        <w:rPr>
          <w:lang w:eastAsia="ar-SA"/>
        </w:rPr>
        <w:t>Elektroninio verslo vadybos magistro baigiamojo darbo tema yra aktuali</w:t>
      </w:r>
      <w:r w:rsidR="00385A05">
        <w:rPr>
          <w:lang w:eastAsia="ar-SA"/>
        </w:rPr>
        <w:t>: v</w:t>
      </w:r>
      <w:r>
        <w:rPr>
          <w:lang w:eastAsia="ar-SA"/>
        </w:rPr>
        <w:t xml:space="preserve">irtualaus </w:t>
      </w:r>
      <w:r w:rsidRPr="001D1438">
        <w:t xml:space="preserve">universiteto kūrimas yra vienas iš aktualiausių Lietuvos švietimo politikos klausimų. Jis yra įtvirtintas </w:t>
      </w:r>
      <w:r w:rsidRPr="001D1438">
        <w:rPr>
          <w:rFonts w:eastAsia="Arial"/>
          <w:lang w:bidi="en-US"/>
        </w:rPr>
        <w:t>L</w:t>
      </w:r>
      <w:r w:rsidRPr="001D1438">
        <w:rPr>
          <w:rFonts w:eastAsia="TimesNewRoman" w:cs="TimesNewRoman"/>
          <w:lang w:bidi="en-US"/>
        </w:rPr>
        <w:t>ietuvos virtualaus universiteto 2007</w:t>
      </w:r>
      <w:r>
        <w:rPr>
          <w:rFonts w:eastAsia="TimesNewRoman" w:cs="TimesNewRoman"/>
          <w:lang w:bidi="en-US"/>
        </w:rPr>
        <w:t>–</w:t>
      </w:r>
      <w:r w:rsidRPr="001D1438">
        <w:rPr>
          <w:rFonts w:eastAsia="TimesNewRoman" w:cs="TimesNewRoman"/>
          <w:lang w:bidi="en-US"/>
        </w:rPr>
        <w:t>2012 metų programoje</w:t>
      </w:r>
      <w:r>
        <w:rPr>
          <w:rFonts w:eastAsia="TimesNewRoman" w:cs="TimesNewRoman"/>
          <w:lang w:bidi="en-US"/>
        </w:rPr>
        <w:t xml:space="preserve"> (toliau – LVU)</w:t>
      </w:r>
      <w:r w:rsidRPr="001D1438">
        <w:rPr>
          <w:rFonts w:eastAsia="TimesNewRoman" w:cs="TimesNewRoman"/>
          <w:lang w:bidi="en-US"/>
        </w:rPr>
        <w:t>. Tačiau, nors šis klausimas ir yra aktualus, Lietuvoje jis nėra pakankamai</w:t>
      </w:r>
      <w:r>
        <w:t xml:space="preserve"> </w:t>
      </w:r>
      <w:r w:rsidRPr="001D1438">
        <w:t>nagrinėtas, trūksta tiek teorinio pagrindo, tiek ir empirinių tyrimų šioje srityje.</w:t>
      </w:r>
      <w:r w:rsidR="0066341C">
        <w:t xml:space="preserve"> Kitą vertus, </w:t>
      </w:r>
      <w:r w:rsidR="0066341C" w:rsidRPr="001D1438">
        <w:t xml:space="preserve">ES aktuose </w:t>
      </w:r>
      <w:r w:rsidR="0066341C">
        <w:t>daug dėmesio skiriama</w:t>
      </w:r>
      <w:r w:rsidR="0066341C" w:rsidRPr="001D1438">
        <w:t xml:space="preserve"> privači</w:t>
      </w:r>
      <w:r w:rsidR="0066341C">
        <w:t>ų</w:t>
      </w:r>
      <w:r w:rsidR="0066341C" w:rsidRPr="001D1438">
        <w:t xml:space="preserve"> lėš</w:t>
      </w:r>
      <w:r w:rsidR="0066341C">
        <w:t xml:space="preserve">ų </w:t>
      </w:r>
      <w:r w:rsidR="0066341C" w:rsidRPr="001D1438">
        <w:t xml:space="preserve">(įskaitant per viešojo ir privataus sektorių partnerystės modelį) į struktūrinių fondų finansuojamus projektus </w:t>
      </w:r>
      <w:r w:rsidR="0066341C">
        <w:t xml:space="preserve">pritraukimui </w:t>
      </w:r>
      <w:r w:rsidR="0066341C" w:rsidRPr="001D1438">
        <w:t>(</w:t>
      </w:r>
      <w:proofErr w:type="spellStart"/>
      <w:r w:rsidR="0066341C" w:rsidRPr="001D1438">
        <w:t>Brožaitis</w:t>
      </w:r>
      <w:proofErr w:type="spellEnd"/>
      <w:r w:rsidR="0066341C" w:rsidRPr="001D1438">
        <w:t>, 2004)</w:t>
      </w:r>
      <w:r w:rsidR="0066341C" w:rsidRPr="001D1438">
        <w:rPr>
          <w:rFonts w:eastAsia="TimesNewRoman" w:cs="TimesNewRoman"/>
          <w:lang w:bidi="en-US"/>
        </w:rPr>
        <w:t xml:space="preserve">, todėl atliekant tiriamąjį darbą </w:t>
      </w:r>
      <w:r w:rsidR="0066341C">
        <w:t>virtualaus universite</w:t>
      </w:r>
      <w:r w:rsidR="0066341C" w:rsidRPr="001D1438">
        <w:t>tas bus nagrinėjamas kaip pri</w:t>
      </w:r>
      <w:r w:rsidR="0066341C" w:rsidRPr="001D1438">
        <w:t>e</w:t>
      </w:r>
      <w:r w:rsidR="0066341C" w:rsidRPr="001D1438">
        <w:t>monė pasiekti viešojo ir privataus sektorių partnerystę.</w:t>
      </w:r>
    </w:p>
    <w:p w:rsidR="0066341C" w:rsidRDefault="0066341C" w:rsidP="005B524E">
      <w:pPr>
        <w:suppressAutoHyphens w:val="0"/>
      </w:pPr>
      <w:r w:rsidRPr="0066341C">
        <w:rPr>
          <w:lang w:eastAsia="ar-SA"/>
        </w:rPr>
        <w:t>Šio magistro darbo tikslas</w:t>
      </w:r>
      <w:r>
        <w:rPr>
          <w:lang w:eastAsia="ar-SA"/>
        </w:rPr>
        <w:t xml:space="preserve"> – </w:t>
      </w:r>
      <w:r>
        <w:t>atlikti viešojo ir privataus sektorių partnerystės</w:t>
      </w:r>
      <w:r w:rsidR="00B838DC">
        <w:t xml:space="preserve"> (toliau VPSP)</w:t>
      </w:r>
      <w:r>
        <w:t xml:space="preserve"> gal</w:t>
      </w:r>
      <w:r>
        <w:t>i</w:t>
      </w:r>
      <w:r>
        <w:t>mybių analizę kuriant virtualų universitetą bei pateikti rekomendacijas dėl jos taikymo Lietuvos virtualaus universiteto atveju</w:t>
      </w:r>
      <w:r w:rsidRPr="001D1438">
        <w:t>.</w:t>
      </w:r>
    </w:p>
    <w:p w:rsidR="00960FAD" w:rsidRDefault="0056497D" w:rsidP="005B524E">
      <w:pPr>
        <w:suppressAutoHyphens w:val="0"/>
      </w:pPr>
      <w:r w:rsidRPr="0056497D">
        <w:rPr>
          <w:lang w:eastAsia="ar-SA"/>
        </w:rPr>
        <w:t>Pagrindiniai magistro darbo uždaviniai</w:t>
      </w:r>
      <w:r>
        <w:rPr>
          <w:lang w:eastAsia="ar-SA"/>
        </w:rPr>
        <w:t xml:space="preserve"> – </w:t>
      </w:r>
      <w:r w:rsidR="00B838DC">
        <w:t xml:space="preserve">apžvelgti </w:t>
      </w:r>
      <w:r w:rsidR="00DD7208">
        <w:rPr>
          <w:noProof/>
        </w:rPr>
        <w:t>VPSP</w:t>
      </w:r>
      <w:r w:rsidR="00B838DC">
        <w:rPr>
          <w:noProof/>
        </w:rPr>
        <w:t xml:space="preserve"> vaidmenį šiuolaikiniame švietime ir moksle</w:t>
      </w:r>
      <w:r w:rsidR="00DD7208">
        <w:t xml:space="preserve"> bei a</w:t>
      </w:r>
      <w:r w:rsidR="00DD7208" w:rsidRPr="001D1438">
        <w:t>pibrėžti virtualaus universiteto sąvok</w:t>
      </w:r>
      <w:r w:rsidR="00DD7208">
        <w:t>ą</w:t>
      </w:r>
      <w:r w:rsidR="00DD7208" w:rsidRPr="001D1438">
        <w:t>, detalizuoti virtualaus universiteto modelius bei apžve</w:t>
      </w:r>
      <w:r w:rsidR="00DD7208">
        <w:t>lgti gerąją pasaulinę praktiką.</w:t>
      </w:r>
      <w:r w:rsidR="00352774">
        <w:t xml:space="preserve"> Be to, </w:t>
      </w:r>
      <w:r w:rsidR="00FE1FCC">
        <w:t>p</w:t>
      </w:r>
      <w:r w:rsidR="00FE1FCC" w:rsidRPr="001D1438">
        <w:t xml:space="preserve">agrįsti literatūros </w:t>
      </w:r>
      <w:r w:rsidR="00FE1FCC">
        <w:t xml:space="preserve">ir atvejų </w:t>
      </w:r>
      <w:r w:rsidR="00FE1FCC" w:rsidRPr="001D1438">
        <w:t>analizės būdu išrinktus v</w:t>
      </w:r>
      <w:r w:rsidR="00FE1FCC" w:rsidRPr="002670C8">
        <w:rPr>
          <w:kern w:val="24"/>
        </w:rPr>
        <w:t>iešojo ir privataus sektorių partnerystė</w:t>
      </w:r>
      <w:r w:rsidR="00FE1FCC" w:rsidRPr="001D1438">
        <w:t>s galimybių taikym</w:t>
      </w:r>
      <w:r w:rsidR="00FE1FCC">
        <w:t>o</w:t>
      </w:r>
      <w:r w:rsidR="00FE1FCC" w:rsidRPr="001D1438">
        <w:t xml:space="preserve"> </w:t>
      </w:r>
      <w:r w:rsidR="00FE1FCC">
        <w:t>bei poreikio Lietuvos virtualaus universiteto pr</w:t>
      </w:r>
      <w:r w:rsidR="00FE1FCC">
        <w:t>o</w:t>
      </w:r>
      <w:r w:rsidR="00FE1FCC">
        <w:t>gramoje tyrimą</w:t>
      </w:r>
      <w:r w:rsidR="00143416">
        <w:t xml:space="preserve"> bei p</w:t>
      </w:r>
      <w:r w:rsidR="00143416" w:rsidRPr="00EE7067">
        <w:t xml:space="preserve">ateikti rekomendacijas </w:t>
      </w:r>
      <w:r w:rsidR="00143416">
        <w:t xml:space="preserve">dėl </w:t>
      </w:r>
      <w:r w:rsidR="00143416" w:rsidRPr="00EE7067">
        <w:t>v</w:t>
      </w:r>
      <w:r w:rsidR="00143416" w:rsidRPr="002670C8">
        <w:rPr>
          <w:kern w:val="24"/>
        </w:rPr>
        <w:t>iešojo ir privataus sektorių partnerystė</w:t>
      </w:r>
      <w:r w:rsidR="00143416" w:rsidRPr="00EE7067">
        <w:t>s kuriamam Lietuvos virtualiam universitetui</w:t>
      </w:r>
      <w:r w:rsidR="00143416">
        <w:t xml:space="preserve"> bei kitoms susijusioms institucijoms.</w:t>
      </w:r>
    </w:p>
    <w:p w:rsidR="00337FC8" w:rsidRDefault="00337FC8" w:rsidP="005B524E">
      <w:pPr>
        <w:suppressAutoHyphens w:val="0"/>
        <w:rPr>
          <w:lang w:eastAsia="ar-SA"/>
        </w:rPr>
      </w:pPr>
      <w:r w:rsidRPr="00337FC8">
        <w:rPr>
          <w:lang w:eastAsia="ar-SA"/>
        </w:rPr>
        <w:t>Mokslinės literatūros analizės metu,</w:t>
      </w:r>
      <w:r>
        <w:rPr>
          <w:lang w:eastAsia="ar-SA"/>
        </w:rPr>
        <w:t xml:space="preserve"> buvo išskirtas virtualaus universiteto apibrėžimas, pateiktos dažniausiai literatūroje sutinkami modeliai. Taip pat buvo išskirti VPSP samprata bei pagrindiniai modeliai, aprašyti VPSP taikymo privalumai ir trukumai tiek bendroje praktikoje, tiek ir švietimo </w:t>
      </w:r>
      <w:r w:rsidR="00376B46">
        <w:rPr>
          <w:lang w:eastAsia="ar-SA"/>
        </w:rPr>
        <w:t xml:space="preserve">ir mokslo </w:t>
      </w:r>
      <w:r>
        <w:rPr>
          <w:lang w:eastAsia="ar-SA"/>
        </w:rPr>
        <w:t>s</w:t>
      </w:r>
      <w:r w:rsidR="00376B46">
        <w:rPr>
          <w:lang w:eastAsia="ar-SA"/>
        </w:rPr>
        <w:t>rityje</w:t>
      </w:r>
      <w:r>
        <w:rPr>
          <w:lang w:eastAsia="ar-SA"/>
        </w:rPr>
        <w:t>.</w:t>
      </w:r>
    </w:p>
    <w:p w:rsidR="00E87DE5" w:rsidRDefault="00E87DE5" w:rsidP="005B524E">
      <w:pPr>
        <w:suppressAutoHyphens w:val="0"/>
      </w:pPr>
      <w:r w:rsidRPr="00E87DE5">
        <w:rPr>
          <w:lang w:eastAsia="ar-SA"/>
        </w:rPr>
        <w:t>Naudojant kiekybinės analizės metod</w:t>
      </w:r>
      <w:r>
        <w:rPr>
          <w:lang w:eastAsia="ar-SA"/>
        </w:rPr>
        <w:t>ą</w:t>
      </w:r>
      <w:r w:rsidRPr="00E87DE5">
        <w:rPr>
          <w:lang w:eastAsia="ar-SA"/>
        </w:rPr>
        <w:t xml:space="preserve"> –</w:t>
      </w:r>
      <w:r>
        <w:rPr>
          <w:lang w:eastAsia="ar-SA"/>
        </w:rPr>
        <w:t xml:space="preserve"> ekspertinį interviu, buvo atliktas</w:t>
      </w:r>
      <w:r w:rsidR="002919C4">
        <w:rPr>
          <w:lang w:eastAsia="ar-SA"/>
        </w:rPr>
        <w:t xml:space="preserve"> tyrimas, kurio</w:t>
      </w:r>
      <w:r>
        <w:rPr>
          <w:lang w:eastAsia="ar-SA"/>
        </w:rPr>
        <w:t xml:space="preserve"> </w:t>
      </w:r>
      <w:r w:rsidR="002919C4">
        <w:rPr>
          <w:lang w:eastAsia="ar-SA"/>
        </w:rPr>
        <w:t>tik</w:t>
      </w:r>
      <w:r w:rsidR="00B55EDF">
        <w:rPr>
          <w:lang w:eastAsia="ar-SA"/>
        </w:rPr>
        <w:t>s</w:t>
      </w:r>
      <w:r w:rsidR="002919C4">
        <w:rPr>
          <w:lang w:eastAsia="ar-SA"/>
        </w:rPr>
        <w:t xml:space="preserve">las – </w:t>
      </w:r>
      <w:r w:rsidR="002919C4" w:rsidRPr="001D1438">
        <w:t xml:space="preserve">pagrįsti literatūros </w:t>
      </w:r>
      <w:r w:rsidR="002919C4">
        <w:t xml:space="preserve">ir atvejų </w:t>
      </w:r>
      <w:r w:rsidR="002919C4" w:rsidRPr="001D1438">
        <w:t xml:space="preserve">analizės būdu išrinktus </w:t>
      </w:r>
      <w:r w:rsidR="002919C4">
        <w:t>VPSP</w:t>
      </w:r>
      <w:r w:rsidR="002919C4" w:rsidRPr="001D1438">
        <w:t xml:space="preserve"> galimybių taikymą </w:t>
      </w:r>
      <w:r w:rsidR="002919C4">
        <w:t>bei poreikį Lietuvos virtualaus universiteto programoje.</w:t>
      </w:r>
      <w:r w:rsidR="00B55EDF">
        <w:t xml:space="preserve"> </w:t>
      </w:r>
      <w:r w:rsidR="00B55EDF" w:rsidRPr="00231700">
        <w:t>Šiame tyrime ekspert</w:t>
      </w:r>
      <w:r w:rsidR="00B55EDF">
        <w:t>ams</w:t>
      </w:r>
      <w:r w:rsidR="00B55EDF" w:rsidRPr="00231700">
        <w:t xml:space="preserve"> atstovavo</w:t>
      </w:r>
      <w:r w:rsidR="00B55EDF">
        <w:t xml:space="preserve"> LVU tarybos</w:t>
      </w:r>
      <w:r w:rsidR="00B55EDF" w:rsidRPr="00C55A85">
        <w:t>, verslo ir mokslo atstov</w:t>
      </w:r>
      <w:r w:rsidR="00B55EDF">
        <w:t>ai.</w:t>
      </w:r>
    </w:p>
    <w:p w:rsidR="00365ADE" w:rsidRPr="009C60DB" w:rsidRDefault="009777BA" w:rsidP="005B524E">
      <w:pPr>
        <w:suppressAutoHyphens w:val="0"/>
      </w:pPr>
      <w:r w:rsidRPr="007124E0">
        <w:t xml:space="preserve">Vadovaujantys tyrimo metu gautais rezultatais buvo pateiktas apibendrintas </w:t>
      </w:r>
      <w:r w:rsidR="0073785A">
        <w:t>VPSP</w:t>
      </w:r>
      <w:r w:rsidRPr="007124E0">
        <w:t xml:space="preserve"> panaudojimo ga</w:t>
      </w:r>
      <w:r>
        <w:t>limybių ir poreikių vertinimas bei</w:t>
      </w:r>
      <w:r w:rsidR="009C60DB">
        <w:t>,</w:t>
      </w:r>
      <w:r>
        <w:t xml:space="preserve"> a</w:t>
      </w:r>
      <w:r w:rsidRPr="007124E0">
        <w:t xml:space="preserve">tsižvelgiant </w:t>
      </w:r>
      <w:r w:rsidR="00A21789">
        <w:t>į jį</w:t>
      </w:r>
      <w:r w:rsidRPr="007124E0">
        <w:t xml:space="preserve">, kuriamam LVU buvo </w:t>
      </w:r>
      <w:r w:rsidR="00863AA3">
        <w:t xml:space="preserve">pasiūlytos </w:t>
      </w:r>
      <w:r w:rsidRPr="007124E0">
        <w:t>rekomendacijos</w:t>
      </w:r>
      <w:r>
        <w:t xml:space="preserve"> nacionaliniu, švietimo ir mokslo sistemos bei programos lygmenimis</w:t>
      </w:r>
      <w:r w:rsidRPr="007124E0">
        <w:t>.</w:t>
      </w:r>
    </w:p>
    <w:p w:rsidR="00104BCE" w:rsidRPr="00104BCE" w:rsidRDefault="00104BCE" w:rsidP="005B524E">
      <w:pPr>
        <w:suppressAutoHyphens w:val="0"/>
        <w:spacing w:after="100" w:afterAutospacing="1"/>
        <w:rPr>
          <w:lang w:val="en-US" w:eastAsia="ar-SA"/>
        </w:rPr>
      </w:pPr>
      <w:bookmarkStart w:id="72" w:name="_Toc248687478"/>
      <w:r w:rsidRPr="002E6B31">
        <w:rPr>
          <w:b/>
          <w:lang w:val="en-US" w:eastAsia="ar-SA"/>
        </w:rPr>
        <w:t>Gubaidulin I</w:t>
      </w:r>
      <w:r w:rsidRPr="002E6B31">
        <w:rPr>
          <w:lang w:val="en-US" w:eastAsia="ar-SA"/>
        </w:rPr>
        <w:t xml:space="preserve">. </w:t>
      </w:r>
      <w:r w:rsidRPr="00BA48BE">
        <w:rPr>
          <w:lang w:val="en-US"/>
        </w:rPr>
        <w:t>Public-private partnership opportunities for Lithuanian Virtual University pr</w:t>
      </w:r>
      <w:r w:rsidRPr="00BA48BE">
        <w:rPr>
          <w:lang w:val="en-US"/>
        </w:rPr>
        <w:t>o</w:t>
      </w:r>
      <w:r w:rsidRPr="00BA48BE">
        <w:rPr>
          <w:lang w:val="en-US"/>
        </w:rPr>
        <w:lastRenderedPageBreak/>
        <w:t xml:space="preserve">gram </w:t>
      </w:r>
      <w:r w:rsidRPr="002E6B31">
        <w:rPr>
          <w:lang w:val="en-US"/>
        </w:rPr>
        <w:t xml:space="preserve">/ </w:t>
      </w:r>
      <w:r>
        <w:rPr>
          <w:lang w:val="en-US"/>
        </w:rPr>
        <w:t xml:space="preserve">Master’s work in </w:t>
      </w:r>
      <w:r w:rsidRPr="002E6B31">
        <w:rPr>
          <w:lang w:val="en-US"/>
        </w:rPr>
        <w:t>Electronic Business</w:t>
      </w:r>
      <w:r>
        <w:rPr>
          <w:lang w:val="en-US"/>
        </w:rPr>
        <w:t xml:space="preserve"> Management</w:t>
      </w:r>
      <w:r w:rsidRPr="002E6B31">
        <w:rPr>
          <w:lang w:val="en-US"/>
        </w:rPr>
        <w:t xml:space="preserve">. </w:t>
      </w:r>
      <w:proofErr w:type="gramStart"/>
      <w:r>
        <w:rPr>
          <w:lang w:val="en-US"/>
        </w:rPr>
        <w:t>Supervisor</w:t>
      </w:r>
      <w:r w:rsidRPr="002E6B31">
        <w:rPr>
          <w:lang w:val="en-US"/>
        </w:rPr>
        <w:t xml:space="preserve"> </w:t>
      </w:r>
      <w:r>
        <w:rPr>
          <w:lang w:val="en-US"/>
        </w:rPr>
        <w:t>l</w:t>
      </w:r>
      <w:r w:rsidRPr="002E6B31">
        <w:rPr>
          <w:lang w:val="en-US"/>
        </w:rPr>
        <w:t>ect. E. Malinauskienė.</w:t>
      </w:r>
      <w:proofErr w:type="gramEnd"/>
      <w:r w:rsidRPr="002E6B31">
        <w:rPr>
          <w:lang w:val="en-US"/>
        </w:rPr>
        <w:t xml:space="preserve"> – Vilnius: </w:t>
      </w:r>
      <w:r>
        <w:rPr>
          <w:lang w:val="en-US"/>
        </w:rPr>
        <w:t xml:space="preserve">Faculty of Social Informatics, </w:t>
      </w:r>
      <w:proofErr w:type="spellStart"/>
      <w:r>
        <w:rPr>
          <w:lang w:val="en-US"/>
        </w:rPr>
        <w:t>Mykolas</w:t>
      </w:r>
      <w:proofErr w:type="spellEnd"/>
      <w:r>
        <w:rPr>
          <w:lang w:val="en-US"/>
        </w:rPr>
        <w:t xml:space="preserve"> </w:t>
      </w:r>
      <w:proofErr w:type="spellStart"/>
      <w:r>
        <w:rPr>
          <w:lang w:val="en-US"/>
        </w:rPr>
        <w:t>Romeris</w:t>
      </w:r>
      <w:proofErr w:type="spellEnd"/>
      <w:r>
        <w:rPr>
          <w:lang w:val="en-US"/>
        </w:rPr>
        <w:t xml:space="preserve"> University</w:t>
      </w:r>
      <w:r w:rsidRPr="002E6B31">
        <w:rPr>
          <w:lang w:val="en-US"/>
        </w:rPr>
        <w:t>, 2009. – 6</w:t>
      </w:r>
      <w:r>
        <w:rPr>
          <w:lang w:val="ru-RU"/>
        </w:rPr>
        <w:t>6</w:t>
      </w:r>
      <w:r>
        <w:rPr>
          <w:lang w:val="en-US"/>
        </w:rPr>
        <w:t xml:space="preserve"> </w:t>
      </w:r>
      <w:r w:rsidRPr="002E6B31">
        <w:rPr>
          <w:lang w:val="en-US"/>
        </w:rPr>
        <w:t>p.</w:t>
      </w:r>
    </w:p>
    <w:p w:rsidR="00895F5C" w:rsidRPr="00EE100A" w:rsidRDefault="00895F5C" w:rsidP="005B524E">
      <w:pPr>
        <w:pStyle w:val="Headingwonumb"/>
        <w:suppressAutoHyphens w:val="0"/>
        <w:rPr>
          <w:lang w:eastAsia="ar-SA"/>
        </w:rPr>
      </w:pPr>
      <w:bookmarkStart w:id="73" w:name="_Toc251011277"/>
      <w:r w:rsidRPr="001D1438">
        <w:rPr>
          <w:lang w:eastAsia="ar-SA"/>
        </w:rPr>
        <w:t>S</w:t>
      </w:r>
      <w:bookmarkEnd w:id="72"/>
      <w:r w:rsidR="00BE37A0">
        <w:rPr>
          <w:lang w:eastAsia="ar-SA"/>
        </w:rPr>
        <w:t>ummary</w:t>
      </w:r>
      <w:bookmarkEnd w:id="73"/>
    </w:p>
    <w:p w:rsidR="00472A93" w:rsidRPr="00472A93" w:rsidRDefault="00472A93" w:rsidP="005B524E">
      <w:pPr>
        <w:suppressAutoHyphens w:val="0"/>
        <w:rPr>
          <w:lang w:val="en-US" w:eastAsia="ar-SA"/>
        </w:rPr>
      </w:pPr>
      <w:r w:rsidRPr="00472A93">
        <w:rPr>
          <w:lang w:val="en-US" w:eastAsia="ar-SA"/>
        </w:rPr>
        <w:t>The subject of the thesis of E-Business management is important: the establishment of the Lith</w:t>
      </w:r>
      <w:r w:rsidRPr="00472A93">
        <w:rPr>
          <w:lang w:val="en-US" w:eastAsia="ar-SA"/>
        </w:rPr>
        <w:t>u</w:t>
      </w:r>
      <w:r w:rsidRPr="00472A93">
        <w:rPr>
          <w:lang w:val="en-US" w:eastAsia="ar-SA"/>
        </w:rPr>
        <w:t>anian Virtual University is a very relevant subject. It is established in the 2007-2012 Lithuanian Virtual University (LVU) program. The subject is not studied in Lithuania in detail, even though the subject is relevant. The area lacks theoretical base and empirical studies. On the other hand, the EU regulations give much attention for the private funding reaching the structural funds</w:t>
      </w:r>
      <w:r>
        <w:rPr>
          <w:lang w:val="en-US" w:eastAsia="ar-SA"/>
        </w:rPr>
        <w:t xml:space="preserve"> </w:t>
      </w:r>
      <w:r w:rsidRPr="00472A93">
        <w:rPr>
          <w:lang w:val="en-US" w:eastAsia="ar-SA"/>
        </w:rPr>
        <w:t>(including through the public and private partnership models) (</w:t>
      </w:r>
      <w:proofErr w:type="spellStart"/>
      <w:r w:rsidRPr="00472A93">
        <w:rPr>
          <w:lang w:val="en-US" w:eastAsia="ar-SA"/>
        </w:rPr>
        <w:t>Bruozaitis</w:t>
      </w:r>
      <w:proofErr w:type="spellEnd"/>
      <w:r w:rsidRPr="00472A93">
        <w:rPr>
          <w:lang w:val="en-US" w:eastAsia="ar-SA"/>
        </w:rPr>
        <w:t>, 2004), therefore in the research the virtual university will be analyzed as a tool to establish the public and private sector partnership.</w:t>
      </w:r>
    </w:p>
    <w:p w:rsidR="00472A93" w:rsidRPr="00472A93" w:rsidRDefault="00472A93" w:rsidP="005B524E">
      <w:pPr>
        <w:suppressAutoHyphens w:val="0"/>
        <w:rPr>
          <w:lang w:val="en-US" w:eastAsia="ar-SA"/>
        </w:rPr>
      </w:pPr>
      <w:r w:rsidRPr="00472A93">
        <w:rPr>
          <w:lang w:val="en-US" w:eastAsia="ar-SA"/>
        </w:rPr>
        <w:t>The objective of this thesis is, to analyze the possibilities of the private and public sector partne</w:t>
      </w:r>
      <w:r w:rsidRPr="00472A93">
        <w:rPr>
          <w:lang w:val="en-US" w:eastAsia="ar-SA"/>
        </w:rPr>
        <w:t>r</w:t>
      </w:r>
      <w:r w:rsidRPr="00472A93">
        <w:rPr>
          <w:lang w:val="en-US" w:eastAsia="ar-SA"/>
        </w:rPr>
        <w:t>ship (</w:t>
      </w:r>
      <w:r w:rsidR="005864FF">
        <w:rPr>
          <w:lang w:val="en-US" w:eastAsia="ar-SA"/>
        </w:rPr>
        <w:t>PPP</w:t>
      </w:r>
      <w:r w:rsidRPr="00472A93">
        <w:rPr>
          <w:lang w:val="en-US" w:eastAsia="ar-SA"/>
        </w:rPr>
        <w:t xml:space="preserve">) in establishment of a virtual university and to present recommendations for </w:t>
      </w:r>
      <w:proofErr w:type="spellStart"/>
      <w:proofErr w:type="gramStart"/>
      <w:r w:rsidRPr="00472A93">
        <w:rPr>
          <w:lang w:val="en-US" w:eastAsia="ar-SA"/>
        </w:rPr>
        <w:t>it's</w:t>
      </w:r>
      <w:proofErr w:type="spellEnd"/>
      <w:proofErr w:type="gramEnd"/>
      <w:r w:rsidRPr="00472A93">
        <w:rPr>
          <w:lang w:val="en-US" w:eastAsia="ar-SA"/>
        </w:rPr>
        <w:t xml:space="preserve"> application in the Lithuanian virtual university case.</w:t>
      </w:r>
    </w:p>
    <w:p w:rsidR="00472A93" w:rsidRPr="00472A93" w:rsidRDefault="00472A93" w:rsidP="005B524E">
      <w:pPr>
        <w:suppressAutoHyphens w:val="0"/>
        <w:rPr>
          <w:lang w:val="en-US" w:eastAsia="ar-SA"/>
        </w:rPr>
      </w:pPr>
      <w:r w:rsidRPr="00472A93">
        <w:rPr>
          <w:lang w:val="en-US" w:eastAsia="ar-SA"/>
        </w:rPr>
        <w:t xml:space="preserve">The main targets of the thesis are, to review the </w:t>
      </w:r>
      <w:r w:rsidR="005864FF">
        <w:rPr>
          <w:lang w:val="en-US" w:eastAsia="ar-SA"/>
        </w:rPr>
        <w:t>PPP</w:t>
      </w:r>
      <w:r w:rsidRPr="00472A93">
        <w:rPr>
          <w:lang w:val="en-US" w:eastAsia="ar-SA"/>
        </w:rPr>
        <w:t xml:space="preserve"> role in the education and scientific research, to define a virtual university, to review in detail the virtual university models and to review the world's best practices. In addition, to base the possibilities and needs of application of the partnership of public and private sectors, in the Lithuanian virtual university program, using literature and case analysis, and to present recommendations for the public and private sector partnership for the Lithuanian virtual university program and other government institutions.</w:t>
      </w:r>
    </w:p>
    <w:p w:rsidR="00472A93" w:rsidRPr="00472A93" w:rsidRDefault="00472A93" w:rsidP="005B524E">
      <w:pPr>
        <w:suppressAutoHyphens w:val="0"/>
        <w:rPr>
          <w:lang w:val="en-US" w:eastAsia="ar-SA"/>
        </w:rPr>
      </w:pPr>
      <w:r w:rsidRPr="00472A93">
        <w:rPr>
          <w:lang w:val="en-US" w:eastAsia="ar-SA"/>
        </w:rPr>
        <w:t xml:space="preserve">The definition of the virtual university and the most common models were identified during scientific literature analysis. Also the </w:t>
      </w:r>
      <w:r w:rsidR="005864FF">
        <w:rPr>
          <w:lang w:val="en-US" w:eastAsia="ar-SA"/>
        </w:rPr>
        <w:t>PPP</w:t>
      </w:r>
      <w:r w:rsidRPr="00472A93">
        <w:rPr>
          <w:lang w:val="en-US" w:eastAsia="ar-SA"/>
        </w:rPr>
        <w:t xml:space="preserve"> concept and common models, </w:t>
      </w:r>
      <w:r w:rsidR="005864FF">
        <w:rPr>
          <w:lang w:val="en-US" w:eastAsia="ar-SA"/>
        </w:rPr>
        <w:t>PPP</w:t>
      </w:r>
      <w:r w:rsidRPr="00472A93">
        <w:rPr>
          <w:lang w:val="en-US" w:eastAsia="ar-SA"/>
        </w:rPr>
        <w:t xml:space="preserve"> application benefits and shortcomings were described in common cases and in education and scientific research fields.</w:t>
      </w:r>
    </w:p>
    <w:p w:rsidR="00472A93" w:rsidRPr="00472A93" w:rsidRDefault="00472A93" w:rsidP="005B524E">
      <w:pPr>
        <w:suppressAutoHyphens w:val="0"/>
        <w:rPr>
          <w:lang w:val="en-US" w:eastAsia="ar-SA"/>
        </w:rPr>
      </w:pPr>
      <w:r w:rsidRPr="00472A93">
        <w:rPr>
          <w:lang w:val="en-US" w:eastAsia="ar-SA"/>
        </w:rPr>
        <w:t>The research was done using the quantitative analysis method</w:t>
      </w:r>
      <w:r w:rsidR="000F2227">
        <w:rPr>
          <w:lang w:val="en-US" w:eastAsia="ar-SA"/>
        </w:rPr>
        <w:t xml:space="preserve"> –</w:t>
      </w:r>
      <w:r w:rsidRPr="00472A93">
        <w:rPr>
          <w:lang w:val="en-US" w:eastAsia="ar-SA"/>
        </w:rPr>
        <w:t xml:space="preserve"> an expert interview; the obje</w:t>
      </w:r>
      <w:r w:rsidRPr="00472A93">
        <w:rPr>
          <w:lang w:val="en-US" w:eastAsia="ar-SA"/>
        </w:rPr>
        <w:t>c</w:t>
      </w:r>
      <w:r w:rsidRPr="00472A93">
        <w:rPr>
          <w:lang w:val="en-US" w:eastAsia="ar-SA"/>
        </w:rPr>
        <w:t xml:space="preserve">tive of which is to base the possibilities and needs of application of </w:t>
      </w:r>
      <w:r w:rsidR="005864FF">
        <w:rPr>
          <w:lang w:val="en-US" w:eastAsia="ar-SA"/>
        </w:rPr>
        <w:t>PPP</w:t>
      </w:r>
      <w:r w:rsidRPr="00472A93">
        <w:rPr>
          <w:lang w:val="en-US" w:eastAsia="ar-SA"/>
        </w:rPr>
        <w:t>, in the Lithuanian virtual university program, using literature and case analysis. In the research the experts were the members of the board LVU, notable</w:t>
      </w:r>
      <w:r w:rsidR="00AE492C">
        <w:rPr>
          <w:lang w:val="en-US" w:eastAsia="ar-SA"/>
        </w:rPr>
        <w:t xml:space="preserve"> businessmen/</w:t>
      </w:r>
      <w:r w:rsidRPr="00472A93">
        <w:rPr>
          <w:lang w:val="en-US" w:eastAsia="ar-SA"/>
        </w:rPr>
        <w:t xml:space="preserve">businesswomen and scientists. </w:t>
      </w:r>
    </w:p>
    <w:p w:rsidR="00754018" w:rsidRDefault="00472A93" w:rsidP="005B524E">
      <w:pPr>
        <w:suppressAutoHyphens w:val="0"/>
        <w:rPr>
          <w:lang w:eastAsia="ar-SA"/>
        </w:rPr>
      </w:pPr>
      <w:r w:rsidRPr="00472A93">
        <w:rPr>
          <w:lang w:val="en-US" w:eastAsia="ar-SA"/>
        </w:rPr>
        <w:t xml:space="preserve">Based on the results of the research, a generalized assessment of science and </w:t>
      </w:r>
      <w:r w:rsidR="005864FF">
        <w:rPr>
          <w:lang w:val="en-US" w:eastAsia="ar-SA"/>
        </w:rPr>
        <w:t>PPP</w:t>
      </w:r>
      <w:r w:rsidRPr="00472A93">
        <w:rPr>
          <w:lang w:val="en-US" w:eastAsia="ar-SA"/>
        </w:rPr>
        <w:t xml:space="preserve"> usage and needs were presented to the LVU on the national, educational and scientific were submitted as well as at program levels.</w:t>
      </w:r>
      <w:r w:rsidR="003D1028">
        <w:rPr>
          <w:lang w:eastAsia="ar-SA"/>
        </w:rPr>
        <w:br w:type="page"/>
      </w:r>
    </w:p>
    <w:p w:rsidR="00D4722B" w:rsidRDefault="00D4722B" w:rsidP="005B524E">
      <w:pPr>
        <w:pStyle w:val="Headingwonumb"/>
        <w:suppressAutoHyphens w:val="0"/>
        <w:spacing w:before="4000"/>
        <w:rPr>
          <w:lang w:val="ru-RU" w:eastAsia="ar-SA"/>
        </w:rPr>
      </w:pPr>
      <w:bookmarkStart w:id="74" w:name="_Toc248687479"/>
    </w:p>
    <w:p w:rsidR="00754018" w:rsidRPr="00EE100A" w:rsidRDefault="00754018" w:rsidP="005B524E">
      <w:pPr>
        <w:pStyle w:val="Headingwonumb"/>
        <w:suppressAutoHyphens w:val="0"/>
        <w:spacing w:before="5160"/>
        <w:rPr>
          <w:lang w:eastAsia="ar-SA"/>
        </w:rPr>
      </w:pPr>
      <w:bookmarkStart w:id="75" w:name="_Toc251011278"/>
      <w:r>
        <w:rPr>
          <w:lang w:eastAsia="ar-SA"/>
        </w:rPr>
        <w:t>Priedai</w:t>
      </w:r>
      <w:bookmarkEnd w:id="74"/>
      <w:bookmarkEnd w:id="75"/>
    </w:p>
    <w:p w:rsidR="00754018" w:rsidRDefault="00754018" w:rsidP="005B524E">
      <w:pPr>
        <w:widowControl/>
        <w:suppressAutoHyphens w:val="0"/>
        <w:spacing w:line="240" w:lineRule="auto"/>
        <w:ind w:firstLine="0"/>
        <w:jc w:val="left"/>
        <w:rPr>
          <w:lang w:eastAsia="ar-SA"/>
        </w:rPr>
      </w:pPr>
    </w:p>
    <w:p w:rsidR="003D1028" w:rsidRPr="00754018" w:rsidRDefault="00754018" w:rsidP="005B524E">
      <w:pPr>
        <w:widowControl/>
        <w:suppressAutoHyphens w:val="0"/>
        <w:spacing w:line="240" w:lineRule="auto"/>
        <w:ind w:firstLine="0"/>
        <w:jc w:val="left"/>
        <w:rPr>
          <w:lang w:eastAsia="ar-SA"/>
        </w:rPr>
      </w:pPr>
      <w:r>
        <w:rPr>
          <w:lang w:eastAsia="ar-SA"/>
        </w:rPr>
        <w:br w:type="page"/>
      </w:r>
    </w:p>
    <w:p w:rsidR="00754018" w:rsidRDefault="003D1028" w:rsidP="005B524E">
      <w:pPr>
        <w:suppressAutoHyphens w:val="0"/>
        <w:jc w:val="right"/>
        <w:rPr>
          <w:b/>
          <w:caps/>
          <w:kern w:val="28"/>
          <w:sz w:val="28"/>
          <w:szCs w:val="28"/>
        </w:rPr>
      </w:pPr>
      <w:r w:rsidRPr="00754018">
        <w:rPr>
          <w:b/>
          <w:caps/>
          <w:kern w:val="28"/>
          <w:sz w:val="28"/>
          <w:szCs w:val="28"/>
        </w:rPr>
        <w:lastRenderedPageBreak/>
        <w:t>1 priedas</w:t>
      </w:r>
    </w:p>
    <w:p w:rsidR="003D1028" w:rsidRPr="00C30973" w:rsidRDefault="003D1028" w:rsidP="005B524E">
      <w:pPr>
        <w:suppressAutoHyphens w:val="0"/>
        <w:jc w:val="center"/>
        <w:rPr>
          <w:b/>
          <w:caps/>
          <w:kern w:val="28"/>
        </w:rPr>
      </w:pPr>
      <w:r w:rsidRPr="00C30973">
        <w:rPr>
          <w:b/>
          <w:caps/>
          <w:kern w:val="28"/>
        </w:rPr>
        <w:t>Ekspertų klausimynas</w:t>
      </w:r>
    </w:p>
    <w:p w:rsidR="003D1028" w:rsidRDefault="003D1028" w:rsidP="005B524E">
      <w:pPr>
        <w:pStyle w:val="ListParagraph"/>
        <w:numPr>
          <w:ilvl w:val="0"/>
          <w:numId w:val="35"/>
        </w:numPr>
        <w:suppressAutoHyphens w:val="0"/>
      </w:pPr>
      <w:r w:rsidRPr="0047780A">
        <w:t xml:space="preserve">Ką </w:t>
      </w:r>
      <w:r>
        <w:t>J</w:t>
      </w:r>
      <w:r w:rsidRPr="0047780A">
        <w:t xml:space="preserve">ūs </w:t>
      </w:r>
      <w:r>
        <w:t>manote</w:t>
      </w:r>
      <w:r w:rsidRPr="0047780A">
        <w:t xml:space="preserve"> apie virtualaus universiteto idėją</w:t>
      </w:r>
      <w:r>
        <w:t>?</w:t>
      </w:r>
    </w:p>
    <w:p w:rsidR="003D1028" w:rsidRDefault="003D1028" w:rsidP="005B524E">
      <w:pPr>
        <w:pStyle w:val="ListParagraph"/>
        <w:numPr>
          <w:ilvl w:val="0"/>
          <w:numId w:val="35"/>
        </w:numPr>
        <w:suppressAutoHyphens w:val="0"/>
      </w:pPr>
      <w:r>
        <w:t>Ar kuriamas Lietuvos virtualus universitetas (toliau – LVU) atitinka Jūsų virtualaus un</w:t>
      </w:r>
      <w:r>
        <w:t>i</w:t>
      </w:r>
      <w:r>
        <w:t>versiteto viziją? Pagrįskite.</w:t>
      </w:r>
    </w:p>
    <w:p w:rsidR="003D1028" w:rsidRDefault="003D1028" w:rsidP="005B524E">
      <w:pPr>
        <w:pStyle w:val="ListParagraph"/>
        <w:numPr>
          <w:ilvl w:val="0"/>
          <w:numId w:val="35"/>
        </w:numPr>
        <w:suppressAutoHyphens w:val="0"/>
      </w:pPr>
      <w:r>
        <w:t xml:space="preserve">Ar esate susipažinęs/susipažinusi su viešojo ir privataus sektoriaus partnerystės situacija </w:t>
      </w:r>
      <w:r w:rsidR="00A063BD">
        <w:t xml:space="preserve">Lietuvoje bei </w:t>
      </w:r>
      <w:r>
        <w:t>Lietuvos švietimo sektoriuje? Ką apie manote apie šią partnerystės bendrai? Kuriose sferose geriausia ją panaudoti? Kas turėtų inicijuoti bendradarbiavimą?</w:t>
      </w:r>
    </w:p>
    <w:p w:rsidR="003F4EC6" w:rsidRDefault="003F4EC6" w:rsidP="005B524E">
      <w:pPr>
        <w:pStyle w:val="ListParagraph"/>
        <w:numPr>
          <w:ilvl w:val="0"/>
          <w:numId w:val="35"/>
        </w:numPr>
        <w:suppressAutoHyphens w:val="0"/>
      </w:pPr>
      <w:r>
        <w:t>Kokie yra, jūsų</w:t>
      </w:r>
      <w:r w:rsidR="00FA6519">
        <w:t xml:space="preserve"> nuomonę, VPSP privalumai ir tru</w:t>
      </w:r>
      <w:r>
        <w:t>kumai?</w:t>
      </w:r>
    </w:p>
    <w:p w:rsidR="003D1028" w:rsidRPr="00595142" w:rsidRDefault="003D1028" w:rsidP="005B524E">
      <w:pPr>
        <w:pStyle w:val="BodyText"/>
        <w:numPr>
          <w:ilvl w:val="0"/>
          <w:numId w:val="35"/>
        </w:numPr>
        <w:suppressAutoHyphens w:val="0"/>
      </w:pPr>
      <w:r>
        <w:t xml:space="preserve">Kaip Jūs manote, ar galėtų verslas prisijungti prie LVU </w:t>
      </w:r>
      <w:r w:rsidR="006E0200">
        <w:t xml:space="preserve">ar kitos e. mokymo(si) </w:t>
      </w:r>
      <w:r>
        <w:t>programos ir dalyvauti jos veiklose? Su kokiomis problemomis, Jūsų nuomone, verslas galėtų sus</w:t>
      </w:r>
      <w:r>
        <w:t>i</w:t>
      </w:r>
      <w:r>
        <w:t>durti šioje srityje? Ar galėtų dalyvauti kaip visavertis partneris?</w:t>
      </w:r>
    </w:p>
    <w:p w:rsidR="003D1028" w:rsidRDefault="003D1028" w:rsidP="005B524E">
      <w:pPr>
        <w:pStyle w:val="BodyText"/>
        <w:numPr>
          <w:ilvl w:val="0"/>
          <w:numId w:val="35"/>
        </w:numPr>
        <w:suppressAutoHyphens w:val="0"/>
      </w:pPr>
      <w:r>
        <w:t>Kodėl, Jūsų nuomone, privatus sektorius nėra minimas LVU programoje?</w:t>
      </w:r>
    </w:p>
    <w:p w:rsidR="003D1028" w:rsidRDefault="003D1028" w:rsidP="005B524E">
      <w:pPr>
        <w:pStyle w:val="BodyText"/>
        <w:numPr>
          <w:ilvl w:val="0"/>
          <w:numId w:val="35"/>
        </w:numPr>
        <w:suppressAutoHyphens w:val="0"/>
      </w:pPr>
      <w:r>
        <w:t>Kaip manote, ar būtų naudingas verslui dalyvavimas LVU programoje? Kokią naudą jis galėtų gauti? Pvz. žinias, potencialius darbuotojus.</w:t>
      </w:r>
    </w:p>
    <w:p w:rsidR="003D1028" w:rsidRDefault="003D1028" w:rsidP="005B524E">
      <w:pPr>
        <w:pStyle w:val="BodyText"/>
        <w:numPr>
          <w:ilvl w:val="0"/>
          <w:numId w:val="35"/>
        </w:numPr>
        <w:suppressAutoHyphens w:val="0"/>
      </w:pPr>
      <w:r>
        <w:t>Kaip manote, ar LVU būtų naudinga bendradarbiauti su privačiu sektoriumi? Kokią na</w:t>
      </w:r>
      <w:r>
        <w:t>u</w:t>
      </w:r>
      <w:r>
        <w:t>dą jis gautų? Pvz. pinigus, įranga.</w:t>
      </w:r>
    </w:p>
    <w:p w:rsidR="003D1028" w:rsidRDefault="003D1028" w:rsidP="005B524E">
      <w:pPr>
        <w:pStyle w:val="BodyText"/>
        <w:numPr>
          <w:ilvl w:val="0"/>
          <w:numId w:val="35"/>
        </w:numPr>
        <w:suppressAutoHyphens w:val="0"/>
      </w:pPr>
      <w:r>
        <w:t>Kokiomis kryptimis ar kokiuose srityse (pvz. rėmimą, švietimą, žinių apsikeitimo ir t. t.) galėtų vykti bendradarbiavimas? Jei žinote, pateikite pavyzdžius.</w:t>
      </w:r>
    </w:p>
    <w:p w:rsidR="00E203F5" w:rsidRDefault="003D1028" w:rsidP="005B524E">
      <w:pPr>
        <w:pStyle w:val="BodyText"/>
        <w:numPr>
          <w:ilvl w:val="0"/>
          <w:numId w:val="35"/>
        </w:numPr>
        <w:suppressAutoHyphens w:val="0"/>
      </w:pPr>
      <w:r>
        <w:t xml:space="preserve">Ar sudarinėti sutartis su privačiu sektoriumi yra tikslinga? Pagrįskite. Kokios sutartis gali būti naudojamos? (pvz. </w:t>
      </w:r>
      <w:r w:rsidRPr="0054378B">
        <w:t>valdymo paslaugų, profesinių paslaugų, aptarnavimo paslaugų, veiklos paslaugų, švietimo paslaugų, įrangos suteikimo paslaugų sutartis</w:t>
      </w:r>
      <w:r>
        <w:t xml:space="preserve"> ir ar kitos suta</w:t>
      </w:r>
      <w:r>
        <w:t>r</w:t>
      </w:r>
      <w:r>
        <w:t>tys</w:t>
      </w:r>
      <w:r w:rsidRPr="00F632AC">
        <w:t>)</w:t>
      </w:r>
      <w:r>
        <w:t>.</w:t>
      </w:r>
    </w:p>
    <w:p w:rsidR="00C029A7" w:rsidRPr="00C029A7" w:rsidRDefault="00C029A7" w:rsidP="005B524E">
      <w:pPr>
        <w:pStyle w:val="BodyText"/>
        <w:suppressAutoHyphens w:val="0"/>
        <w:rPr>
          <w:i/>
        </w:rPr>
      </w:pPr>
      <w:r w:rsidRPr="00C029A7">
        <w:rPr>
          <w:i/>
        </w:rPr>
        <w:t>Interviu klausimai – preliminarūs. Gali būti keičiami priklausomai nuo konkretaus pokalbio sp</w:t>
      </w:r>
      <w:r w:rsidRPr="00C029A7">
        <w:rPr>
          <w:i/>
        </w:rPr>
        <w:t>e</w:t>
      </w:r>
      <w:r w:rsidRPr="00C029A7">
        <w:rPr>
          <w:i/>
        </w:rPr>
        <w:t>cifikos.</w:t>
      </w:r>
    </w:p>
    <w:sectPr w:rsidR="00C029A7" w:rsidRPr="00C029A7" w:rsidSect="004703F8">
      <w:headerReference w:type="default" r:id="rId32"/>
      <w:footnotePr>
        <w:pos w:val="beneathText"/>
      </w:footnotePr>
      <w:type w:val="continuous"/>
      <w:pgSz w:w="11905" w:h="16837"/>
      <w:pgMar w:top="1134" w:right="567"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FF2" w:rsidRDefault="00945FF2" w:rsidP="00895F5C">
      <w:r>
        <w:separator/>
      </w:r>
    </w:p>
  </w:endnote>
  <w:endnote w:type="continuationSeparator" w:id="0">
    <w:p w:rsidR="00945FF2" w:rsidRDefault="00945FF2" w:rsidP="00895F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StarSymbol">
    <w:altName w:val="Arial Unicode MS"/>
    <w:charset w:val="80"/>
    <w:family w:val="auto"/>
    <w:pitch w:val="default"/>
    <w:sig w:usb0="00000000" w:usb1="00000000" w:usb2="00000000" w:usb3="00000000" w:csb0="00000000"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Minion-Regular">
    <w:altName w:val="Times New Roman"/>
    <w:panose1 w:val="00000000000000000000"/>
    <w:charset w:val="4D"/>
    <w:family w:val="auto"/>
    <w:notTrueType/>
    <w:pitch w:val="default"/>
    <w:sig w:usb0="00000007" w:usb1="00000000" w:usb2="00000000" w:usb3="00000000" w:csb0="00000081" w:csb1="00000000"/>
  </w:font>
  <w:font w:name="font40">
    <w:altName w:val="MS Mincho"/>
    <w:charset w:val="80"/>
    <w:family w:val="roman"/>
    <w:pitch w:val="default"/>
    <w:sig w:usb0="00000000" w:usb1="00000000" w:usb2="00000000" w:usb3="00000000" w:csb0="00000000" w:csb1="00000000"/>
  </w:font>
  <w:font w:name="Bold">
    <w:altName w:val="MS Mincho"/>
    <w:charset w:val="80"/>
    <w:family w:val="auto"/>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2" w:rsidRDefault="00945FF2" w:rsidP="00895F5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45FF2" w:rsidRDefault="00945FF2" w:rsidP="00895F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2" w:rsidRPr="001835D6" w:rsidRDefault="00945FF2" w:rsidP="00895F5C">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FF2" w:rsidRDefault="00945FF2" w:rsidP="00895F5C">
      <w:r>
        <w:separator/>
      </w:r>
    </w:p>
  </w:footnote>
  <w:footnote w:type="continuationSeparator" w:id="0">
    <w:p w:rsidR="00945FF2" w:rsidRDefault="00945FF2" w:rsidP="00895F5C">
      <w:r>
        <w:continuationSeparator/>
      </w:r>
    </w:p>
  </w:footnote>
  <w:footnote w:id="1">
    <w:p w:rsidR="00945FF2" w:rsidRDefault="00945FF2" w:rsidP="00895F5C">
      <w:pPr>
        <w:pStyle w:val="FootnoteText"/>
        <w:rPr>
          <w:lang w:val="cs-CZ"/>
        </w:rPr>
      </w:pPr>
      <w:r>
        <w:rPr>
          <w:rStyle w:val="FootnoteReference"/>
        </w:rPr>
        <w:footnoteRef/>
      </w:r>
      <w:r>
        <w:t xml:space="preserve"> </w:t>
      </w:r>
      <w:r w:rsidRPr="004325A3">
        <w:rPr>
          <w:lang w:val="cs-CZ"/>
        </w:rPr>
        <w:t>Investicijų įstatymo nuostatos, reglamentuojančios viešojo ir privataus sektorių partnerystės bei valdžios ir privataus subjektų partnerystės sąvokas įsigalioja nuo 2010 m. sausio 1 d.</w:t>
      </w:r>
    </w:p>
    <w:p w:rsidR="00945FF2" w:rsidRPr="004325A3" w:rsidRDefault="00945FF2" w:rsidP="00895F5C">
      <w:pPr>
        <w:pStyle w:val="FootnoteText"/>
        <w:rPr>
          <w:lang w:val="cs-CZ"/>
        </w:rPr>
      </w:pPr>
    </w:p>
  </w:footnote>
  <w:footnote w:id="2">
    <w:p w:rsidR="00945FF2" w:rsidRPr="003C4D42" w:rsidRDefault="00945FF2">
      <w:pPr>
        <w:pStyle w:val="FootnoteText"/>
        <w:rPr>
          <w:lang w:val="en-US"/>
        </w:rPr>
      </w:pPr>
      <w:r>
        <w:rPr>
          <w:rStyle w:val="FootnoteReference"/>
        </w:rPr>
        <w:footnoteRef/>
      </w:r>
      <w:r>
        <w:t xml:space="preserve"> Svetainės adresas – </w:t>
      </w:r>
      <w:hyperlink r:id="rId1" w:history="1">
        <w:r w:rsidRPr="006529FD">
          <w:rPr>
            <w:rStyle w:val="Hyperlink"/>
            <w:lang w:val="en-US"/>
          </w:rPr>
          <w:t>http://www.lvu.lt</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2" w:rsidRDefault="00945FF2" w:rsidP="008919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FF2" w:rsidRDefault="00945F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610"/>
      <w:docPartObj>
        <w:docPartGallery w:val="Page Numbers (Top of Page)"/>
        <w:docPartUnique/>
      </w:docPartObj>
    </w:sdtPr>
    <w:sdtContent>
      <w:p w:rsidR="00945FF2" w:rsidRDefault="00945FF2">
        <w:pPr>
          <w:pStyle w:val="Header"/>
          <w:jc w:val="center"/>
        </w:pPr>
      </w:p>
    </w:sdtContent>
  </w:sdt>
  <w:p w:rsidR="00945FF2" w:rsidRDefault="00945FF2" w:rsidP="008919AB">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611"/>
      <w:docPartObj>
        <w:docPartGallery w:val="Page Numbers (Top of Page)"/>
        <w:docPartUnique/>
      </w:docPartObj>
    </w:sdtPr>
    <w:sdtContent>
      <w:p w:rsidR="00945FF2" w:rsidRDefault="00945FF2">
        <w:pPr>
          <w:pStyle w:val="Header"/>
          <w:jc w:val="center"/>
        </w:pPr>
        <w:fldSimple w:instr=" PAGE   \* MERGEFORMAT ">
          <w:r w:rsidR="004D2CCF">
            <w:rPr>
              <w:noProof/>
            </w:rPr>
            <w:t>10</w:t>
          </w:r>
        </w:fldSimple>
      </w:p>
    </w:sdtContent>
  </w:sdt>
  <w:p w:rsidR="00945FF2" w:rsidRDefault="00945FF2" w:rsidP="008919AB">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AD6EF32"/>
    <w:lvl w:ilvl="0">
      <w:start w:val="1"/>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0"/>
        </w:tabs>
        <w:ind w:left="576" w:hanging="576"/>
      </w:pPr>
      <w:rPr>
        <w:rFonts w:ascii="Times New Roman" w:hAnsi="Times New Roman" w:hint="default"/>
      </w:rPr>
    </w:lvl>
    <w:lvl w:ilvl="2">
      <w:start w:val="1"/>
      <w:numFmt w:val="decimal"/>
      <w:pStyle w:val="Heading3"/>
      <w:lvlText w:val="%1.%2.%3"/>
      <w:lvlJc w:val="left"/>
      <w:pPr>
        <w:tabs>
          <w:tab w:val="num" w:pos="0"/>
        </w:tabs>
        <w:ind w:left="720" w:hanging="720"/>
      </w:pPr>
      <w:rPr>
        <w:rFonts w:ascii="Times New Roman" w:hAnsi="Times New Roman" w:hint="default"/>
      </w:rPr>
    </w:lvl>
    <w:lvl w:ilvl="3">
      <w:start w:val="1"/>
      <w:numFmt w:val="decimal"/>
      <w:pStyle w:val="Heading4"/>
      <w:lvlText w:val="%1.%2.%3.%4"/>
      <w:lvlJc w:val="left"/>
      <w:pPr>
        <w:tabs>
          <w:tab w:val="num" w:pos="0"/>
        </w:tabs>
        <w:ind w:left="864" w:hanging="864"/>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3">
    <w:nsid w:val="00000004"/>
    <w:multiLevelType w:val="multilevel"/>
    <w:tmpl w:val="00000004"/>
    <w:name w:val="Numbering 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5ED0A5D"/>
    <w:multiLevelType w:val="hybridMultilevel"/>
    <w:tmpl w:val="9A729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935064"/>
    <w:multiLevelType w:val="hybridMultilevel"/>
    <w:tmpl w:val="8998F14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6">
    <w:nsid w:val="084439AC"/>
    <w:multiLevelType w:val="hybridMultilevel"/>
    <w:tmpl w:val="8DD4AB46"/>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7">
    <w:nsid w:val="09AD60DF"/>
    <w:multiLevelType w:val="hybridMultilevel"/>
    <w:tmpl w:val="40103B1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8">
    <w:nsid w:val="0A0D4C27"/>
    <w:multiLevelType w:val="hybridMultilevel"/>
    <w:tmpl w:val="935EF6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0B0A216F"/>
    <w:multiLevelType w:val="multilevel"/>
    <w:tmpl w:val="00000003"/>
    <w:lvl w:ilvl="0">
      <w:start w:val="1"/>
      <w:numFmt w:val="decimal"/>
      <w:lvlText w:val="%1."/>
      <w:lvlJc w:val="left"/>
      <w:pPr>
        <w:tabs>
          <w:tab w:val="num" w:pos="927"/>
        </w:tabs>
        <w:ind w:left="927" w:hanging="360"/>
      </w:pPr>
      <w:rPr>
        <w:rFonts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firstLine="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firstLine="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firstLine="0"/>
      </w:pPr>
      <w:rPr>
        <w:rFonts w:cs="Times New Roman"/>
      </w:rPr>
    </w:lvl>
  </w:abstractNum>
  <w:abstractNum w:abstractNumId="10">
    <w:nsid w:val="0B0D1C84"/>
    <w:multiLevelType w:val="multilevel"/>
    <w:tmpl w:val="00000003"/>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firstLine="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firstLine="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firstLine="0"/>
      </w:pPr>
      <w:rPr>
        <w:rFonts w:cs="Times New Roman"/>
      </w:rPr>
    </w:lvl>
  </w:abstractNum>
  <w:abstractNum w:abstractNumId="11">
    <w:nsid w:val="0B7655EC"/>
    <w:multiLevelType w:val="hybridMultilevel"/>
    <w:tmpl w:val="FB28BC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0C821C63"/>
    <w:multiLevelType w:val="hybridMultilevel"/>
    <w:tmpl w:val="5CBE52EE"/>
    <w:lvl w:ilvl="0" w:tplc="0427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Verdan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Verdana" w:hint="default"/>
      </w:rPr>
    </w:lvl>
    <w:lvl w:ilvl="8" w:tplc="04270005" w:tentative="1">
      <w:start w:val="1"/>
      <w:numFmt w:val="bullet"/>
      <w:lvlText w:val=""/>
      <w:lvlJc w:val="left"/>
      <w:pPr>
        <w:ind w:left="6120" w:hanging="360"/>
      </w:pPr>
      <w:rPr>
        <w:rFonts w:ascii="Wingdings" w:hAnsi="Wingdings" w:hint="default"/>
      </w:rPr>
    </w:lvl>
  </w:abstractNum>
  <w:abstractNum w:abstractNumId="13">
    <w:nsid w:val="0D3976B4"/>
    <w:multiLevelType w:val="hybridMultilevel"/>
    <w:tmpl w:val="5218F352"/>
    <w:name w:val="WW8Num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E090F4A"/>
    <w:multiLevelType w:val="multilevel"/>
    <w:tmpl w:val="82126656"/>
    <w:lvl w:ilvl="0">
      <w:start w:val="1"/>
      <w:numFmt w:val="bullet"/>
      <w:lvlText w:val=""/>
      <w:lvlJc w:val="left"/>
      <w:pPr>
        <w:tabs>
          <w:tab w:val="num" w:pos="1647"/>
        </w:tabs>
        <w:ind w:left="1647" w:hanging="360"/>
      </w:pPr>
      <w:rPr>
        <w:rFonts w:ascii="Symbol" w:hAnsi="Symbol" w:hint="default"/>
      </w:rPr>
    </w:lvl>
    <w:lvl w:ilvl="1">
      <w:start w:val="1"/>
      <w:numFmt w:val="lowerLetter"/>
      <w:lvlText w:val="%2."/>
      <w:lvlJc w:val="left"/>
      <w:pPr>
        <w:tabs>
          <w:tab w:val="num" w:pos="2367"/>
        </w:tabs>
        <w:ind w:left="2367" w:hanging="360"/>
      </w:pPr>
      <w:rPr>
        <w:rFonts w:cs="Times New Roman"/>
      </w:rPr>
    </w:lvl>
    <w:lvl w:ilvl="2">
      <w:start w:val="1"/>
      <w:numFmt w:val="bullet"/>
      <w:lvlText w:val=""/>
      <w:lvlJc w:val="left"/>
      <w:pPr>
        <w:tabs>
          <w:tab w:val="num" w:pos="3087"/>
        </w:tabs>
        <w:ind w:left="3087" w:firstLine="0"/>
      </w:pPr>
      <w:rPr>
        <w:rFonts w:ascii="Symbol" w:hAnsi="Symbol" w:hint="default"/>
      </w:rPr>
    </w:lvl>
    <w:lvl w:ilvl="3">
      <w:start w:val="1"/>
      <w:numFmt w:val="decimal"/>
      <w:lvlText w:val="%4."/>
      <w:lvlJc w:val="left"/>
      <w:pPr>
        <w:tabs>
          <w:tab w:val="num" w:pos="3807"/>
        </w:tabs>
        <w:ind w:left="3807" w:hanging="360"/>
      </w:pPr>
      <w:rPr>
        <w:rFonts w:cs="Times New Roman"/>
      </w:rPr>
    </w:lvl>
    <w:lvl w:ilvl="4">
      <w:start w:val="1"/>
      <w:numFmt w:val="lowerLetter"/>
      <w:lvlText w:val="%5."/>
      <w:lvlJc w:val="left"/>
      <w:pPr>
        <w:tabs>
          <w:tab w:val="num" w:pos="4527"/>
        </w:tabs>
        <w:ind w:left="4527" w:hanging="360"/>
      </w:pPr>
      <w:rPr>
        <w:rFonts w:cs="Times New Roman"/>
      </w:rPr>
    </w:lvl>
    <w:lvl w:ilvl="5">
      <w:start w:val="1"/>
      <w:numFmt w:val="lowerRoman"/>
      <w:lvlText w:val="%6."/>
      <w:lvlJc w:val="right"/>
      <w:pPr>
        <w:tabs>
          <w:tab w:val="num" w:pos="5247"/>
        </w:tabs>
        <w:ind w:left="5247" w:firstLine="0"/>
      </w:pPr>
      <w:rPr>
        <w:rFonts w:cs="Times New Roman"/>
      </w:rPr>
    </w:lvl>
    <w:lvl w:ilvl="6">
      <w:start w:val="1"/>
      <w:numFmt w:val="decimal"/>
      <w:lvlText w:val="%7."/>
      <w:lvlJc w:val="left"/>
      <w:pPr>
        <w:tabs>
          <w:tab w:val="num" w:pos="5967"/>
        </w:tabs>
        <w:ind w:left="5967" w:hanging="360"/>
      </w:pPr>
      <w:rPr>
        <w:rFonts w:cs="Times New Roman"/>
      </w:rPr>
    </w:lvl>
    <w:lvl w:ilvl="7">
      <w:start w:val="1"/>
      <w:numFmt w:val="lowerLetter"/>
      <w:lvlText w:val="%8."/>
      <w:lvlJc w:val="left"/>
      <w:pPr>
        <w:tabs>
          <w:tab w:val="num" w:pos="6687"/>
        </w:tabs>
        <w:ind w:left="6687" w:hanging="360"/>
      </w:pPr>
      <w:rPr>
        <w:rFonts w:cs="Times New Roman"/>
      </w:rPr>
    </w:lvl>
    <w:lvl w:ilvl="8">
      <w:start w:val="1"/>
      <w:numFmt w:val="lowerRoman"/>
      <w:lvlText w:val="%9."/>
      <w:lvlJc w:val="right"/>
      <w:pPr>
        <w:tabs>
          <w:tab w:val="num" w:pos="7407"/>
        </w:tabs>
        <w:ind w:left="7407" w:firstLine="0"/>
      </w:pPr>
      <w:rPr>
        <w:rFonts w:cs="Times New Roman"/>
      </w:rPr>
    </w:lvl>
  </w:abstractNum>
  <w:abstractNum w:abstractNumId="15">
    <w:nsid w:val="0F864767"/>
    <w:multiLevelType w:val="hybridMultilevel"/>
    <w:tmpl w:val="F48E86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0F8F1933"/>
    <w:multiLevelType w:val="hybridMultilevel"/>
    <w:tmpl w:val="576C43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104A2846"/>
    <w:multiLevelType w:val="multilevel"/>
    <w:tmpl w:val="0000000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18">
    <w:nsid w:val="11342F5D"/>
    <w:multiLevelType w:val="hybridMultilevel"/>
    <w:tmpl w:val="85E059D0"/>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9">
    <w:nsid w:val="13294BDF"/>
    <w:multiLevelType w:val="hybridMultilevel"/>
    <w:tmpl w:val="40EAE57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1373589C"/>
    <w:multiLevelType w:val="hybridMultilevel"/>
    <w:tmpl w:val="41FA98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21">
    <w:nsid w:val="143030DE"/>
    <w:multiLevelType w:val="hybridMultilevel"/>
    <w:tmpl w:val="D1CAD8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22">
    <w:nsid w:val="151200CF"/>
    <w:multiLevelType w:val="hybridMultilevel"/>
    <w:tmpl w:val="5E321F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nsid w:val="15F34F09"/>
    <w:multiLevelType w:val="hybridMultilevel"/>
    <w:tmpl w:val="A7CCC0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1A817FC0"/>
    <w:multiLevelType w:val="hybridMultilevel"/>
    <w:tmpl w:val="76061E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1B2C0C52"/>
    <w:multiLevelType w:val="hybridMultilevel"/>
    <w:tmpl w:val="67F80B80"/>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6">
    <w:nsid w:val="1EE03173"/>
    <w:multiLevelType w:val="hybridMultilevel"/>
    <w:tmpl w:val="843C4F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211B311E"/>
    <w:multiLevelType w:val="hybridMultilevel"/>
    <w:tmpl w:val="F41C870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28">
    <w:nsid w:val="22E56325"/>
    <w:multiLevelType w:val="hybridMultilevel"/>
    <w:tmpl w:val="F8DA7F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30F201C6"/>
    <w:multiLevelType w:val="hybridMultilevel"/>
    <w:tmpl w:val="E7543EE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30">
    <w:nsid w:val="35036E7F"/>
    <w:multiLevelType w:val="hybridMultilevel"/>
    <w:tmpl w:val="8A427B1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31">
    <w:nsid w:val="3A521026"/>
    <w:multiLevelType w:val="hybridMultilevel"/>
    <w:tmpl w:val="46A46F2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32">
    <w:nsid w:val="3B6B3626"/>
    <w:multiLevelType w:val="hybridMultilevel"/>
    <w:tmpl w:val="2A80BD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3BF4377F"/>
    <w:multiLevelType w:val="hybridMultilevel"/>
    <w:tmpl w:val="BE46FE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40793665"/>
    <w:multiLevelType w:val="hybridMultilevel"/>
    <w:tmpl w:val="04209F4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Verdan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Verdan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Verdana" w:hint="default"/>
      </w:rPr>
    </w:lvl>
    <w:lvl w:ilvl="8" w:tplc="04270005" w:tentative="1">
      <w:start w:val="1"/>
      <w:numFmt w:val="bullet"/>
      <w:lvlText w:val=""/>
      <w:lvlJc w:val="left"/>
      <w:pPr>
        <w:ind w:left="6120" w:hanging="360"/>
      </w:pPr>
      <w:rPr>
        <w:rFonts w:ascii="Wingdings" w:hAnsi="Wingdings" w:hint="default"/>
      </w:rPr>
    </w:lvl>
  </w:abstractNum>
  <w:abstractNum w:abstractNumId="35">
    <w:nsid w:val="43497AF6"/>
    <w:multiLevelType w:val="hybridMultilevel"/>
    <w:tmpl w:val="10F4C3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nsid w:val="46E50AC0"/>
    <w:multiLevelType w:val="hybridMultilevel"/>
    <w:tmpl w:val="4F9A4C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Verdan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Verdan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Verdana" w:hint="default"/>
      </w:rPr>
    </w:lvl>
    <w:lvl w:ilvl="8" w:tplc="04270005" w:tentative="1">
      <w:start w:val="1"/>
      <w:numFmt w:val="bullet"/>
      <w:lvlText w:val=""/>
      <w:lvlJc w:val="left"/>
      <w:pPr>
        <w:ind w:left="6120" w:hanging="360"/>
      </w:pPr>
      <w:rPr>
        <w:rFonts w:ascii="Wingdings" w:hAnsi="Wingdings" w:hint="default"/>
      </w:rPr>
    </w:lvl>
  </w:abstractNum>
  <w:abstractNum w:abstractNumId="37">
    <w:nsid w:val="486C1FE8"/>
    <w:multiLevelType w:val="hybridMultilevel"/>
    <w:tmpl w:val="634A86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495B6CD5"/>
    <w:multiLevelType w:val="hybridMultilevel"/>
    <w:tmpl w:val="FA763C2C"/>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9">
    <w:nsid w:val="4BAC5710"/>
    <w:multiLevelType w:val="hybridMultilevel"/>
    <w:tmpl w:val="C2F838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Verdan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Verdan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Verdana" w:hint="default"/>
      </w:rPr>
    </w:lvl>
    <w:lvl w:ilvl="8" w:tplc="04270005" w:tentative="1">
      <w:start w:val="1"/>
      <w:numFmt w:val="bullet"/>
      <w:lvlText w:val=""/>
      <w:lvlJc w:val="left"/>
      <w:pPr>
        <w:ind w:left="6120" w:hanging="360"/>
      </w:pPr>
      <w:rPr>
        <w:rFonts w:ascii="Wingdings" w:hAnsi="Wingdings" w:hint="default"/>
      </w:rPr>
    </w:lvl>
  </w:abstractNum>
  <w:abstractNum w:abstractNumId="40">
    <w:nsid w:val="4C330FC0"/>
    <w:multiLevelType w:val="hybridMultilevel"/>
    <w:tmpl w:val="CB26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CCD1EC8"/>
    <w:multiLevelType w:val="hybridMultilevel"/>
    <w:tmpl w:val="217CED5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42">
    <w:nsid w:val="4FF23229"/>
    <w:multiLevelType w:val="hybridMultilevel"/>
    <w:tmpl w:val="E528E5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Verdan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Verdan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Verdana" w:hint="default"/>
      </w:rPr>
    </w:lvl>
    <w:lvl w:ilvl="8" w:tplc="04270005" w:tentative="1">
      <w:start w:val="1"/>
      <w:numFmt w:val="bullet"/>
      <w:lvlText w:val=""/>
      <w:lvlJc w:val="left"/>
      <w:pPr>
        <w:ind w:left="6120" w:hanging="360"/>
      </w:pPr>
      <w:rPr>
        <w:rFonts w:ascii="Wingdings" w:hAnsi="Wingdings" w:hint="default"/>
      </w:rPr>
    </w:lvl>
  </w:abstractNum>
  <w:abstractNum w:abstractNumId="43">
    <w:nsid w:val="58822DE0"/>
    <w:multiLevelType w:val="hybridMultilevel"/>
    <w:tmpl w:val="715408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nsid w:val="5A7C13B7"/>
    <w:multiLevelType w:val="hybridMultilevel"/>
    <w:tmpl w:val="02C46F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nsid w:val="5AA23B36"/>
    <w:multiLevelType w:val="hybridMultilevel"/>
    <w:tmpl w:val="A90A98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nsid w:val="5AFA7273"/>
    <w:multiLevelType w:val="hybridMultilevel"/>
    <w:tmpl w:val="E25A13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nsid w:val="5CDD4D71"/>
    <w:multiLevelType w:val="hybridMultilevel"/>
    <w:tmpl w:val="5FE404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nsid w:val="5F795D86"/>
    <w:multiLevelType w:val="hybridMultilevel"/>
    <w:tmpl w:val="65862C3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49">
    <w:nsid w:val="60902E14"/>
    <w:multiLevelType w:val="hybridMultilevel"/>
    <w:tmpl w:val="CC708D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50">
    <w:nsid w:val="62E82281"/>
    <w:multiLevelType w:val="hybridMultilevel"/>
    <w:tmpl w:val="EFB6BC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nsid w:val="66F33A68"/>
    <w:multiLevelType w:val="hybridMultilevel"/>
    <w:tmpl w:val="ADA0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BD76E04"/>
    <w:multiLevelType w:val="hybridMultilevel"/>
    <w:tmpl w:val="9DDEFC54"/>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3">
    <w:nsid w:val="6CDF7CA4"/>
    <w:multiLevelType w:val="hybridMultilevel"/>
    <w:tmpl w:val="88DE1FA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54">
    <w:nsid w:val="71702819"/>
    <w:multiLevelType w:val="hybridMultilevel"/>
    <w:tmpl w:val="E6E68A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nsid w:val="71F4618E"/>
    <w:multiLevelType w:val="hybridMultilevel"/>
    <w:tmpl w:val="43C8CA4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Verdana"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Verdan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Verdana" w:hint="default"/>
      </w:rPr>
    </w:lvl>
    <w:lvl w:ilvl="8" w:tplc="04270005" w:tentative="1">
      <w:start w:val="1"/>
      <w:numFmt w:val="bullet"/>
      <w:lvlText w:val=""/>
      <w:lvlJc w:val="left"/>
      <w:pPr>
        <w:ind w:left="6120" w:hanging="360"/>
      </w:pPr>
      <w:rPr>
        <w:rFonts w:ascii="Wingdings" w:hAnsi="Wingdings" w:hint="default"/>
      </w:rPr>
    </w:lvl>
  </w:abstractNum>
  <w:abstractNum w:abstractNumId="56">
    <w:nsid w:val="73542023"/>
    <w:multiLevelType w:val="hybridMultilevel"/>
    <w:tmpl w:val="1732173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57">
    <w:nsid w:val="73C776EB"/>
    <w:multiLevelType w:val="hybridMultilevel"/>
    <w:tmpl w:val="B0A06796"/>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58">
    <w:nsid w:val="73CA6723"/>
    <w:multiLevelType w:val="hybridMultilevel"/>
    <w:tmpl w:val="F416775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Verdana"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Verdana"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Verdana" w:hint="default"/>
      </w:rPr>
    </w:lvl>
    <w:lvl w:ilvl="8" w:tplc="04270005" w:tentative="1">
      <w:start w:val="1"/>
      <w:numFmt w:val="bullet"/>
      <w:lvlText w:val=""/>
      <w:lvlJc w:val="left"/>
      <w:pPr>
        <w:ind w:left="7047" w:hanging="360"/>
      </w:pPr>
      <w:rPr>
        <w:rFonts w:ascii="Wingdings" w:hAnsi="Wingdings" w:hint="default"/>
      </w:rPr>
    </w:lvl>
  </w:abstractNum>
  <w:abstractNum w:abstractNumId="59">
    <w:nsid w:val="74D85DA8"/>
    <w:multiLevelType w:val="hybridMultilevel"/>
    <w:tmpl w:val="89D429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nsid w:val="77D166FA"/>
    <w:multiLevelType w:val="hybridMultilevel"/>
    <w:tmpl w:val="A3683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D17387F"/>
    <w:multiLevelType w:val="hybridMultilevel"/>
    <w:tmpl w:val="5DBA08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2">
    <w:nsid w:val="7D2C5673"/>
    <w:multiLevelType w:val="hybridMultilevel"/>
    <w:tmpl w:val="7CD46D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9"/>
  </w:num>
  <w:num w:numId="3">
    <w:abstractNumId w:val="17"/>
  </w:num>
  <w:num w:numId="4">
    <w:abstractNumId w:val="10"/>
  </w:num>
  <w:num w:numId="5">
    <w:abstractNumId w:val="29"/>
  </w:num>
  <w:num w:numId="6">
    <w:abstractNumId w:val="21"/>
  </w:num>
  <w:num w:numId="7">
    <w:abstractNumId w:val="15"/>
  </w:num>
  <w:num w:numId="8">
    <w:abstractNumId w:val="20"/>
  </w:num>
  <w:num w:numId="9">
    <w:abstractNumId w:val="58"/>
  </w:num>
  <w:num w:numId="10">
    <w:abstractNumId w:val="5"/>
  </w:num>
  <w:num w:numId="11">
    <w:abstractNumId w:val="7"/>
  </w:num>
  <w:num w:numId="12">
    <w:abstractNumId w:val="30"/>
  </w:num>
  <w:num w:numId="13">
    <w:abstractNumId w:val="48"/>
  </w:num>
  <w:num w:numId="14">
    <w:abstractNumId w:val="39"/>
  </w:num>
  <w:num w:numId="15">
    <w:abstractNumId w:val="34"/>
  </w:num>
  <w:num w:numId="16">
    <w:abstractNumId w:val="42"/>
  </w:num>
  <w:num w:numId="17">
    <w:abstractNumId w:val="36"/>
  </w:num>
  <w:num w:numId="18">
    <w:abstractNumId w:val="55"/>
  </w:num>
  <w:num w:numId="19">
    <w:abstractNumId w:val="56"/>
  </w:num>
  <w:num w:numId="20">
    <w:abstractNumId w:val="49"/>
  </w:num>
  <w:num w:numId="21">
    <w:abstractNumId w:val="27"/>
  </w:num>
  <w:num w:numId="22">
    <w:abstractNumId w:val="31"/>
  </w:num>
  <w:num w:numId="23">
    <w:abstractNumId w:val="41"/>
  </w:num>
  <w:num w:numId="24">
    <w:abstractNumId w:val="12"/>
  </w:num>
  <w:num w:numId="25">
    <w:abstractNumId w:val="28"/>
  </w:num>
  <w:num w:numId="26">
    <w:abstractNumId w:val="25"/>
  </w:num>
  <w:num w:numId="27">
    <w:abstractNumId w:val="35"/>
  </w:num>
  <w:num w:numId="28">
    <w:abstractNumId w:val="50"/>
  </w:num>
  <w:num w:numId="29">
    <w:abstractNumId w:val="18"/>
  </w:num>
  <w:num w:numId="30">
    <w:abstractNumId w:val="60"/>
  </w:num>
  <w:num w:numId="31">
    <w:abstractNumId w:val="40"/>
  </w:num>
  <w:num w:numId="32">
    <w:abstractNumId w:val="46"/>
  </w:num>
  <w:num w:numId="33">
    <w:abstractNumId w:val="37"/>
  </w:num>
  <w:num w:numId="34">
    <w:abstractNumId w:val="53"/>
  </w:num>
  <w:num w:numId="35">
    <w:abstractNumId w:val="16"/>
  </w:num>
  <w:num w:numId="36">
    <w:abstractNumId w:val="22"/>
  </w:num>
  <w:num w:numId="37">
    <w:abstractNumId w:val="44"/>
  </w:num>
  <w:num w:numId="38">
    <w:abstractNumId w:val="26"/>
  </w:num>
  <w:num w:numId="39">
    <w:abstractNumId w:val="61"/>
  </w:num>
  <w:num w:numId="40">
    <w:abstractNumId w:val="38"/>
  </w:num>
  <w:num w:numId="41">
    <w:abstractNumId w:val="23"/>
  </w:num>
  <w:num w:numId="42">
    <w:abstractNumId w:val="59"/>
  </w:num>
  <w:num w:numId="43">
    <w:abstractNumId w:val="19"/>
  </w:num>
  <w:num w:numId="44">
    <w:abstractNumId w:val="57"/>
  </w:num>
  <w:num w:numId="45">
    <w:abstractNumId w:val="33"/>
  </w:num>
  <w:num w:numId="46">
    <w:abstractNumId w:val="24"/>
  </w:num>
  <w:num w:numId="47">
    <w:abstractNumId w:val="47"/>
  </w:num>
  <w:num w:numId="48">
    <w:abstractNumId w:val="11"/>
  </w:num>
  <w:num w:numId="49">
    <w:abstractNumId w:val="14"/>
  </w:num>
  <w:num w:numId="50">
    <w:abstractNumId w:val="6"/>
  </w:num>
  <w:num w:numId="51">
    <w:abstractNumId w:val="52"/>
  </w:num>
  <w:num w:numId="52">
    <w:abstractNumId w:val="51"/>
  </w:num>
  <w:num w:numId="53">
    <w:abstractNumId w:val="45"/>
  </w:num>
  <w:num w:numId="54">
    <w:abstractNumId w:val="8"/>
  </w:num>
  <w:num w:numId="55">
    <w:abstractNumId w:val="54"/>
  </w:num>
  <w:num w:numId="56">
    <w:abstractNumId w:val="62"/>
  </w:num>
  <w:num w:numId="57">
    <w:abstractNumId w:val="4"/>
  </w:num>
  <w:num w:numId="58">
    <w:abstractNumId w:val="43"/>
  </w:num>
  <w:num w:numId="59">
    <w:abstractNumId w:val="3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9"/>
  <w:hyphenationZone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61">
      <o:colormenu v:ext="edit" fillcolor="none" strokecolor="none [3205]" shadowcolor="none"/>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CE2562"/>
    <w:rsid w:val="000002A9"/>
    <w:rsid w:val="000042BE"/>
    <w:rsid w:val="00005124"/>
    <w:rsid w:val="00005992"/>
    <w:rsid w:val="00007813"/>
    <w:rsid w:val="000104C5"/>
    <w:rsid w:val="00011940"/>
    <w:rsid w:val="00013FB9"/>
    <w:rsid w:val="00014161"/>
    <w:rsid w:val="00014289"/>
    <w:rsid w:val="00015156"/>
    <w:rsid w:val="00016027"/>
    <w:rsid w:val="00016BB8"/>
    <w:rsid w:val="00020768"/>
    <w:rsid w:val="00022940"/>
    <w:rsid w:val="00023202"/>
    <w:rsid w:val="00023757"/>
    <w:rsid w:val="00026C0C"/>
    <w:rsid w:val="000278A7"/>
    <w:rsid w:val="00030E52"/>
    <w:rsid w:val="000317C4"/>
    <w:rsid w:val="00032095"/>
    <w:rsid w:val="00032A10"/>
    <w:rsid w:val="00032F9E"/>
    <w:rsid w:val="00036BC7"/>
    <w:rsid w:val="00036D65"/>
    <w:rsid w:val="000422E5"/>
    <w:rsid w:val="000433CA"/>
    <w:rsid w:val="00043F51"/>
    <w:rsid w:val="000446AC"/>
    <w:rsid w:val="00044966"/>
    <w:rsid w:val="00044CB9"/>
    <w:rsid w:val="000466D5"/>
    <w:rsid w:val="00052F5F"/>
    <w:rsid w:val="00054545"/>
    <w:rsid w:val="00055DD3"/>
    <w:rsid w:val="00062026"/>
    <w:rsid w:val="0006320E"/>
    <w:rsid w:val="000647B1"/>
    <w:rsid w:val="00065F6C"/>
    <w:rsid w:val="000703C2"/>
    <w:rsid w:val="00072AE8"/>
    <w:rsid w:val="0007461B"/>
    <w:rsid w:val="00074A2C"/>
    <w:rsid w:val="00074C90"/>
    <w:rsid w:val="00082F82"/>
    <w:rsid w:val="00083D68"/>
    <w:rsid w:val="000843CE"/>
    <w:rsid w:val="00085778"/>
    <w:rsid w:val="0008582B"/>
    <w:rsid w:val="00085931"/>
    <w:rsid w:val="000877FD"/>
    <w:rsid w:val="000878DA"/>
    <w:rsid w:val="000879FF"/>
    <w:rsid w:val="000921F4"/>
    <w:rsid w:val="00093C49"/>
    <w:rsid w:val="0009504E"/>
    <w:rsid w:val="000966BA"/>
    <w:rsid w:val="00097401"/>
    <w:rsid w:val="000A08E6"/>
    <w:rsid w:val="000A33CF"/>
    <w:rsid w:val="000A3E7B"/>
    <w:rsid w:val="000A508C"/>
    <w:rsid w:val="000A51C5"/>
    <w:rsid w:val="000A6D6C"/>
    <w:rsid w:val="000B1EB9"/>
    <w:rsid w:val="000B23AB"/>
    <w:rsid w:val="000B2697"/>
    <w:rsid w:val="000B35E6"/>
    <w:rsid w:val="000B3C19"/>
    <w:rsid w:val="000B4538"/>
    <w:rsid w:val="000B4B64"/>
    <w:rsid w:val="000B4D10"/>
    <w:rsid w:val="000B60CD"/>
    <w:rsid w:val="000B65FA"/>
    <w:rsid w:val="000B76BA"/>
    <w:rsid w:val="000C1DA8"/>
    <w:rsid w:val="000C24BF"/>
    <w:rsid w:val="000C5F01"/>
    <w:rsid w:val="000C5F2E"/>
    <w:rsid w:val="000C69C8"/>
    <w:rsid w:val="000D0C4C"/>
    <w:rsid w:val="000D24DB"/>
    <w:rsid w:val="000D43A3"/>
    <w:rsid w:val="000D722D"/>
    <w:rsid w:val="000E1D15"/>
    <w:rsid w:val="000E20F0"/>
    <w:rsid w:val="000E2715"/>
    <w:rsid w:val="000E4CD6"/>
    <w:rsid w:val="000E4FFA"/>
    <w:rsid w:val="000E577A"/>
    <w:rsid w:val="000E592B"/>
    <w:rsid w:val="000E7A89"/>
    <w:rsid w:val="000E7D3F"/>
    <w:rsid w:val="000E7F49"/>
    <w:rsid w:val="000F0294"/>
    <w:rsid w:val="000F035A"/>
    <w:rsid w:val="000F2227"/>
    <w:rsid w:val="000F23F4"/>
    <w:rsid w:val="000F395D"/>
    <w:rsid w:val="000F5391"/>
    <w:rsid w:val="000F561F"/>
    <w:rsid w:val="000F5C4B"/>
    <w:rsid w:val="000F6AC8"/>
    <w:rsid w:val="000F7E26"/>
    <w:rsid w:val="00103F13"/>
    <w:rsid w:val="001043C2"/>
    <w:rsid w:val="00104BCE"/>
    <w:rsid w:val="00105067"/>
    <w:rsid w:val="001052CE"/>
    <w:rsid w:val="00105445"/>
    <w:rsid w:val="00105886"/>
    <w:rsid w:val="00107F5F"/>
    <w:rsid w:val="00110291"/>
    <w:rsid w:val="00111129"/>
    <w:rsid w:val="001115CE"/>
    <w:rsid w:val="001156D5"/>
    <w:rsid w:val="00116C2C"/>
    <w:rsid w:val="0012166D"/>
    <w:rsid w:val="00121BC1"/>
    <w:rsid w:val="00122087"/>
    <w:rsid w:val="00122FE8"/>
    <w:rsid w:val="00124E79"/>
    <w:rsid w:val="001253B0"/>
    <w:rsid w:val="00125F24"/>
    <w:rsid w:val="00126765"/>
    <w:rsid w:val="00132597"/>
    <w:rsid w:val="001336AD"/>
    <w:rsid w:val="00136942"/>
    <w:rsid w:val="0013777C"/>
    <w:rsid w:val="00140612"/>
    <w:rsid w:val="00141253"/>
    <w:rsid w:val="00143094"/>
    <w:rsid w:val="00143416"/>
    <w:rsid w:val="00143E29"/>
    <w:rsid w:val="00145947"/>
    <w:rsid w:val="0014596A"/>
    <w:rsid w:val="00146787"/>
    <w:rsid w:val="00146F52"/>
    <w:rsid w:val="0014793D"/>
    <w:rsid w:val="00147976"/>
    <w:rsid w:val="001539A3"/>
    <w:rsid w:val="00156921"/>
    <w:rsid w:val="00157A9B"/>
    <w:rsid w:val="00160624"/>
    <w:rsid w:val="00160982"/>
    <w:rsid w:val="00160AFF"/>
    <w:rsid w:val="00160F4E"/>
    <w:rsid w:val="00161375"/>
    <w:rsid w:val="00162DFF"/>
    <w:rsid w:val="001641DE"/>
    <w:rsid w:val="00164FE4"/>
    <w:rsid w:val="00165C67"/>
    <w:rsid w:val="001674BC"/>
    <w:rsid w:val="001703D4"/>
    <w:rsid w:val="001705D5"/>
    <w:rsid w:val="0017148B"/>
    <w:rsid w:val="0017255C"/>
    <w:rsid w:val="00174DC6"/>
    <w:rsid w:val="001774AF"/>
    <w:rsid w:val="001803BF"/>
    <w:rsid w:val="00181C06"/>
    <w:rsid w:val="00183ADC"/>
    <w:rsid w:val="001848C2"/>
    <w:rsid w:val="001848C8"/>
    <w:rsid w:val="0018632F"/>
    <w:rsid w:val="00186F09"/>
    <w:rsid w:val="0018782F"/>
    <w:rsid w:val="00193261"/>
    <w:rsid w:val="001948B7"/>
    <w:rsid w:val="00196592"/>
    <w:rsid w:val="00196598"/>
    <w:rsid w:val="00196E49"/>
    <w:rsid w:val="001A027F"/>
    <w:rsid w:val="001A0571"/>
    <w:rsid w:val="001A09F3"/>
    <w:rsid w:val="001A1B78"/>
    <w:rsid w:val="001A1C6E"/>
    <w:rsid w:val="001A360B"/>
    <w:rsid w:val="001A6EFF"/>
    <w:rsid w:val="001B117F"/>
    <w:rsid w:val="001B1521"/>
    <w:rsid w:val="001B191C"/>
    <w:rsid w:val="001B206F"/>
    <w:rsid w:val="001B29E5"/>
    <w:rsid w:val="001B33C8"/>
    <w:rsid w:val="001B5A6B"/>
    <w:rsid w:val="001C142A"/>
    <w:rsid w:val="001C6824"/>
    <w:rsid w:val="001C700A"/>
    <w:rsid w:val="001D0EAF"/>
    <w:rsid w:val="001D17B5"/>
    <w:rsid w:val="001D17CD"/>
    <w:rsid w:val="001D438C"/>
    <w:rsid w:val="001D4BE7"/>
    <w:rsid w:val="001D4D10"/>
    <w:rsid w:val="001D5473"/>
    <w:rsid w:val="001D7CAC"/>
    <w:rsid w:val="001E4AB0"/>
    <w:rsid w:val="001E6E91"/>
    <w:rsid w:val="001F0129"/>
    <w:rsid w:val="001F0255"/>
    <w:rsid w:val="001F2E7A"/>
    <w:rsid w:val="001F4251"/>
    <w:rsid w:val="001F49C9"/>
    <w:rsid w:val="00204A07"/>
    <w:rsid w:val="0020507E"/>
    <w:rsid w:val="0020661A"/>
    <w:rsid w:val="0020739F"/>
    <w:rsid w:val="00210197"/>
    <w:rsid w:val="00210DAC"/>
    <w:rsid w:val="002123C1"/>
    <w:rsid w:val="00212D06"/>
    <w:rsid w:val="00212E12"/>
    <w:rsid w:val="00213C03"/>
    <w:rsid w:val="00214049"/>
    <w:rsid w:val="00215E92"/>
    <w:rsid w:val="00216187"/>
    <w:rsid w:val="00220E47"/>
    <w:rsid w:val="00222D92"/>
    <w:rsid w:val="00224651"/>
    <w:rsid w:val="00224C43"/>
    <w:rsid w:val="002257B5"/>
    <w:rsid w:val="00225A37"/>
    <w:rsid w:val="00231700"/>
    <w:rsid w:val="002333A5"/>
    <w:rsid w:val="00233A53"/>
    <w:rsid w:val="00234351"/>
    <w:rsid w:val="00234A97"/>
    <w:rsid w:val="00234B9A"/>
    <w:rsid w:val="002353AD"/>
    <w:rsid w:val="00235541"/>
    <w:rsid w:val="00236563"/>
    <w:rsid w:val="002369D9"/>
    <w:rsid w:val="002374A9"/>
    <w:rsid w:val="002402C6"/>
    <w:rsid w:val="00240DE0"/>
    <w:rsid w:val="0024155F"/>
    <w:rsid w:val="00241698"/>
    <w:rsid w:val="0024247C"/>
    <w:rsid w:val="00243CA6"/>
    <w:rsid w:val="00243D35"/>
    <w:rsid w:val="00243FAF"/>
    <w:rsid w:val="00244269"/>
    <w:rsid w:val="0024774B"/>
    <w:rsid w:val="00251150"/>
    <w:rsid w:val="00253F72"/>
    <w:rsid w:val="0025477C"/>
    <w:rsid w:val="00255C14"/>
    <w:rsid w:val="00257C0B"/>
    <w:rsid w:val="00261B8F"/>
    <w:rsid w:val="00264FD2"/>
    <w:rsid w:val="002670C8"/>
    <w:rsid w:val="002676DA"/>
    <w:rsid w:val="00270684"/>
    <w:rsid w:val="00271912"/>
    <w:rsid w:val="00272E7B"/>
    <w:rsid w:val="002737E2"/>
    <w:rsid w:val="00275528"/>
    <w:rsid w:val="00276B36"/>
    <w:rsid w:val="00276B70"/>
    <w:rsid w:val="002776C0"/>
    <w:rsid w:val="00277899"/>
    <w:rsid w:val="002778E6"/>
    <w:rsid w:val="00277CAE"/>
    <w:rsid w:val="002802A5"/>
    <w:rsid w:val="00280365"/>
    <w:rsid w:val="00284EF9"/>
    <w:rsid w:val="00285E67"/>
    <w:rsid w:val="00286ABD"/>
    <w:rsid w:val="00287887"/>
    <w:rsid w:val="002919C4"/>
    <w:rsid w:val="00292099"/>
    <w:rsid w:val="00292F64"/>
    <w:rsid w:val="002931AE"/>
    <w:rsid w:val="002951EF"/>
    <w:rsid w:val="002964B3"/>
    <w:rsid w:val="00297E80"/>
    <w:rsid w:val="002A0B84"/>
    <w:rsid w:val="002A0E72"/>
    <w:rsid w:val="002A37D4"/>
    <w:rsid w:val="002A4156"/>
    <w:rsid w:val="002A46F2"/>
    <w:rsid w:val="002A525E"/>
    <w:rsid w:val="002A7000"/>
    <w:rsid w:val="002B0FBD"/>
    <w:rsid w:val="002B38CA"/>
    <w:rsid w:val="002B3AB8"/>
    <w:rsid w:val="002B3CCE"/>
    <w:rsid w:val="002B4AF1"/>
    <w:rsid w:val="002B53CF"/>
    <w:rsid w:val="002B5837"/>
    <w:rsid w:val="002B6172"/>
    <w:rsid w:val="002C0D0F"/>
    <w:rsid w:val="002C1B01"/>
    <w:rsid w:val="002C2227"/>
    <w:rsid w:val="002C25F5"/>
    <w:rsid w:val="002C25FC"/>
    <w:rsid w:val="002C41DB"/>
    <w:rsid w:val="002C4731"/>
    <w:rsid w:val="002C4DBF"/>
    <w:rsid w:val="002C64AC"/>
    <w:rsid w:val="002C682F"/>
    <w:rsid w:val="002D2313"/>
    <w:rsid w:val="002D2514"/>
    <w:rsid w:val="002D4BEC"/>
    <w:rsid w:val="002D599B"/>
    <w:rsid w:val="002D5D92"/>
    <w:rsid w:val="002E19B2"/>
    <w:rsid w:val="002E1F1D"/>
    <w:rsid w:val="002E5B9D"/>
    <w:rsid w:val="002E6226"/>
    <w:rsid w:val="002E6B31"/>
    <w:rsid w:val="002E6F40"/>
    <w:rsid w:val="002E717E"/>
    <w:rsid w:val="002F2690"/>
    <w:rsid w:val="002F2E99"/>
    <w:rsid w:val="002F2F89"/>
    <w:rsid w:val="002F3192"/>
    <w:rsid w:val="002F321F"/>
    <w:rsid w:val="002F5F6C"/>
    <w:rsid w:val="002F7C2F"/>
    <w:rsid w:val="00303291"/>
    <w:rsid w:val="00304D2A"/>
    <w:rsid w:val="003062BD"/>
    <w:rsid w:val="00310737"/>
    <w:rsid w:val="00311367"/>
    <w:rsid w:val="00312C6B"/>
    <w:rsid w:val="003130B9"/>
    <w:rsid w:val="0031316A"/>
    <w:rsid w:val="003137D8"/>
    <w:rsid w:val="00313BF0"/>
    <w:rsid w:val="00314CBE"/>
    <w:rsid w:val="00315C09"/>
    <w:rsid w:val="0031612F"/>
    <w:rsid w:val="00316863"/>
    <w:rsid w:val="00323B5E"/>
    <w:rsid w:val="00324E82"/>
    <w:rsid w:val="00325CC5"/>
    <w:rsid w:val="003313F1"/>
    <w:rsid w:val="003331B6"/>
    <w:rsid w:val="0033482C"/>
    <w:rsid w:val="00336B96"/>
    <w:rsid w:val="00337FC8"/>
    <w:rsid w:val="00341D2C"/>
    <w:rsid w:val="00342783"/>
    <w:rsid w:val="00344288"/>
    <w:rsid w:val="00345B05"/>
    <w:rsid w:val="00345E65"/>
    <w:rsid w:val="003476EE"/>
    <w:rsid w:val="00347836"/>
    <w:rsid w:val="00352774"/>
    <w:rsid w:val="00352E7E"/>
    <w:rsid w:val="003531F4"/>
    <w:rsid w:val="00355845"/>
    <w:rsid w:val="00356765"/>
    <w:rsid w:val="00357A7D"/>
    <w:rsid w:val="0036030F"/>
    <w:rsid w:val="00360555"/>
    <w:rsid w:val="003610FB"/>
    <w:rsid w:val="00361107"/>
    <w:rsid w:val="003614A0"/>
    <w:rsid w:val="00361ADE"/>
    <w:rsid w:val="0036393D"/>
    <w:rsid w:val="003651D9"/>
    <w:rsid w:val="00365ADE"/>
    <w:rsid w:val="00365B40"/>
    <w:rsid w:val="0037049A"/>
    <w:rsid w:val="0037181D"/>
    <w:rsid w:val="003740C7"/>
    <w:rsid w:val="003740F4"/>
    <w:rsid w:val="00375E5E"/>
    <w:rsid w:val="00376B46"/>
    <w:rsid w:val="00382FE3"/>
    <w:rsid w:val="00383731"/>
    <w:rsid w:val="00383FF2"/>
    <w:rsid w:val="00385271"/>
    <w:rsid w:val="00385A05"/>
    <w:rsid w:val="00396058"/>
    <w:rsid w:val="00396D83"/>
    <w:rsid w:val="00397058"/>
    <w:rsid w:val="003A046F"/>
    <w:rsid w:val="003A14BA"/>
    <w:rsid w:val="003A1BB9"/>
    <w:rsid w:val="003A41B4"/>
    <w:rsid w:val="003A5221"/>
    <w:rsid w:val="003A54B9"/>
    <w:rsid w:val="003A54D8"/>
    <w:rsid w:val="003A5659"/>
    <w:rsid w:val="003A583E"/>
    <w:rsid w:val="003B0674"/>
    <w:rsid w:val="003B1F6D"/>
    <w:rsid w:val="003B60F7"/>
    <w:rsid w:val="003B6359"/>
    <w:rsid w:val="003C1224"/>
    <w:rsid w:val="003C1C2D"/>
    <w:rsid w:val="003C38BF"/>
    <w:rsid w:val="003C3DFC"/>
    <w:rsid w:val="003C4D42"/>
    <w:rsid w:val="003C4DA4"/>
    <w:rsid w:val="003C4E50"/>
    <w:rsid w:val="003C5535"/>
    <w:rsid w:val="003C573F"/>
    <w:rsid w:val="003C5FB8"/>
    <w:rsid w:val="003C65C3"/>
    <w:rsid w:val="003C6DA7"/>
    <w:rsid w:val="003D046E"/>
    <w:rsid w:val="003D0821"/>
    <w:rsid w:val="003D1028"/>
    <w:rsid w:val="003D2A6F"/>
    <w:rsid w:val="003D2A9B"/>
    <w:rsid w:val="003D406F"/>
    <w:rsid w:val="003D432E"/>
    <w:rsid w:val="003D4FC9"/>
    <w:rsid w:val="003D616C"/>
    <w:rsid w:val="003D75E0"/>
    <w:rsid w:val="003E0580"/>
    <w:rsid w:val="003E072D"/>
    <w:rsid w:val="003E0DFE"/>
    <w:rsid w:val="003E39ED"/>
    <w:rsid w:val="003E41D5"/>
    <w:rsid w:val="003E474D"/>
    <w:rsid w:val="003E74CC"/>
    <w:rsid w:val="003F0A8E"/>
    <w:rsid w:val="003F362E"/>
    <w:rsid w:val="003F4EC6"/>
    <w:rsid w:val="003F54CD"/>
    <w:rsid w:val="003F74B4"/>
    <w:rsid w:val="00402D63"/>
    <w:rsid w:val="00403B8F"/>
    <w:rsid w:val="00410B97"/>
    <w:rsid w:val="00414D9F"/>
    <w:rsid w:val="00415ED5"/>
    <w:rsid w:val="0042021D"/>
    <w:rsid w:val="00425C68"/>
    <w:rsid w:val="00427F82"/>
    <w:rsid w:val="00434D0C"/>
    <w:rsid w:val="004368B9"/>
    <w:rsid w:val="0044088A"/>
    <w:rsid w:val="00440CDF"/>
    <w:rsid w:val="00440E38"/>
    <w:rsid w:val="00441FD3"/>
    <w:rsid w:val="0044252A"/>
    <w:rsid w:val="00442A85"/>
    <w:rsid w:val="00442C3A"/>
    <w:rsid w:val="00443882"/>
    <w:rsid w:val="00443A40"/>
    <w:rsid w:val="00445A3E"/>
    <w:rsid w:val="00445BA2"/>
    <w:rsid w:val="00445F40"/>
    <w:rsid w:val="004472A2"/>
    <w:rsid w:val="00447513"/>
    <w:rsid w:val="00450944"/>
    <w:rsid w:val="00451A14"/>
    <w:rsid w:val="004526D1"/>
    <w:rsid w:val="00452E7A"/>
    <w:rsid w:val="004546F7"/>
    <w:rsid w:val="00455D08"/>
    <w:rsid w:val="0045612B"/>
    <w:rsid w:val="00457B14"/>
    <w:rsid w:val="004600AA"/>
    <w:rsid w:val="004604F7"/>
    <w:rsid w:val="0046115E"/>
    <w:rsid w:val="004625E2"/>
    <w:rsid w:val="00462BDF"/>
    <w:rsid w:val="0046339E"/>
    <w:rsid w:val="004635FF"/>
    <w:rsid w:val="00464CF1"/>
    <w:rsid w:val="004651DD"/>
    <w:rsid w:val="00465B8B"/>
    <w:rsid w:val="00467E0F"/>
    <w:rsid w:val="004703F8"/>
    <w:rsid w:val="0047238B"/>
    <w:rsid w:val="0047268E"/>
    <w:rsid w:val="00472820"/>
    <w:rsid w:val="00472A93"/>
    <w:rsid w:val="0047406D"/>
    <w:rsid w:val="00476121"/>
    <w:rsid w:val="00476D0D"/>
    <w:rsid w:val="004776E1"/>
    <w:rsid w:val="0047780A"/>
    <w:rsid w:val="00480A17"/>
    <w:rsid w:val="004830B4"/>
    <w:rsid w:val="00483E64"/>
    <w:rsid w:val="004841C3"/>
    <w:rsid w:val="00484317"/>
    <w:rsid w:val="00484A59"/>
    <w:rsid w:val="00484AF7"/>
    <w:rsid w:val="004864E6"/>
    <w:rsid w:val="00491241"/>
    <w:rsid w:val="00492FD8"/>
    <w:rsid w:val="00494191"/>
    <w:rsid w:val="00494287"/>
    <w:rsid w:val="004943EB"/>
    <w:rsid w:val="00496125"/>
    <w:rsid w:val="004A0E4C"/>
    <w:rsid w:val="004A1097"/>
    <w:rsid w:val="004A1C24"/>
    <w:rsid w:val="004B056D"/>
    <w:rsid w:val="004B099C"/>
    <w:rsid w:val="004B0CA0"/>
    <w:rsid w:val="004B26C6"/>
    <w:rsid w:val="004B34AF"/>
    <w:rsid w:val="004B363C"/>
    <w:rsid w:val="004B54E7"/>
    <w:rsid w:val="004B5BFF"/>
    <w:rsid w:val="004C0194"/>
    <w:rsid w:val="004C160C"/>
    <w:rsid w:val="004C1DD1"/>
    <w:rsid w:val="004C28CA"/>
    <w:rsid w:val="004C5060"/>
    <w:rsid w:val="004C6CBA"/>
    <w:rsid w:val="004D138D"/>
    <w:rsid w:val="004D2CCF"/>
    <w:rsid w:val="004D4E8E"/>
    <w:rsid w:val="004D64D8"/>
    <w:rsid w:val="004D6D3A"/>
    <w:rsid w:val="004E0D4F"/>
    <w:rsid w:val="004E4123"/>
    <w:rsid w:val="004E4229"/>
    <w:rsid w:val="004E4BB5"/>
    <w:rsid w:val="004E5D9C"/>
    <w:rsid w:val="004F4132"/>
    <w:rsid w:val="004F4364"/>
    <w:rsid w:val="004F454F"/>
    <w:rsid w:val="004F54DE"/>
    <w:rsid w:val="004F67C3"/>
    <w:rsid w:val="004F71FA"/>
    <w:rsid w:val="00505634"/>
    <w:rsid w:val="00511114"/>
    <w:rsid w:val="005126CB"/>
    <w:rsid w:val="00512D87"/>
    <w:rsid w:val="0051420A"/>
    <w:rsid w:val="00515329"/>
    <w:rsid w:val="00516DAB"/>
    <w:rsid w:val="0052035F"/>
    <w:rsid w:val="0052118B"/>
    <w:rsid w:val="005216A1"/>
    <w:rsid w:val="00527EDE"/>
    <w:rsid w:val="00533189"/>
    <w:rsid w:val="00534D40"/>
    <w:rsid w:val="00541F43"/>
    <w:rsid w:val="0054231C"/>
    <w:rsid w:val="00542E41"/>
    <w:rsid w:val="0054378B"/>
    <w:rsid w:val="00543A0D"/>
    <w:rsid w:val="00543D58"/>
    <w:rsid w:val="00546237"/>
    <w:rsid w:val="00547423"/>
    <w:rsid w:val="00547854"/>
    <w:rsid w:val="005500FB"/>
    <w:rsid w:val="005519E2"/>
    <w:rsid w:val="00551A23"/>
    <w:rsid w:val="00553577"/>
    <w:rsid w:val="00553907"/>
    <w:rsid w:val="00553FCC"/>
    <w:rsid w:val="00554B9F"/>
    <w:rsid w:val="00554BF1"/>
    <w:rsid w:val="00555641"/>
    <w:rsid w:val="005557AA"/>
    <w:rsid w:val="00557BAA"/>
    <w:rsid w:val="005601AE"/>
    <w:rsid w:val="0056110C"/>
    <w:rsid w:val="00561C20"/>
    <w:rsid w:val="00561C88"/>
    <w:rsid w:val="0056497D"/>
    <w:rsid w:val="00566463"/>
    <w:rsid w:val="00566928"/>
    <w:rsid w:val="00566E02"/>
    <w:rsid w:val="00566E57"/>
    <w:rsid w:val="0057253E"/>
    <w:rsid w:val="00572D12"/>
    <w:rsid w:val="00573629"/>
    <w:rsid w:val="005739E2"/>
    <w:rsid w:val="00573D71"/>
    <w:rsid w:val="00575D38"/>
    <w:rsid w:val="00581809"/>
    <w:rsid w:val="005820C6"/>
    <w:rsid w:val="005826C6"/>
    <w:rsid w:val="00583633"/>
    <w:rsid w:val="005846FE"/>
    <w:rsid w:val="00584C50"/>
    <w:rsid w:val="005864FF"/>
    <w:rsid w:val="00590FB6"/>
    <w:rsid w:val="005913F3"/>
    <w:rsid w:val="005915D2"/>
    <w:rsid w:val="00592F72"/>
    <w:rsid w:val="00595142"/>
    <w:rsid w:val="00595699"/>
    <w:rsid w:val="00596922"/>
    <w:rsid w:val="00597CC3"/>
    <w:rsid w:val="005A0A3F"/>
    <w:rsid w:val="005A119A"/>
    <w:rsid w:val="005B21C2"/>
    <w:rsid w:val="005B359F"/>
    <w:rsid w:val="005B381F"/>
    <w:rsid w:val="005B4141"/>
    <w:rsid w:val="005B4C5F"/>
    <w:rsid w:val="005B524E"/>
    <w:rsid w:val="005B7E2E"/>
    <w:rsid w:val="005C0DFF"/>
    <w:rsid w:val="005C13CA"/>
    <w:rsid w:val="005C1AC1"/>
    <w:rsid w:val="005C32C4"/>
    <w:rsid w:val="005C3FBA"/>
    <w:rsid w:val="005C5766"/>
    <w:rsid w:val="005C5AAA"/>
    <w:rsid w:val="005C6804"/>
    <w:rsid w:val="005C6E99"/>
    <w:rsid w:val="005C714F"/>
    <w:rsid w:val="005C7DA9"/>
    <w:rsid w:val="005D0DC5"/>
    <w:rsid w:val="005D393B"/>
    <w:rsid w:val="005D4200"/>
    <w:rsid w:val="005D5AAB"/>
    <w:rsid w:val="005D5EB5"/>
    <w:rsid w:val="005E0A4B"/>
    <w:rsid w:val="005E2BD1"/>
    <w:rsid w:val="005E4C9E"/>
    <w:rsid w:val="005E5A4A"/>
    <w:rsid w:val="005E6010"/>
    <w:rsid w:val="005E6AD1"/>
    <w:rsid w:val="005E76BA"/>
    <w:rsid w:val="005F0A3E"/>
    <w:rsid w:val="005F0BD8"/>
    <w:rsid w:val="005F1AF3"/>
    <w:rsid w:val="005F5B87"/>
    <w:rsid w:val="0060015E"/>
    <w:rsid w:val="00601FA1"/>
    <w:rsid w:val="006067A2"/>
    <w:rsid w:val="00606A29"/>
    <w:rsid w:val="00610AC3"/>
    <w:rsid w:val="00610BA2"/>
    <w:rsid w:val="006116C4"/>
    <w:rsid w:val="006125C9"/>
    <w:rsid w:val="00613305"/>
    <w:rsid w:val="006138BF"/>
    <w:rsid w:val="00615FFF"/>
    <w:rsid w:val="00616581"/>
    <w:rsid w:val="00617C1C"/>
    <w:rsid w:val="00617DFB"/>
    <w:rsid w:val="0062003F"/>
    <w:rsid w:val="00621151"/>
    <w:rsid w:val="006227A1"/>
    <w:rsid w:val="00622E4B"/>
    <w:rsid w:val="00625CE0"/>
    <w:rsid w:val="00632B98"/>
    <w:rsid w:val="006349CE"/>
    <w:rsid w:val="0063574B"/>
    <w:rsid w:val="00635C2D"/>
    <w:rsid w:val="00640FE4"/>
    <w:rsid w:val="00641258"/>
    <w:rsid w:val="00642133"/>
    <w:rsid w:val="006439C7"/>
    <w:rsid w:val="00643D74"/>
    <w:rsid w:val="00647330"/>
    <w:rsid w:val="00650D1E"/>
    <w:rsid w:val="00650F61"/>
    <w:rsid w:val="006516B7"/>
    <w:rsid w:val="00652846"/>
    <w:rsid w:val="006529FD"/>
    <w:rsid w:val="00653AB3"/>
    <w:rsid w:val="00654791"/>
    <w:rsid w:val="00655B44"/>
    <w:rsid w:val="00656786"/>
    <w:rsid w:val="0065719D"/>
    <w:rsid w:val="0065754C"/>
    <w:rsid w:val="00657C02"/>
    <w:rsid w:val="00661C15"/>
    <w:rsid w:val="0066243C"/>
    <w:rsid w:val="00662CD2"/>
    <w:rsid w:val="0066341C"/>
    <w:rsid w:val="00664391"/>
    <w:rsid w:val="0067024C"/>
    <w:rsid w:val="00672B9A"/>
    <w:rsid w:val="00673417"/>
    <w:rsid w:val="00673428"/>
    <w:rsid w:val="00673721"/>
    <w:rsid w:val="006737E5"/>
    <w:rsid w:val="00675396"/>
    <w:rsid w:val="00676ABC"/>
    <w:rsid w:val="00681921"/>
    <w:rsid w:val="00681B25"/>
    <w:rsid w:val="006844BF"/>
    <w:rsid w:val="00687322"/>
    <w:rsid w:val="00687CEE"/>
    <w:rsid w:val="0069012C"/>
    <w:rsid w:val="00691AC7"/>
    <w:rsid w:val="006925B7"/>
    <w:rsid w:val="0069280C"/>
    <w:rsid w:val="006930A0"/>
    <w:rsid w:val="006962AC"/>
    <w:rsid w:val="006A13FD"/>
    <w:rsid w:val="006A17BF"/>
    <w:rsid w:val="006A242A"/>
    <w:rsid w:val="006B103A"/>
    <w:rsid w:val="006B26E9"/>
    <w:rsid w:val="006B3B3A"/>
    <w:rsid w:val="006B6F58"/>
    <w:rsid w:val="006B7CAE"/>
    <w:rsid w:val="006C1744"/>
    <w:rsid w:val="006C1D1E"/>
    <w:rsid w:val="006C1DAB"/>
    <w:rsid w:val="006C4D6A"/>
    <w:rsid w:val="006C5D60"/>
    <w:rsid w:val="006C6637"/>
    <w:rsid w:val="006D193D"/>
    <w:rsid w:val="006D394A"/>
    <w:rsid w:val="006D5332"/>
    <w:rsid w:val="006D5DBF"/>
    <w:rsid w:val="006E0200"/>
    <w:rsid w:val="006E0EC2"/>
    <w:rsid w:val="006E123C"/>
    <w:rsid w:val="006E32D2"/>
    <w:rsid w:val="006E39EF"/>
    <w:rsid w:val="006E4C8F"/>
    <w:rsid w:val="006E751A"/>
    <w:rsid w:val="006E7B12"/>
    <w:rsid w:val="006F244B"/>
    <w:rsid w:val="006F3760"/>
    <w:rsid w:val="006F4306"/>
    <w:rsid w:val="006F4ACD"/>
    <w:rsid w:val="006F5B6C"/>
    <w:rsid w:val="006F6065"/>
    <w:rsid w:val="006F6D3D"/>
    <w:rsid w:val="0070389C"/>
    <w:rsid w:val="00703C7A"/>
    <w:rsid w:val="00705D9A"/>
    <w:rsid w:val="007076AF"/>
    <w:rsid w:val="007106A8"/>
    <w:rsid w:val="007107BF"/>
    <w:rsid w:val="00710ABD"/>
    <w:rsid w:val="007124E0"/>
    <w:rsid w:val="007159C4"/>
    <w:rsid w:val="007164E0"/>
    <w:rsid w:val="00716DE1"/>
    <w:rsid w:val="00717283"/>
    <w:rsid w:val="007172F5"/>
    <w:rsid w:val="00720C08"/>
    <w:rsid w:val="00723332"/>
    <w:rsid w:val="0072446C"/>
    <w:rsid w:val="00724BDC"/>
    <w:rsid w:val="00724E2E"/>
    <w:rsid w:val="00725120"/>
    <w:rsid w:val="007312AD"/>
    <w:rsid w:val="0073785A"/>
    <w:rsid w:val="00744A87"/>
    <w:rsid w:val="00744B46"/>
    <w:rsid w:val="00744BF8"/>
    <w:rsid w:val="0074788C"/>
    <w:rsid w:val="00751CF9"/>
    <w:rsid w:val="00751D2D"/>
    <w:rsid w:val="00754018"/>
    <w:rsid w:val="007546E0"/>
    <w:rsid w:val="00755E8E"/>
    <w:rsid w:val="00760253"/>
    <w:rsid w:val="007609F1"/>
    <w:rsid w:val="00761CE7"/>
    <w:rsid w:val="00763E99"/>
    <w:rsid w:val="00765AC9"/>
    <w:rsid w:val="00767A9F"/>
    <w:rsid w:val="00772128"/>
    <w:rsid w:val="0077220F"/>
    <w:rsid w:val="00772F37"/>
    <w:rsid w:val="0077649D"/>
    <w:rsid w:val="007767EC"/>
    <w:rsid w:val="007768FC"/>
    <w:rsid w:val="00776F30"/>
    <w:rsid w:val="00780409"/>
    <w:rsid w:val="00782E9F"/>
    <w:rsid w:val="007830BC"/>
    <w:rsid w:val="00783949"/>
    <w:rsid w:val="0078419A"/>
    <w:rsid w:val="00784834"/>
    <w:rsid w:val="007850CF"/>
    <w:rsid w:val="007851B8"/>
    <w:rsid w:val="00785CD9"/>
    <w:rsid w:val="00785CFB"/>
    <w:rsid w:val="00786ABB"/>
    <w:rsid w:val="00787B9C"/>
    <w:rsid w:val="00787C57"/>
    <w:rsid w:val="007935B4"/>
    <w:rsid w:val="00794704"/>
    <w:rsid w:val="007A1F2C"/>
    <w:rsid w:val="007A2C52"/>
    <w:rsid w:val="007A6E1A"/>
    <w:rsid w:val="007B0418"/>
    <w:rsid w:val="007B051C"/>
    <w:rsid w:val="007B07B8"/>
    <w:rsid w:val="007B2517"/>
    <w:rsid w:val="007B2C98"/>
    <w:rsid w:val="007B2DFE"/>
    <w:rsid w:val="007B5E83"/>
    <w:rsid w:val="007B60F0"/>
    <w:rsid w:val="007C4BEB"/>
    <w:rsid w:val="007C62E8"/>
    <w:rsid w:val="007C6BB4"/>
    <w:rsid w:val="007D35DB"/>
    <w:rsid w:val="007D4567"/>
    <w:rsid w:val="007D48F0"/>
    <w:rsid w:val="007D52BD"/>
    <w:rsid w:val="007D6507"/>
    <w:rsid w:val="007D6A4A"/>
    <w:rsid w:val="007E0514"/>
    <w:rsid w:val="007E0D37"/>
    <w:rsid w:val="007E1905"/>
    <w:rsid w:val="007E24CF"/>
    <w:rsid w:val="007E250A"/>
    <w:rsid w:val="007E3584"/>
    <w:rsid w:val="007E484B"/>
    <w:rsid w:val="007E4890"/>
    <w:rsid w:val="007E7857"/>
    <w:rsid w:val="007E79F4"/>
    <w:rsid w:val="007F45C8"/>
    <w:rsid w:val="007F4F4B"/>
    <w:rsid w:val="007F5E97"/>
    <w:rsid w:val="007F6737"/>
    <w:rsid w:val="008000F2"/>
    <w:rsid w:val="00802EAC"/>
    <w:rsid w:val="00803A8C"/>
    <w:rsid w:val="008113C8"/>
    <w:rsid w:val="008156A8"/>
    <w:rsid w:val="00815968"/>
    <w:rsid w:val="0082172F"/>
    <w:rsid w:val="00821D83"/>
    <w:rsid w:val="008274AA"/>
    <w:rsid w:val="008308BB"/>
    <w:rsid w:val="00832051"/>
    <w:rsid w:val="0083303E"/>
    <w:rsid w:val="00833371"/>
    <w:rsid w:val="0083452E"/>
    <w:rsid w:val="00834969"/>
    <w:rsid w:val="00840427"/>
    <w:rsid w:val="008405AE"/>
    <w:rsid w:val="008413B5"/>
    <w:rsid w:val="008453E2"/>
    <w:rsid w:val="0084621F"/>
    <w:rsid w:val="00846AA6"/>
    <w:rsid w:val="00846EA5"/>
    <w:rsid w:val="0084785C"/>
    <w:rsid w:val="008514E3"/>
    <w:rsid w:val="00851A7F"/>
    <w:rsid w:val="00851DCA"/>
    <w:rsid w:val="00851EF3"/>
    <w:rsid w:val="00851EFC"/>
    <w:rsid w:val="008534DB"/>
    <w:rsid w:val="00860631"/>
    <w:rsid w:val="00860ECB"/>
    <w:rsid w:val="00861124"/>
    <w:rsid w:val="00862DAA"/>
    <w:rsid w:val="00863AA3"/>
    <w:rsid w:val="00864D58"/>
    <w:rsid w:val="00866A58"/>
    <w:rsid w:val="0086760A"/>
    <w:rsid w:val="008713CA"/>
    <w:rsid w:val="00871AC8"/>
    <w:rsid w:val="00873ACC"/>
    <w:rsid w:val="00875022"/>
    <w:rsid w:val="0088128C"/>
    <w:rsid w:val="00881E38"/>
    <w:rsid w:val="0088216A"/>
    <w:rsid w:val="00882173"/>
    <w:rsid w:val="0088220F"/>
    <w:rsid w:val="00883515"/>
    <w:rsid w:val="00884A1D"/>
    <w:rsid w:val="00886B08"/>
    <w:rsid w:val="00887F6F"/>
    <w:rsid w:val="008919AB"/>
    <w:rsid w:val="00893DA5"/>
    <w:rsid w:val="008949C9"/>
    <w:rsid w:val="00895593"/>
    <w:rsid w:val="00895629"/>
    <w:rsid w:val="00895F5C"/>
    <w:rsid w:val="008A20C9"/>
    <w:rsid w:val="008A30B7"/>
    <w:rsid w:val="008A48FA"/>
    <w:rsid w:val="008A5385"/>
    <w:rsid w:val="008A7574"/>
    <w:rsid w:val="008B0213"/>
    <w:rsid w:val="008B043D"/>
    <w:rsid w:val="008B1108"/>
    <w:rsid w:val="008B13BA"/>
    <w:rsid w:val="008B1B3C"/>
    <w:rsid w:val="008B2A38"/>
    <w:rsid w:val="008B4F06"/>
    <w:rsid w:val="008B60E0"/>
    <w:rsid w:val="008B6795"/>
    <w:rsid w:val="008B6C4F"/>
    <w:rsid w:val="008B6E96"/>
    <w:rsid w:val="008B6F52"/>
    <w:rsid w:val="008B7096"/>
    <w:rsid w:val="008C26EA"/>
    <w:rsid w:val="008C4870"/>
    <w:rsid w:val="008C4AE3"/>
    <w:rsid w:val="008C50BA"/>
    <w:rsid w:val="008D2649"/>
    <w:rsid w:val="008D5D55"/>
    <w:rsid w:val="008D5E65"/>
    <w:rsid w:val="008E10F5"/>
    <w:rsid w:val="008E1CF4"/>
    <w:rsid w:val="008E2A1C"/>
    <w:rsid w:val="008E33DB"/>
    <w:rsid w:val="008E41B9"/>
    <w:rsid w:val="008E490C"/>
    <w:rsid w:val="008E61E1"/>
    <w:rsid w:val="008F144E"/>
    <w:rsid w:val="008F278E"/>
    <w:rsid w:val="008F3563"/>
    <w:rsid w:val="008F3D81"/>
    <w:rsid w:val="008F67CD"/>
    <w:rsid w:val="008F6E54"/>
    <w:rsid w:val="00900481"/>
    <w:rsid w:val="0090193C"/>
    <w:rsid w:val="00901A34"/>
    <w:rsid w:val="00901A6F"/>
    <w:rsid w:val="0090248A"/>
    <w:rsid w:val="00902AB0"/>
    <w:rsid w:val="00903B4A"/>
    <w:rsid w:val="009041A3"/>
    <w:rsid w:val="00904AA8"/>
    <w:rsid w:val="00904D2C"/>
    <w:rsid w:val="00907DDF"/>
    <w:rsid w:val="0091105E"/>
    <w:rsid w:val="009117DF"/>
    <w:rsid w:val="0091194B"/>
    <w:rsid w:val="00912320"/>
    <w:rsid w:val="009130B3"/>
    <w:rsid w:val="00913304"/>
    <w:rsid w:val="00915CF7"/>
    <w:rsid w:val="00921C3E"/>
    <w:rsid w:val="0092394E"/>
    <w:rsid w:val="00924163"/>
    <w:rsid w:val="00924467"/>
    <w:rsid w:val="00924CD8"/>
    <w:rsid w:val="00925269"/>
    <w:rsid w:val="009276E2"/>
    <w:rsid w:val="00930173"/>
    <w:rsid w:val="00930811"/>
    <w:rsid w:val="0093270E"/>
    <w:rsid w:val="00933CF3"/>
    <w:rsid w:val="00934249"/>
    <w:rsid w:val="009344CC"/>
    <w:rsid w:val="00935AE3"/>
    <w:rsid w:val="00936F87"/>
    <w:rsid w:val="0093700C"/>
    <w:rsid w:val="00941185"/>
    <w:rsid w:val="0094191C"/>
    <w:rsid w:val="00941B73"/>
    <w:rsid w:val="00941F12"/>
    <w:rsid w:val="009444A5"/>
    <w:rsid w:val="00945182"/>
    <w:rsid w:val="00945C0A"/>
    <w:rsid w:val="00945FF2"/>
    <w:rsid w:val="0094614C"/>
    <w:rsid w:val="009477E1"/>
    <w:rsid w:val="009514F8"/>
    <w:rsid w:val="00952BBF"/>
    <w:rsid w:val="009542B7"/>
    <w:rsid w:val="009542CD"/>
    <w:rsid w:val="0095538B"/>
    <w:rsid w:val="0095609A"/>
    <w:rsid w:val="00956643"/>
    <w:rsid w:val="00956AF1"/>
    <w:rsid w:val="00960FAD"/>
    <w:rsid w:val="00961F25"/>
    <w:rsid w:val="00962479"/>
    <w:rsid w:val="00967239"/>
    <w:rsid w:val="00967974"/>
    <w:rsid w:val="00970BB6"/>
    <w:rsid w:val="009716C9"/>
    <w:rsid w:val="0097200E"/>
    <w:rsid w:val="00972D34"/>
    <w:rsid w:val="00976DF8"/>
    <w:rsid w:val="009777BA"/>
    <w:rsid w:val="00981E17"/>
    <w:rsid w:val="00982139"/>
    <w:rsid w:val="009828CD"/>
    <w:rsid w:val="00984228"/>
    <w:rsid w:val="00984E7C"/>
    <w:rsid w:val="00985ABB"/>
    <w:rsid w:val="009875BA"/>
    <w:rsid w:val="00990189"/>
    <w:rsid w:val="00992BED"/>
    <w:rsid w:val="00993B39"/>
    <w:rsid w:val="00996C90"/>
    <w:rsid w:val="009A186D"/>
    <w:rsid w:val="009A2186"/>
    <w:rsid w:val="009A2E54"/>
    <w:rsid w:val="009A3EAD"/>
    <w:rsid w:val="009A5400"/>
    <w:rsid w:val="009A5F2E"/>
    <w:rsid w:val="009A6252"/>
    <w:rsid w:val="009A7DAF"/>
    <w:rsid w:val="009B018C"/>
    <w:rsid w:val="009B0C44"/>
    <w:rsid w:val="009B1448"/>
    <w:rsid w:val="009B14CE"/>
    <w:rsid w:val="009B1D45"/>
    <w:rsid w:val="009B2432"/>
    <w:rsid w:val="009B430B"/>
    <w:rsid w:val="009B5CBC"/>
    <w:rsid w:val="009B6407"/>
    <w:rsid w:val="009C1A6C"/>
    <w:rsid w:val="009C1AB8"/>
    <w:rsid w:val="009C3B74"/>
    <w:rsid w:val="009C3EA6"/>
    <w:rsid w:val="009C5C4C"/>
    <w:rsid w:val="009C60DB"/>
    <w:rsid w:val="009C62D4"/>
    <w:rsid w:val="009C66C1"/>
    <w:rsid w:val="009C6CC1"/>
    <w:rsid w:val="009D10DB"/>
    <w:rsid w:val="009D1A59"/>
    <w:rsid w:val="009D3123"/>
    <w:rsid w:val="009D4EA2"/>
    <w:rsid w:val="009D50FD"/>
    <w:rsid w:val="009D5F1D"/>
    <w:rsid w:val="009E29A4"/>
    <w:rsid w:val="009E3AC8"/>
    <w:rsid w:val="009E43A2"/>
    <w:rsid w:val="009F3CF1"/>
    <w:rsid w:val="009F58E3"/>
    <w:rsid w:val="009F6313"/>
    <w:rsid w:val="009F77E4"/>
    <w:rsid w:val="009F7BB9"/>
    <w:rsid w:val="00A01E4E"/>
    <w:rsid w:val="00A03611"/>
    <w:rsid w:val="00A04319"/>
    <w:rsid w:val="00A06224"/>
    <w:rsid w:val="00A063BD"/>
    <w:rsid w:val="00A06A31"/>
    <w:rsid w:val="00A0784D"/>
    <w:rsid w:val="00A10B7D"/>
    <w:rsid w:val="00A13490"/>
    <w:rsid w:val="00A1541F"/>
    <w:rsid w:val="00A1588C"/>
    <w:rsid w:val="00A20AB6"/>
    <w:rsid w:val="00A20CFA"/>
    <w:rsid w:val="00A216F6"/>
    <w:rsid w:val="00A21789"/>
    <w:rsid w:val="00A218CA"/>
    <w:rsid w:val="00A21BE1"/>
    <w:rsid w:val="00A22F63"/>
    <w:rsid w:val="00A23557"/>
    <w:rsid w:val="00A23B0E"/>
    <w:rsid w:val="00A27931"/>
    <w:rsid w:val="00A30CBC"/>
    <w:rsid w:val="00A316BC"/>
    <w:rsid w:val="00A31904"/>
    <w:rsid w:val="00A31B87"/>
    <w:rsid w:val="00A32377"/>
    <w:rsid w:val="00A342F2"/>
    <w:rsid w:val="00A36DB2"/>
    <w:rsid w:val="00A3750C"/>
    <w:rsid w:val="00A415BA"/>
    <w:rsid w:val="00A43F13"/>
    <w:rsid w:val="00A440E7"/>
    <w:rsid w:val="00A5288B"/>
    <w:rsid w:val="00A54067"/>
    <w:rsid w:val="00A56E42"/>
    <w:rsid w:val="00A60433"/>
    <w:rsid w:val="00A6278F"/>
    <w:rsid w:val="00A634AC"/>
    <w:rsid w:val="00A63D42"/>
    <w:rsid w:val="00A64A31"/>
    <w:rsid w:val="00A65F00"/>
    <w:rsid w:val="00A6687A"/>
    <w:rsid w:val="00A67613"/>
    <w:rsid w:val="00A700F3"/>
    <w:rsid w:val="00A71759"/>
    <w:rsid w:val="00A7276D"/>
    <w:rsid w:val="00A72D66"/>
    <w:rsid w:val="00A72E1B"/>
    <w:rsid w:val="00A739C6"/>
    <w:rsid w:val="00A74F4B"/>
    <w:rsid w:val="00A751F6"/>
    <w:rsid w:val="00A76207"/>
    <w:rsid w:val="00A763EB"/>
    <w:rsid w:val="00A77D17"/>
    <w:rsid w:val="00A82A97"/>
    <w:rsid w:val="00A83E30"/>
    <w:rsid w:val="00A840B8"/>
    <w:rsid w:val="00A8487F"/>
    <w:rsid w:val="00A857AD"/>
    <w:rsid w:val="00A85AA9"/>
    <w:rsid w:val="00A87229"/>
    <w:rsid w:val="00A90E8A"/>
    <w:rsid w:val="00A92841"/>
    <w:rsid w:val="00A9309A"/>
    <w:rsid w:val="00A93181"/>
    <w:rsid w:val="00A95A55"/>
    <w:rsid w:val="00A95F9F"/>
    <w:rsid w:val="00A9736F"/>
    <w:rsid w:val="00A9737B"/>
    <w:rsid w:val="00A97EFC"/>
    <w:rsid w:val="00AA05BC"/>
    <w:rsid w:val="00AA05C7"/>
    <w:rsid w:val="00AA426E"/>
    <w:rsid w:val="00AA4F7C"/>
    <w:rsid w:val="00AA624D"/>
    <w:rsid w:val="00AA7C4D"/>
    <w:rsid w:val="00AB0676"/>
    <w:rsid w:val="00AB478D"/>
    <w:rsid w:val="00AB527B"/>
    <w:rsid w:val="00AC014C"/>
    <w:rsid w:val="00AC0932"/>
    <w:rsid w:val="00AC0D17"/>
    <w:rsid w:val="00AC148A"/>
    <w:rsid w:val="00AC1702"/>
    <w:rsid w:val="00AC351E"/>
    <w:rsid w:val="00AC4B65"/>
    <w:rsid w:val="00AC6C7B"/>
    <w:rsid w:val="00AC6F30"/>
    <w:rsid w:val="00AD17E9"/>
    <w:rsid w:val="00AD186A"/>
    <w:rsid w:val="00AD2410"/>
    <w:rsid w:val="00AD523A"/>
    <w:rsid w:val="00AD569D"/>
    <w:rsid w:val="00AD5BE4"/>
    <w:rsid w:val="00AE1378"/>
    <w:rsid w:val="00AE174E"/>
    <w:rsid w:val="00AE2013"/>
    <w:rsid w:val="00AE2124"/>
    <w:rsid w:val="00AE4701"/>
    <w:rsid w:val="00AE492C"/>
    <w:rsid w:val="00AE5E1D"/>
    <w:rsid w:val="00AE66FC"/>
    <w:rsid w:val="00AF25D0"/>
    <w:rsid w:val="00AF30DB"/>
    <w:rsid w:val="00AF3F26"/>
    <w:rsid w:val="00AF5E9B"/>
    <w:rsid w:val="00AF698D"/>
    <w:rsid w:val="00B01380"/>
    <w:rsid w:val="00B02E0F"/>
    <w:rsid w:val="00B063F7"/>
    <w:rsid w:val="00B068EF"/>
    <w:rsid w:val="00B11165"/>
    <w:rsid w:val="00B12B22"/>
    <w:rsid w:val="00B131B8"/>
    <w:rsid w:val="00B15203"/>
    <w:rsid w:val="00B15E7D"/>
    <w:rsid w:val="00B1725E"/>
    <w:rsid w:val="00B20AC4"/>
    <w:rsid w:val="00B23043"/>
    <w:rsid w:val="00B231FC"/>
    <w:rsid w:val="00B23376"/>
    <w:rsid w:val="00B23608"/>
    <w:rsid w:val="00B2379D"/>
    <w:rsid w:val="00B23B54"/>
    <w:rsid w:val="00B3186B"/>
    <w:rsid w:val="00B325C4"/>
    <w:rsid w:val="00B340F5"/>
    <w:rsid w:val="00B37E0F"/>
    <w:rsid w:val="00B37EC8"/>
    <w:rsid w:val="00B40C9E"/>
    <w:rsid w:val="00B428C0"/>
    <w:rsid w:val="00B43E7C"/>
    <w:rsid w:val="00B4417F"/>
    <w:rsid w:val="00B442A5"/>
    <w:rsid w:val="00B46ED3"/>
    <w:rsid w:val="00B475B5"/>
    <w:rsid w:val="00B50A0B"/>
    <w:rsid w:val="00B50C2F"/>
    <w:rsid w:val="00B522E8"/>
    <w:rsid w:val="00B53D43"/>
    <w:rsid w:val="00B54BDA"/>
    <w:rsid w:val="00B55EDF"/>
    <w:rsid w:val="00B5639E"/>
    <w:rsid w:val="00B57445"/>
    <w:rsid w:val="00B575F4"/>
    <w:rsid w:val="00B61CD2"/>
    <w:rsid w:val="00B634EA"/>
    <w:rsid w:val="00B641EE"/>
    <w:rsid w:val="00B64E2B"/>
    <w:rsid w:val="00B661FF"/>
    <w:rsid w:val="00B71FA4"/>
    <w:rsid w:val="00B7302D"/>
    <w:rsid w:val="00B765B4"/>
    <w:rsid w:val="00B76B90"/>
    <w:rsid w:val="00B76B98"/>
    <w:rsid w:val="00B82103"/>
    <w:rsid w:val="00B835C6"/>
    <w:rsid w:val="00B838DC"/>
    <w:rsid w:val="00B84214"/>
    <w:rsid w:val="00B844FF"/>
    <w:rsid w:val="00B846FF"/>
    <w:rsid w:val="00B86C43"/>
    <w:rsid w:val="00B86C50"/>
    <w:rsid w:val="00B871F7"/>
    <w:rsid w:val="00B87356"/>
    <w:rsid w:val="00B87CE0"/>
    <w:rsid w:val="00B87DC6"/>
    <w:rsid w:val="00B90441"/>
    <w:rsid w:val="00B911F0"/>
    <w:rsid w:val="00B911FA"/>
    <w:rsid w:val="00B91EF4"/>
    <w:rsid w:val="00B9300C"/>
    <w:rsid w:val="00B93489"/>
    <w:rsid w:val="00B95DA5"/>
    <w:rsid w:val="00B95F01"/>
    <w:rsid w:val="00B96EE7"/>
    <w:rsid w:val="00B97E24"/>
    <w:rsid w:val="00BA48BE"/>
    <w:rsid w:val="00BA518A"/>
    <w:rsid w:val="00BA54F3"/>
    <w:rsid w:val="00BA68E7"/>
    <w:rsid w:val="00BA6CEB"/>
    <w:rsid w:val="00BA7426"/>
    <w:rsid w:val="00BA792B"/>
    <w:rsid w:val="00BB021B"/>
    <w:rsid w:val="00BB3B1D"/>
    <w:rsid w:val="00BB6F61"/>
    <w:rsid w:val="00BC092A"/>
    <w:rsid w:val="00BC0D23"/>
    <w:rsid w:val="00BC117E"/>
    <w:rsid w:val="00BC4260"/>
    <w:rsid w:val="00BC648C"/>
    <w:rsid w:val="00BD01FD"/>
    <w:rsid w:val="00BD08CE"/>
    <w:rsid w:val="00BD1439"/>
    <w:rsid w:val="00BD260B"/>
    <w:rsid w:val="00BD2E9C"/>
    <w:rsid w:val="00BD3BE7"/>
    <w:rsid w:val="00BD50F8"/>
    <w:rsid w:val="00BD63E2"/>
    <w:rsid w:val="00BD6A3C"/>
    <w:rsid w:val="00BD7A33"/>
    <w:rsid w:val="00BE2FD5"/>
    <w:rsid w:val="00BE37A0"/>
    <w:rsid w:val="00BE4203"/>
    <w:rsid w:val="00BE4752"/>
    <w:rsid w:val="00BE571F"/>
    <w:rsid w:val="00BE5910"/>
    <w:rsid w:val="00BE72E5"/>
    <w:rsid w:val="00BF036F"/>
    <w:rsid w:val="00BF0785"/>
    <w:rsid w:val="00BF1CF2"/>
    <w:rsid w:val="00BF2601"/>
    <w:rsid w:val="00BF3B11"/>
    <w:rsid w:val="00BF6377"/>
    <w:rsid w:val="00BF69B5"/>
    <w:rsid w:val="00C00151"/>
    <w:rsid w:val="00C00C87"/>
    <w:rsid w:val="00C0134A"/>
    <w:rsid w:val="00C029A7"/>
    <w:rsid w:val="00C02BCE"/>
    <w:rsid w:val="00C041A0"/>
    <w:rsid w:val="00C043D3"/>
    <w:rsid w:val="00C05A39"/>
    <w:rsid w:val="00C105BD"/>
    <w:rsid w:val="00C1215E"/>
    <w:rsid w:val="00C12401"/>
    <w:rsid w:val="00C17280"/>
    <w:rsid w:val="00C176D4"/>
    <w:rsid w:val="00C243F3"/>
    <w:rsid w:val="00C24A0A"/>
    <w:rsid w:val="00C24A63"/>
    <w:rsid w:val="00C3055D"/>
    <w:rsid w:val="00C3058E"/>
    <w:rsid w:val="00C30973"/>
    <w:rsid w:val="00C30FB1"/>
    <w:rsid w:val="00C32D4D"/>
    <w:rsid w:val="00C33EDD"/>
    <w:rsid w:val="00C42A39"/>
    <w:rsid w:val="00C441FF"/>
    <w:rsid w:val="00C44C02"/>
    <w:rsid w:val="00C47477"/>
    <w:rsid w:val="00C501C6"/>
    <w:rsid w:val="00C55A85"/>
    <w:rsid w:val="00C569CF"/>
    <w:rsid w:val="00C5717F"/>
    <w:rsid w:val="00C6096F"/>
    <w:rsid w:val="00C60C9D"/>
    <w:rsid w:val="00C62AFF"/>
    <w:rsid w:val="00C63778"/>
    <w:rsid w:val="00C65020"/>
    <w:rsid w:val="00C65B98"/>
    <w:rsid w:val="00C678C2"/>
    <w:rsid w:val="00C67E27"/>
    <w:rsid w:val="00C7234B"/>
    <w:rsid w:val="00C7364D"/>
    <w:rsid w:val="00C770C9"/>
    <w:rsid w:val="00C771CD"/>
    <w:rsid w:val="00C77B05"/>
    <w:rsid w:val="00C81014"/>
    <w:rsid w:val="00C83826"/>
    <w:rsid w:val="00C83C64"/>
    <w:rsid w:val="00C84D45"/>
    <w:rsid w:val="00C855BC"/>
    <w:rsid w:val="00C919E9"/>
    <w:rsid w:val="00C93B2C"/>
    <w:rsid w:val="00C9421F"/>
    <w:rsid w:val="00C94AB9"/>
    <w:rsid w:val="00C956E1"/>
    <w:rsid w:val="00C97507"/>
    <w:rsid w:val="00CA1809"/>
    <w:rsid w:val="00CA3B74"/>
    <w:rsid w:val="00CA438B"/>
    <w:rsid w:val="00CB0117"/>
    <w:rsid w:val="00CB07AB"/>
    <w:rsid w:val="00CB1779"/>
    <w:rsid w:val="00CB273F"/>
    <w:rsid w:val="00CB27DB"/>
    <w:rsid w:val="00CB2B6A"/>
    <w:rsid w:val="00CB4360"/>
    <w:rsid w:val="00CB5DA3"/>
    <w:rsid w:val="00CB732D"/>
    <w:rsid w:val="00CB7D03"/>
    <w:rsid w:val="00CC02FE"/>
    <w:rsid w:val="00CC039F"/>
    <w:rsid w:val="00CC1A00"/>
    <w:rsid w:val="00CC31F5"/>
    <w:rsid w:val="00CC37BB"/>
    <w:rsid w:val="00CC3CE2"/>
    <w:rsid w:val="00CC44F4"/>
    <w:rsid w:val="00CC525C"/>
    <w:rsid w:val="00CC635E"/>
    <w:rsid w:val="00CC67BC"/>
    <w:rsid w:val="00CC6B0E"/>
    <w:rsid w:val="00CD05AB"/>
    <w:rsid w:val="00CD0AEA"/>
    <w:rsid w:val="00CD0C3B"/>
    <w:rsid w:val="00CD38CE"/>
    <w:rsid w:val="00CD3F78"/>
    <w:rsid w:val="00CD4B18"/>
    <w:rsid w:val="00CD4DF7"/>
    <w:rsid w:val="00CD60F5"/>
    <w:rsid w:val="00CD61DA"/>
    <w:rsid w:val="00CD659D"/>
    <w:rsid w:val="00CE13CA"/>
    <w:rsid w:val="00CE2562"/>
    <w:rsid w:val="00CE2CB9"/>
    <w:rsid w:val="00CE31B8"/>
    <w:rsid w:val="00CE392C"/>
    <w:rsid w:val="00CE766A"/>
    <w:rsid w:val="00CF08C7"/>
    <w:rsid w:val="00CF0B8C"/>
    <w:rsid w:val="00CF0D79"/>
    <w:rsid w:val="00CF149E"/>
    <w:rsid w:val="00CF2264"/>
    <w:rsid w:val="00CF266E"/>
    <w:rsid w:val="00CF7CE9"/>
    <w:rsid w:val="00D0165D"/>
    <w:rsid w:val="00D0324F"/>
    <w:rsid w:val="00D03A7B"/>
    <w:rsid w:val="00D03B41"/>
    <w:rsid w:val="00D03C79"/>
    <w:rsid w:val="00D03F1A"/>
    <w:rsid w:val="00D1397A"/>
    <w:rsid w:val="00D17A07"/>
    <w:rsid w:val="00D207F1"/>
    <w:rsid w:val="00D21974"/>
    <w:rsid w:val="00D22A88"/>
    <w:rsid w:val="00D31580"/>
    <w:rsid w:val="00D321E2"/>
    <w:rsid w:val="00D326B5"/>
    <w:rsid w:val="00D36960"/>
    <w:rsid w:val="00D426BE"/>
    <w:rsid w:val="00D42A85"/>
    <w:rsid w:val="00D4307C"/>
    <w:rsid w:val="00D458B4"/>
    <w:rsid w:val="00D45D75"/>
    <w:rsid w:val="00D46374"/>
    <w:rsid w:val="00D4722B"/>
    <w:rsid w:val="00D47C36"/>
    <w:rsid w:val="00D53D40"/>
    <w:rsid w:val="00D540AE"/>
    <w:rsid w:val="00D548C5"/>
    <w:rsid w:val="00D54CFE"/>
    <w:rsid w:val="00D55CB5"/>
    <w:rsid w:val="00D55FC3"/>
    <w:rsid w:val="00D567F3"/>
    <w:rsid w:val="00D56895"/>
    <w:rsid w:val="00D6096A"/>
    <w:rsid w:val="00D60B94"/>
    <w:rsid w:val="00D636F9"/>
    <w:rsid w:val="00D641E1"/>
    <w:rsid w:val="00D655B4"/>
    <w:rsid w:val="00D656F4"/>
    <w:rsid w:val="00D67103"/>
    <w:rsid w:val="00D6771B"/>
    <w:rsid w:val="00D71A15"/>
    <w:rsid w:val="00D7521C"/>
    <w:rsid w:val="00D75A95"/>
    <w:rsid w:val="00D76DA0"/>
    <w:rsid w:val="00D7768C"/>
    <w:rsid w:val="00D8278C"/>
    <w:rsid w:val="00D82ACC"/>
    <w:rsid w:val="00D8407C"/>
    <w:rsid w:val="00D84467"/>
    <w:rsid w:val="00D874A9"/>
    <w:rsid w:val="00D87FFB"/>
    <w:rsid w:val="00D92E39"/>
    <w:rsid w:val="00D942B9"/>
    <w:rsid w:val="00D9521A"/>
    <w:rsid w:val="00D95FD2"/>
    <w:rsid w:val="00D96D49"/>
    <w:rsid w:val="00DA23A8"/>
    <w:rsid w:val="00DA3F69"/>
    <w:rsid w:val="00DB2C98"/>
    <w:rsid w:val="00DB3C91"/>
    <w:rsid w:val="00DC241A"/>
    <w:rsid w:val="00DC247E"/>
    <w:rsid w:val="00DC3541"/>
    <w:rsid w:val="00DC4277"/>
    <w:rsid w:val="00DC5A3F"/>
    <w:rsid w:val="00DD07C9"/>
    <w:rsid w:val="00DD0FDE"/>
    <w:rsid w:val="00DD228C"/>
    <w:rsid w:val="00DD2AFA"/>
    <w:rsid w:val="00DD329C"/>
    <w:rsid w:val="00DD4682"/>
    <w:rsid w:val="00DD7208"/>
    <w:rsid w:val="00DD75FA"/>
    <w:rsid w:val="00DD7932"/>
    <w:rsid w:val="00DE000A"/>
    <w:rsid w:val="00DE0278"/>
    <w:rsid w:val="00DE2176"/>
    <w:rsid w:val="00DE2CE0"/>
    <w:rsid w:val="00DE58AD"/>
    <w:rsid w:val="00DE58CD"/>
    <w:rsid w:val="00DF0626"/>
    <w:rsid w:val="00DF101B"/>
    <w:rsid w:val="00DF1A04"/>
    <w:rsid w:val="00DF1B25"/>
    <w:rsid w:val="00DF1C9A"/>
    <w:rsid w:val="00DF39C8"/>
    <w:rsid w:val="00DF3E8F"/>
    <w:rsid w:val="00DF44AF"/>
    <w:rsid w:val="00DF48B3"/>
    <w:rsid w:val="00DF7A39"/>
    <w:rsid w:val="00E000B2"/>
    <w:rsid w:val="00E02B03"/>
    <w:rsid w:val="00E04360"/>
    <w:rsid w:val="00E050F7"/>
    <w:rsid w:val="00E1024F"/>
    <w:rsid w:val="00E11ED4"/>
    <w:rsid w:val="00E1275B"/>
    <w:rsid w:val="00E12AB2"/>
    <w:rsid w:val="00E12F92"/>
    <w:rsid w:val="00E13068"/>
    <w:rsid w:val="00E203F5"/>
    <w:rsid w:val="00E20CE7"/>
    <w:rsid w:val="00E2347C"/>
    <w:rsid w:val="00E2432A"/>
    <w:rsid w:val="00E2539F"/>
    <w:rsid w:val="00E2688D"/>
    <w:rsid w:val="00E31F46"/>
    <w:rsid w:val="00E32C21"/>
    <w:rsid w:val="00E338B2"/>
    <w:rsid w:val="00E33E7B"/>
    <w:rsid w:val="00E34129"/>
    <w:rsid w:val="00E35A4C"/>
    <w:rsid w:val="00E368EB"/>
    <w:rsid w:val="00E36D77"/>
    <w:rsid w:val="00E41EC0"/>
    <w:rsid w:val="00E41F1E"/>
    <w:rsid w:val="00E426CF"/>
    <w:rsid w:val="00E42DC7"/>
    <w:rsid w:val="00E44530"/>
    <w:rsid w:val="00E45B64"/>
    <w:rsid w:val="00E4663D"/>
    <w:rsid w:val="00E46818"/>
    <w:rsid w:val="00E473B7"/>
    <w:rsid w:val="00E50182"/>
    <w:rsid w:val="00E50480"/>
    <w:rsid w:val="00E52971"/>
    <w:rsid w:val="00E55D96"/>
    <w:rsid w:val="00E5654B"/>
    <w:rsid w:val="00E62282"/>
    <w:rsid w:val="00E6395E"/>
    <w:rsid w:val="00E64846"/>
    <w:rsid w:val="00E64C1B"/>
    <w:rsid w:val="00E6715A"/>
    <w:rsid w:val="00E67BA3"/>
    <w:rsid w:val="00E71DDC"/>
    <w:rsid w:val="00E7281E"/>
    <w:rsid w:val="00E72CB0"/>
    <w:rsid w:val="00E72F67"/>
    <w:rsid w:val="00E73322"/>
    <w:rsid w:val="00E740F7"/>
    <w:rsid w:val="00E74FFF"/>
    <w:rsid w:val="00E76D4D"/>
    <w:rsid w:val="00E87089"/>
    <w:rsid w:val="00E87157"/>
    <w:rsid w:val="00E87DE5"/>
    <w:rsid w:val="00E91D0E"/>
    <w:rsid w:val="00E95BF6"/>
    <w:rsid w:val="00EA2EC2"/>
    <w:rsid w:val="00EA45E1"/>
    <w:rsid w:val="00EA4EEA"/>
    <w:rsid w:val="00EB0028"/>
    <w:rsid w:val="00EB119E"/>
    <w:rsid w:val="00EB2991"/>
    <w:rsid w:val="00EB2AED"/>
    <w:rsid w:val="00EB3D33"/>
    <w:rsid w:val="00EC0763"/>
    <w:rsid w:val="00EC0F6C"/>
    <w:rsid w:val="00EC6FB8"/>
    <w:rsid w:val="00EC773E"/>
    <w:rsid w:val="00ED0E78"/>
    <w:rsid w:val="00ED18DE"/>
    <w:rsid w:val="00ED19AB"/>
    <w:rsid w:val="00ED211F"/>
    <w:rsid w:val="00ED264A"/>
    <w:rsid w:val="00ED4196"/>
    <w:rsid w:val="00ED435E"/>
    <w:rsid w:val="00ED6227"/>
    <w:rsid w:val="00EE100A"/>
    <w:rsid w:val="00EE5004"/>
    <w:rsid w:val="00EE5BC0"/>
    <w:rsid w:val="00EE72C9"/>
    <w:rsid w:val="00EE751D"/>
    <w:rsid w:val="00EF0BF2"/>
    <w:rsid w:val="00EF19E9"/>
    <w:rsid w:val="00EF3557"/>
    <w:rsid w:val="00EF36C9"/>
    <w:rsid w:val="00EF44EC"/>
    <w:rsid w:val="00EF4572"/>
    <w:rsid w:val="00EF79F8"/>
    <w:rsid w:val="00F00398"/>
    <w:rsid w:val="00F005B1"/>
    <w:rsid w:val="00F04215"/>
    <w:rsid w:val="00F10821"/>
    <w:rsid w:val="00F12B3D"/>
    <w:rsid w:val="00F139E4"/>
    <w:rsid w:val="00F1462B"/>
    <w:rsid w:val="00F1557D"/>
    <w:rsid w:val="00F15D79"/>
    <w:rsid w:val="00F15E75"/>
    <w:rsid w:val="00F16DD0"/>
    <w:rsid w:val="00F17533"/>
    <w:rsid w:val="00F20AE0"/>
    <w:rsid w:val="00F252B8"/>
    <w:rsid w:val="00F27871"/>
    <w:rsid w:val="00F3207B"/>
    <w:rsid w:val="00F32DB5"/>
    <w:rsid w:val="00F33CAA"/>
    <w:rsid w:val="00F3452A"/>
    <w:rsid w:val="00F353B1"/>
    <w:rsid w:val="00F35648"/>
    <w:rsid w:val="00F36F13"/>
    <w:rsid w:val="00F41F04"/>
    <w:rsid w:val="00F4213C"/>
    <w:rsid w:val="00F4218B"/>
    <w:rsid w:val="00F42969"/>
    <w:rsid w:val="00F4350B"/>
    <w:rsid w:val="00F45618"/>
    <w:rsid w:val="00F46227"/>
    <w:rsid w:val="00F4647F"/>
    <w:rsid w:val="00F50E59"/>
    <w:rsid w:val="00F523A0"/>
    <w:rsid w:val="00F527F2"/>
    <w:rsid w:val="00F5523D"/>
    <w:rsid w:val="00F55EA3"/>
    <w:rsid w:val="00F56765"/>
    <w:rsid w:val="00F56CB5"/>
    <w:rsid w:val="00F572B5"/>
    <w:rsid w:val="00F603E0"/>
    <w:rsid w:val="00F623E2"/>
    <w:rsid w:val="00F632AC"/>
    <w:rsid w:val="00F63B58"/>
    <w:rsid w:val="00F641BB"/>
    <w:rsid w:val="00F652F1"/>
    <w:rsid w:val="00F66016"/>
    <w:rsid w:val="00F66308"/>
    <w:rsid w:val="00F66578"/>
    <w:rsid w:val="00F66581"/>
    <w:rsid w:val="00F679EC"/>
    <w:rsid w:val="00F70EDE"/>
    <w:rsid w:val="00F724CA"/>
    <w:rsid w:val="00F736F2"/>
    <w:rsid w:val="00F73C50"/>
    <w:rsid w:val="00F74A33"/>
    <w:rsid w:val="00F752BA"/>
    <w:rsid w:val="00F80665"/>
    <w:rsid w:val="00F81278"/>
    <w:rsid w:val="00F83064"/>
    <w:rsid w:val="00F830ED"/>
    <w:rsid w:val="00F8431D"/>
    <w:rsid w:val="00F844CC"/>
    <w:rsid w:val="00F850C8"/>
    <w:rsid w:val="00F85252"/>
    <w:rsid w:val="00F91B0F"/>
    <w:rsid w:val="00F91BF7"/>
    <w:rsid w:val="00F94E22"/>
    <w:rsid w:val="00F97359"/>
    <w:rsid w:val="00FA64F3"/>
    <w:rsid w:val="00FA6519"/>
    <w:rsid w:val="00FB4833"/>
    <w:rsid w:val="00FB71CB"/>
    <w:rsid w:val="00FB729A"/>
    <w:rsid w:val="00FC03E1"/>
    <w:rsid w:val="00FC096B"/>
    <w:rsid w:val="00FC1904"/>
    <w:rsid w:val="00FC2677"/>
    <w:rsid w:val="00FC3922"/>
    <w:rsid w:val="00FC51A0"/>
    <w:rsid w:val="00FC6E95"/>
    <w:rsid w:val="00FC7CB1"/>
    <w:rsid w:val="00FD1B35"/>
    <w:rsid w:val="00FD3598"/>
    <w:rsid w:val="00FD3908"/>
    <w:rsid w:val="00FD5547"/>
    <w:rsid w:val="00FD5905"/>
    <w:rsid w:val="00FD62B0"/>
    <w:rsid w:val="00FD635A"/>
    <w:rsid w:val="00FD7CFE"/>
    <w:rsid w:val="00FE1886"/>
    <w:rsid w:val="00FE1FCC"/>
    <w:rsid w:val="00FE33AF"/>
    <w:rsid w:val="00FE6BE6"/>
    <w:rsid w:val="00FE6E66"/>
    <w:rsid w:val="00FE7184"/>
    <w:rsid w:val="00FE7464"/>
    <w:rsid w:val="00FE7C64"/>
    <w:rsid w:val="00FF1451"/>
    <w:rsid w:val="00FF1A4F"/>
    <w:rsid w:val="00FF2C3A"/>
    <w:rsid w:val="00FF361D"/>
    <w:rsid w:val="00FF3AA8"/>
    <w:rsid w:val="00FF3AF5"/>
    <w:rsid w:val="00FF50AF"/>
    <w:rsid w:val="00FF651A"/>
    <w:rsid w:val="00FF6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strokecolor="none [3205]" shadow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uiPriority="35" w:qFormat="1"/>
    <w:lsdException w:name="table of figures" w:uiPriority="99"/>
    <w:lsdException w:name="Hyperlink" w:uiPriority="99"/>
    <w:lsdException w:name="Normal (Web)" w:uiPriority="99"/>
    <w:lsdException w:name="Balloon Text"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20A"/>
    <w:pPr>
      <w:widowControl w:val="0"/>
      <w:suppressAutoHyphens/>
      <w:spacing w:line="360" w:lineRule="auto"/>
      <w:ind w:firstLine="567"/>
      <w:jc w:val="both"/>
    </w:pPr>
    <w:rPr>
      <w:rFonts w:eastAsia="Arial Unicode MS"/>
      <w:kern w:val="1"/>
      <w:lang w:val="lt-LT"/>
    </w:rPr>
  </w:style>
  <w:style w:type="paragraph" w:styleId="Heading1">
    <w:name w:val="heading 1"/>
    <w:basedOn w:val="Heading"/>
    <w:next w:val="Normal"/>
    <w:link w:val="Heading1Char"/>
    <w:autoRedefine/>
    <w:uiPriority w:val="9"/>
    <w:qFormat/>
    <w:rsid w:val="003C4E50"/>
    <w:pPr>
      <w:numPr>
        <w:numId w:val="1"/>
      </w:numPr>
      <w:jc w:val="center"/>
      <w:outlineLvl w:val="0"/>
    </w:pPr>
    <w:rPr>
      <w:rFonts w:ascii="Times New Roman" w:hAnsi="Times New Roman"/>
      <w:b/>
      <w:bCs/>
      <w:caps/>
      <w:kern w:val="32"/>
      <w:sz w:val="32"/>
      <w:szCs w:val="32"/>
    </w:rPr>
  </w:style>
  <w:style w:type="paragraph" w:styleId="Heading2">
    <w:name w:val="heading 2"/>
    <w:basedOn w:val="Normal"/>
    <w:next w:val="Heading1"/>
    <w:link w:val="Heading2Char"/>
    <w:autoRedefine/>
    <w:uiPriority w:val="9"/>
    <w:qFormat/>
    <w:rsid w:val="004841C3"/>
    <w:pPr>
      <w:keepNext/>
      <w:numPr>
        <w:ilvl w:val="1"/>
        <w:numId w:val="1"/>
      </w:numPr>
      <w:spacing w:before="240" w:after="60"/>
      <w:jc w:val="center"/>
      <w:outlineLvl w:val="1"/>
    </w:pPr>
    <w:rPr>
      <w:rFonts w:ascii="Arial" w:hAnsi="Arial" w:cs="Arial"/>
      <w:b/>
      <w:bCs/>
      <w:iCs/>
      <w:sz w:val="28"/>
      <w:szCs w:val="28"/>
    </w:rPr>
  </w:style>
  <w:style w:type="paragraph" w:styleId="Heading3">
    <w:name w:val="heading 3"/>
    <w:basedOn w:val="Normal"/>
    <w:next w:val="Normal"/>
    <w:link w:val="Heading3Char"/>
    <w:autoRedefine/>
    <w:qFormat/>
    <w:rsid w:val="003C4E50"/>
    <w:pPr>
      <w:keepNext/>
      <w:numPr>
        <w:ilvl w:val="2"/>
        <w:numId w:val="1"/>
      </w:numPr>
      <w:spacing w:before="240" w:after="60"/>
      <w:jc w:val="center"/>
      <w:outlineLvl w:val="2"/>
    </w:pPr>
    <w:rPr>
      <w:rFonts w:cs="Arial"/>
      <w:b/>
      <w:bCs/>
      <w:szCs w:val="26"/>
    </w:rPr>
  </w:style>
  <w:style w:type="paragraph" w:styleId="Heading4">
    <w:name w:val="heading 4"/>
    <w:basedOn w:val="Normal"/>
    <w:next w:val="Normal"/>
    <w:link w:val="Heading4Char"/>
    <w:qFormat/>
    <w:rsid w:val="00361F30"/>
    <w:pPr>
      <w:keepNext/>
      <w:numPr>
        <w:ilvl w:val="3"/>
        <w:numId w:val="1"/>
      </w:numPr>
      <w:spacing w:before="240" w:after="60"/>
      <w:outlineLvl w:val="3"/>
    </w:pPr>
    <w:rPr>
      <w:rFonts w:eastAsia="Times New Roman"/>
      <w:b/>
      <w:bCs/>
      <w:szCs w:val="28"/>
    </w:rPr>
  </w:style>
  <w:style w:type="paragraph" w:styleId="Heading5">
    <w:name w:val="heading 5"/>
    <w:basedOn w:val="Normal"/>
    <w:next w:val="Normal"/>
    <w:link w:val="Heading5Char"/>
    <w:qFormat/>
    <w:rsid w:val="004038E1"/>
    <w:pPr>
      <w:numPr>
        <w:ilvl w:val="4"/>
        <w:numId w:val="1"/>
      </w:num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qFormat/>
    <w:rsid w:val="004038E1"/>
    <w:pPr>
      <w:numPr>
        <w:ilvl w:val="5"/>
        <w:numId w:val="1"/>
      </w:numPr>
      <w:spacing w:before="240" w:after="60"/>
      <w:outlineLvl w:val="5"/>
    </w:pPr>
    <w:rPr>
      <w:rFonts w:ascii="Cambria" w:eastAsia="Times New Roman" w:hAnsi="Cambria"/>
      <w:b/>
      <w:bCs/>
      <w:sz w:val="22"/>
      <w:szCs w:val="22"/>
    </w:rPr>
  </w:style>
  <w:style w:type="paragraph" w:styleId="Heading7">
    <w:name w:val="heading 7"/>
    <w:basedOn w:val="Normal"/>
    <w:next w:val="Normal"/>
    <w:link w:val="Heading7Char"/>
    <w:qFormat/>
    <w:rsid w:val="004038E1"/>
    <w:pPr>
      <w:numPr>
        <w:ilvl w:val="6"/>
        <w:numId w:val="1"/>
      </w:numPr>
      <w:spacing w:before="240" w:after="60"/>
      <w:outlineLvl w:val="6"/>
    </w:pPr>
    <w:rPr>
      <w:rFonts w:ascii="Cambria" w:eastAsia="Times New Roman" w:hAnsi="Cambria"/>
    </w:rPr>
  </w:style>
  <w:style w:type="paragraph" w:styleId="Heading8">
    <w:name w:val="heading 8"/>
    <w:basedOn w:val="Normal"/>
    <w:next w:val="Normal"/>
    <w:link w:val="Heading8Char"/>
    <w:qFormat/>
    <w:rsid w:val="004038E1"/>
    <w:pPr>
      <w:numPr>
        <w:ilvl w:val="7"/>
        <w:numId w:val="1"/>
      </w:numPr>
      <w:spacing w:before="240" w:after="60"/>
      <w:outlineLvl w:val="7"/>
    </w:pPr>
    <w:rPr>
      <w:rFonts w:ascii="Cambria" w:eastAsia="Times New Roman" w:hAnsi="Cambria"/>
      <w:i/>
      <w:iCs/>
    </w:rPr>
  </w:style>
  <w:style w:type="paragraph" w:styleId="Heading9">
    <w:name w:val="heading 9"/>
    <w:basedOn w:val="Normal"/>
    <w:next w:val="Normal"/>
    <w:link w:val="Heading9Char"/>
    <w:qFormat/>
    <w:rsid w:val="004038E1"/>
    <w:pPr>
      <w:numPr>
        <w:ilvl w:val="8"/>
        <w:numId w:val="1"/>
      </w:numPr>
      <w:spacing w:before="240" w:after="60"/>
      <w:outlineLvl w:val="8"/>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88216A"/>
    <w:rPr>
      <w:rFonts w:cs="Times New Roman"/>
    </w:rPr>
  </w:style>
  <w:style w:type="character" w:customStyle="1" w:styleId="Heading1Char">
    <w:name w:val="Heading 1 Char"/>
    <w:basedOn w:val="DefaultParagraphFont"/>
    <w:link w:val="Heading1"/>
    <w:uiPriority w:val="9"/>
    <w:rsid w:val="003C4E50"/>
    <w:rPr>
      <w:rFonts w:eastAsia="MS Mincho" w:cs="Tahoma"/>
      <w:b/>
      <w:bCs/>
      <w:caps/>
      <w:kern w:val="32"/>
      <w:sz w:val="32"/>
      <w:szCs w:val="32"/>
      <w:lang w:val="lt-LT"/>
    </w:rPr>
  </w:style>
  <w:style w:type="character" w:customStyle="1" w:styleId="WW-Absatz-Standardschriftart">
    <w:name w:val="WW-Absatz-Standardschriftart"/>
    <w:rsid w:val="0088216A"/>
  </w:style>
  <w:style w:type="character" w:customStyle="1" w:styleId="WW-Absatz-Standardschriftart1">
    <w:name w:val="WW-Absatz-Standardschriftart1"/>
    <w:rsid w:val="0088216A"/>
  </w:style>
  <w:style w:type="character" w:customStyle="1" w:styleId="DefaultParagraphFont2">
    <w:name w:val="Default Paragraph Font2"/>
    <w:rsid w:val="0088216A"/>
  </w:style>
  <w:style w:type="character" w:customStyle="1" w:styleId="WW8Num4z0">
    <w:name w:val="WW8Num4z0"/>
    <w:rsid w:val="0088216A"/>
    <w:rPr>
      <w:rFonts w:cs="Times New Roman"/>
    </w:rPr>
  </w:style>
  <w:style w:type="character" w:customStyle="1" w:styleId="WW-Absatz-Standardschriftart11">
    <w:name w:val="WW-Absatz-Standardschriftart11"/>
    <w:rsid w:val="0088216A"/>
  </w:style>
  <w:style w:type="character" w:customStyle="1" w:styleId="NumberingSymbols">
    <w:name w:val="Numbering Symbols"/>
    <w:rsid w:val="0088216A"/>
  </w:style>
  <w:style w:type="character" w:customStyle="1" w:styleId="Bullets">
    <w:name w:val="Bullets"/>
    <w:rsid w:val="0088216A"/>
    <w:rPr>
      <w:rFonts w:ascii="StarSymbol" w:eastAsia="StarSymbol" w:hAnsi="StarSymbol" w:cs="StarSymbol"/>
      <w:sz w:val="18"/>
      <w:szCs w:val="18"/>
    </w:rPr>
  </w:style>
  <w:style w:type="character" w:customStyle="1" w:styleId="RTFNum21">
    <w:name w:val="RTF_Num 2 1"/>
    <w:rsid w:val="0088216A"/>
    <w:rPr>
      <w:rFonts w:cs="Times New Roman"/>
    </w:rPr>
  </w:style>
  <w:style w:type="character" w:customStyle="1" w:styleId="RTFNum22">
    <w:name w:val="RTF_Num 2 2"/>
    <w:rsid w:val="0088216A"/>
    <w:rPr>
      <w:rFonts w:cs="Times New Roman"/>
    </w:rPr>
  </w:style>
  <w:style w:type="character" w:customStyle="1" w:styleId="RTFNum23">
    <w:name w:val="RTF_Num 2 3"/>
    <w:rsid w:val="0088216A"/>
    <w:rPr>
      <w:rFonts w:cs="Times New Roman"/>
    </w:rPr>
  </w:style>
  <w:style w:type="character" w:customStyle="1" w:styleId="RTFNum24">
    <w:name w:val="RTF_Num 2 4"/>
    <w:rsid w:val="0088216A"/>
    <w:rPr>
      <w:rFonts w:cs="Times New Roman"/>
    </w:rPr>
  </w:style>
  <w:style w:type="character" w:customStyle="1" w:styleId="RTFNum25">
    <w:name w:val="RTF_Num 2 5"/>
    <w:rsid w:val="0088216A"/>
    <w:rPr>
      <w:rFonts w:cs="Times New Roman"/>
    </w:rPr>
  </w:style>
  <w:style w:type="character" w:customStyle="1" w:styleId="RTFNum26">
    <w:name w:val="RTF_Num 2 6"/>
    <w:rsid w:val="0088216A"/>
    <w:rPr>
      <w:rFonts w:cs="Times New Roman"/>
    </w:rPr>
  </w:style>
  <w:style w:type="character" w:customStyle="1" w:styleId="RTFNum27">
    <w:name w:val="RTF_Num 2 7"/>
    <w:rsid w:val="0088216A"/>
    <w:rPr>
      <w:rFonts w:cs="Times New Roman"/>
    </w:rPr>
  </w:style>
  <w:style w:type="character" w:customStyle="1" w:styleId="RTFNum28">
    <w:name w:val="RTF_Num 2 8"/>
    <w:rsid w:val="0088216A"/>
    <w:rPr>
      <w:rFonts w:cs="Times New Roman"/>
    </w:rPr>
  </w:style>
  <w:style w:type="character" w:customStyle="1" w:styleId="RTFNum29">
    <w:name w:val="RTF_Num 2 9"/>
    <w:rsid w:val="0088216A"/>
    <w:rPr>
      <w:rFonts w:cs="Times New Roman"/>
    </w:rPr>
  </w:style>
  <w:style w:type="character" w:customStyle="1" w:styleId="WW-DefaultParagraphFont">
    <w:name w:val="WW-Default Paragraph Font"/>
    <w:rsid w:val="0088216A"/>
  </w:style>
  <w:style w:type="character" w:styleId="Hyperlink">
    <w:name w:val="Hyperlink"/>
    <w:uiPriority w:val="99"/>
    <w:rsid w:val="0088216A"/>
    <w:rPr>
      <w:color w:val="000080"/>
      <w:u w:val="single"/>
    </w:rPr>
  </w:style>
  <w:style w:type="paragraph" w:customStyle="1" w:styleId="Heading">
    <w:name w:val="Heading"/>
    <w:basedOn w:val="Normal"/>
    <w:next w:val="BodyText"/>
    <w:rsid w:val="0088216A"/>
    <w:pPr>
      <w:keepNext/>
      <w:spacing w:before="240" w:after="120"/>
    </w:pPr>
    <w:rPr>
      <w:rFonts w:ascii="Arial" w:eastAsia="MS Mincho" w:hAnsi="Arial" w:cs="Tahoma"/>
      <w:sz w:val="28"/>
      <w:szCs w:val="28"/>
    </w:rPr>
  </w:style>
  <w:style w:type="paragraph" w:styleId="BodyText">
    <w:name w:val="Body Text"/>
    <w:basedOn w:val="Normal"/>
    <w:link w:val="BodyTextChar"/>
    <w:rsid w:val="0088216A"/>
    <w:pPr>
      <w:ind w:firstLine="562"/>
    </w:pPr>
  </w:style>
  <w:style w:type="paragraph" w:styleId="List">
    <w:name w:val="List"/>
    <w:basedOn w:val="BodyText"/>
    <w:rsid w:val="0088216A"/>
    <w:rPr>
      <w:rFonts w:cs="Tahoma"/>
    </w:rPr>
  </w:style>
  <w:style w:type="paragraph" w:styleId="Caption">
    <w:name w:val="caption"/>
    <w:basedOn w:val="Normal"/>
    <w:uiPriority w:val="35"/>
    <w:qFormat/>
    <w:rsid w:val="001B2B98"/>
    <w:pPr>
      <w:suppressLineNumbers/>
      <w:spacing w:before="120" w:after="120"/>
      <w:jc w:val="center"/>
    </w:pPr>
    <w:rPr>
      <w:rFonts w:cs="Tahoma"/>
      <w:b/>
      <w:iCs/>
    </w:rPr>
  </w:style>
  <w:style w:type="paragraph" w:customStyle="1" w:styleId="Index">
    <w:name w:val="Index"/>
    <w:basedOn w:val="Normal"/>
    <w:rsid w:val="0088216A"/>
    <w:pPr>
      <w:suppressLineNumbers/>
    </w:pPr>
    <w:rPr>
      <w:rFonts w:cs="Tahoma"/>
    </w:rPr>
  </w:style>
  <w:style w:type="paragraph" w:customStyle="1" w:styleId="Complimentaryclose">
    <w:name w:val="Complimentary close"/>
    <w:basedOn w:val="Normal"/>
    <w:rsid w:val="0088216A"/>
    <w:pPr>
      <w:suppressLineNumbers/>
    </w:pPr>
  </w:style>
  <w:style w:type="paragraph" w:styleId="BodyTextIndent">
    <w:name w:val="Body Text Indent"/>
    <w:basedOn w:val="BodyText"/>
    <w:link w:val="BodyTextIndentChar"/>
    <w:rsid w:val="0088216A"/>
    <w:pPr>
      <w:ind w:left="283" w:firstLine="0"/>
    </w:pPr>
  </w:style>
  <w:style w:type="paragraph" w:customStyle="1" w:styleId="ContentsHeading">
    <w:name w:val="Contents Heading"/>
    <w:basedOn w:val="Heading"/>
    <w:rsid w:val="0088216A"/>
    <w:pPr>
      <w:suppressLineNumbers/>
      <w:ind w:firstLine="0"/>
    </w:pPr>
    <w:rPr>
      <w:b/>
      <w:bCs/>
      <w:sz w:val="32"/>
      <w:szCs w:val="32"/>
    </w:rPr>
  </w:style>
  <w:style w:type="paragraph" w:styleId="TOC1">
    <w:name w:val="toc 1"/>
    <w:basedOn w:val="Index"/>
    <w:uiPriority w:val="39"/>
    <w:rsid w:val="003E072D"/>
    <w:pPr>
      <w:tabs>
        <w:tab w:val="right" w:leader="dot" w:pos="9637"/>
      </w:tabs>
    </w:pPr>
    <w:rPr>
      <w:caps/>
      <w:kern w:val="24"/>
    </w:rPr>
  </w:style>
  <w:style w:type="paragraph" w:styleId="TOC2">
    <w:name w:val="toc 2"/>
    <w:basedOn w:val="Index"/>
    <w:uiPriority w:val="39"/>
    <w:rsid w:val="0088216A"/>
    <w:pPr>
      <w:tabs>
        <w:tab w:val="right" w:leader="dot" w:pos="9637"/>
      </w:tabs>
      <w:ind w:left="283"/>
    </w:pPr>
  </w:style>
  <w:style w:type="paragraph" w:styleId="TOC3">
    <w:name w:val="toc 3"/>
    <w:basedOn w:val="Index"/>
    <w:uiPriority w:val="39"/>
    <w:rsid w:val="0088216A"/>
    <w:pPr>
      <w:tabs>
        <w:tab w:val="right" w:leader="dot" w:pos="9637"/>
      </w:tabs>
      <w:ind w:left="566"/>
    </w:pPr>
  </w:style>
  <w:style w:type="paragraph" w:customStyle="1" w:styleId="Headingwonumb">
    <w:name w:val="Heading wo numb"/>
    <w:basedOn w:val="Heading1"/>
    <w:link w:val="HeadingwonumbChar"/>
    <w:rsid w:val="00757995"/>
    <w:pPr>
      <w:numPr>
        <w:numId w:val="0"/>
      </w:numPr>
    </w:pPr>
  </w:style>
  <w:style w:type="paragraph" w:styleId="TOC4">
    <w:name w:val="toc 4"/>
    <w:basedOn w:val="Index"/>
    <w:uiPriority w:val="39"/>
    <w:rsid w:val="0088216A"/>
    <w:pPr>
      <w:tabs>
        <w:tab w:val="right" w:leader="dot" w:pos="9637"/>
      </w:tabs>
      <w:ind w:left="849"/>
    </w:pPr>
  </w:style>
  <w:style w:type="paragraph" w:styleId="TOC5">
    <w:name w:val="toc 5"/>
    <w:basedOn w:val="Index"/>
    <w:uiPriority w:val="39"/>
    <w:rsid w:val="0088216A"/>
    <w:pPr>
      <w:tabs>
        <w:tab w:val="right" w:leader="dot" w:pos="9637"/>
      </w:tabs>
      <w:ind w:left="1132"/>
    </w:pPr>
  </w:style>
  <w:style w:type="paragraph" w:styleId="TOC6">
    <w:name w:val="toc 6"/>
    <w:basedOn w:val="Index"/>
    <w:uiPriority w:val="39"/>
    <w:rsid w:val="0088216A"/>
    <w:pPr>
      <w:tabs>
        <w:tab w:val="right" w:leader="dot" w:pos="9637"/>
      </w:tabs>
      <w:ind w:left="1415"/>
    </w:pPr>
  </w:style>
  <w:style w:type="paragraph" w:styleId="TOC7">
    <w:name w:val="toc 7"/>
    <w:basedOn w:val="Index"/>
    <w:uiPriority w:val="39"/>
    <w:rsid w:val="0088216A"/>
    <w:pPr>
      <w:tabs>
        <w:tab w:val="right" w:leader="dot" w:pos="9637"/>
      </w:tabs>
      <w:ind w:left="1698"/>
    </w:pPr>
  </w:style>
  <w:style w:type="paragraph" w:styleId="TOC8">
    <w:name w:val="toc 8"/>
    <w:basedOn w:val="Index"/>
    <w:uiPriority w:val="39"/>
    <w:rsid w:val="0088216A"/>
    <w:pPr>
      <w:tabs>
        <w:tab w:val="right" w:leader="dot" w:pos="9637"/>
      </w:tabs>
      <w:ind w:left="1981"/>
    </w:pPr>
  </w:style>
  <w:style w:type="paragraph" w:styleId="TOC9">
    <w:name w:val="toc 9"/>
    <w:basedOn w:val="Index"/>
    <w:uiPriority w:val="39"/>
    <w:rsid w:val="0088216A"/>
    <w:pPr>
      <w:tabs>
        <w:tab w:val="right" w:leader="dot" w:pos="9637"/>
      </w:tabs>
      <w:ind w:left="2264"/>
    </w:pPr>
  </w:style>
  <w:style w:type="paragraph" w:customStyle="1" w:styleId="Contents10">
    <w:name w:val="Contents 10"/>
    <w:basedOn w:val="Index"/>
    <w:rsid w:val="0088216A"/>
    <w:pPr>
      <w:tabs>
        <w:tab w:val="right" w:leader="dot" w:pos="9637"/>
      </w:tabs>
      <w:ind w:left="2547" w:firstLine="0"/>
    </w:pPr>
  </w:style>
  <w:style w:type="paragraph" w:customStyle="1" w:styleId="1">
    <w:name w:val="1"/>
    <w:basedOn w:val="Normal"/>
    <w:next w:val="BodyText"/>
    <w:rsid w:val="008C0EF7"/>
    <w:pPr>
      <w:ind w:firstLine="562"/>
      <w:jc w:val="left"/>
    </w:pPr>
  </w:style>
  <w:style w:type="paragraph" w:customStyle="1" w:styleId="Style1">
    <w:name w:val="Style1"/>
    <w:basedOn w:val="Normal"/>
    <w:rsid w:val="004038E1"/>
  </w:style>
  <w:style w:type="character" w:customStyle="1" w:styleId="Heading4Char">
    <w:name w:val="Heading 4 Char"/>
    <w:basedOn w:val="DefaultParagraphFont"/>
    <w:link w:val="Heading4"/>
    <w:rsid w:val="00361F30"/>
    <w:rPr>
      <w:b/>
      <w:bCs/>
      <w:kern w:val="1"/>
      <w:szCs w:val="28"/>
      <w:lang w:val="lt-LT"/>
    </w:rPr>
  </w:style>
  <w:style w:type="character" w:customStyle="1" w:styleId="Heading5Char">
    <w:name w:val="Heading 5 Char"/>
    <w:basedOn w:val="DefaultParagraphFont"/>
    <w:link w:val="Heading5"/>
    <w:rsid w:val="004038E1"/>
    <w:rPr>
      <w:rFonts w:ascii="Cambria" w:hAnsi="Cambria"/>
      <w:b/>
      <w:bCs/>
      <w:i/>
      <w:iCs/>
      <w:kern w:val="1"/>
      <w:sz w:val="26"/>
      <w:szCs w:val="26"/>
      <w:lang w:val="lt-LT"/>
    </w:rPr>
  </w:style>
  <w:style w:type="character" w:customStyle="1" w:styleId="Heading6Char">
    <w:name w:val="Heading 6 Char"/>
    <w:basedOn w:val="DefaultParagraphFont"/>
    <w:link w:val="Heading6"/>
    <w:rsid w:val="004038E1"/>
    <w:rPr>
      <w:rFonts w:ascii="Cambria" w:hAnsi="Cambria"/>
      <w:b/>
      <w:bCs/>
      <w:kern w:val="1"/>
      <w:sz w:val="22"/>
      <w:szCs w:val="22"/>
      <w:lang w:val="lt-LT"/>
    </w:rPr>
  </w:style>
  <w:style w:type="character" w:customStyle="1" w:styleId="Heading7Char">
    <w:name w:val="Heading 7 Char"/>
    <w:basedOn w:val="DefaultParagraphFont"/>
    <w:link w:val="Heading7"/>
    <w:rsid w:val="004038E1"/>
    <w:rPr>
      <w:rFonts w:ascii="Cambria" w:hAnsi="Cambria"/>
      <w:kern w:val="1"/>
      <w:lang w:val="lt-LT"/>
    </w:rPr>
  </w:style>
  <w:style w:type="character" w:customStyle="1" w:styleId="Heading8Char">
    <w:name w:val="Heading 8 Char"/>
    <w:basedOn w:val="DefaultParagraphFont"/>
    <w:link w:val="Heading8"/>
    <w:rsid w:val="004038E1"/>
    <w:rPr>
      <w:rFonts w:ascii="Cambria" w:hAnsi="Cambria"/>
      <w:i/>
      <w:iCs/>
      <w:kern w:val="1"/>
      <w:lang w:val="lt-LT"/>
    </w:rPr>
  </w:style>
  <w:style w:type="character" w:customStyle="1" w:styleId="Heading9Char">
    <w:name w:val="Heading 9 Char"/>
    <w:basedOn w:val="DefaultParagraphFont"/>
    <w:link w:val="Heading9"/>
    <w:rsid w:val="004038E1"/>
    <w:rPr>
      <w:rFonts w:ascii="Calibri" w:hAnsi="Calibri"/>
      <w:kern w:val="1"/>
      <w:sz w:val="22"/>
      <w:szCs w:val="22"/>
      <w:lang w:val="lt-LT"/>
    </w:rPr>
  </w:style>
  <w:style w:type="paragraph" w:styleId="FootnoteText">
    <w:name w:val="footnote text"/>
    <w:basedOn w:val="Normal"/>
    <w:semiHidden/>
    <w:rsid w:val="00971D41"/>
    <w:rPr>
      <w:sz w:val="20"/>
      <w:szCs w:val="20"/>
    </w:rPr>
  </w:style>
  <w:style w:type="character" w:styleId="FootnoteReference">
    <w:name w:val="footnote reference"/>
    <w:basedOn w:val="DefaultParagraphFont"/>
    <w:semiHidden/>
    <w:rsid w:val="00971D41"/>
    <w:rPr>
      <w:vertAlign w:val="superscript"/>
    </w:rPr>
  </w:style>
  <w:style w:type="paragraph" w:styleId="BalloonText">
    <w:name w:val="Balloon Text"/>
    <w:basedOn w:val="Normal"/>
    <w:link w:val="BalloonTextChar"/>
    <w:uiPriority w:val="99"/>
    <w:semiHidden/>
    <w:rsid w:val="001F34C2"/>
    <w:rPr>
      <w:rFonts w:ascii="Tahoma" w:hAnsi="Tahoma" w:cs="Tahoma"/>
      <w:sz w:val="16"/>
      <w:szCs w:val="16"/>
    </w:rPr>
  </w:style>
  <w:style w:type="paragraph" w:styleId="Header">
    <w:name w:val="header"/>
    <w:basedOn w:val="Normal"/>
    <w:link w:val="HeaderChar"/>
    <w:uiPriority w:val="99"/>
    <w:rsid w:val="002B0060"/>
    <w:pPr>
      <w:tabs>
        <w:tab w:val="center" w:pos="4986"/>
        <w:tab w:val="right" w:pos="9972"/>
      </w:tabs>
    </w:pPr>
  </w:style>
  <w:style w:type="paragraph" w:styleId="Footer">
    <w:name w:val="footer"/>
    <w:basedOn w:val="Normal"/>
    <w:rsid w:val="002B0060"/>
    <w:pPr>
      <w:tabs>
        <w:tab w:val="center" w:pos="4986"/>
        <w:tab w:val="right" w:pos="9972"/>
      </w:tabs>
    </w:pPr>
  </w:style>
  <w:style w:type="character" w:styleId="PageNumber">
    <w:name w:val="page number"/>
    <w:basedOn w:val="DefaultParagraphFont"/>
    <w:rsid w:val="00E579B8"/>
  </w:style>
  <w:style w:type="character" w:customStyle="1" w:styleId="HeadingwonumbChar">
    <w:name w:val="Heading wo numb Char"/>
    <w:basedOn w:val="Heading1Char"/>
    <w:link w:val="Headingwonumb"/>
    <w:rsid w:val="009563F7"/>
    <w:rPr>
      <w:lang w:val="lt-LT" w:bidi="ar-SA"/>
    </w:rPr>
  </w:style>
  <w:style w:type="character" w:styleId="Strong">
    <w:name w:val="Strong"/>
    <w:basedOn w:val="DefaultParagraphFont"/>
    <w:qFormat/>
    <w:rsid w:val="008D22DA"/>
    <w:rPr>
      <w:b/>
      <w:bCs/>
    </w:rPr>
  </w:style>
  <w:style w:type="paragraph" w:customStyle="1" w:styleId="normal0">
    <w:name w:val="normal"/>
    <w:basedOn w:val="Normal"/>
    <w:rsid w:val="000413C0"/>
    <w:pPr>
      <w:widowControl/>
      <w:suppressAutoHyphens w:val="0"/>
      <w:spacing w:before="100" w:beforeAutospacing="1" w:after="100" w:afterAutospacing="1" w:line="240" w:lineRule="auto"/>
      <w:ind w:firstLine="0"/>
      <w:jc w:val="left"/>
    </w:pPr>
    <w:rPr>
      <w:rFonts w:ascii="Verdana" w:eastAsia="Times New Roman" w:hAnsi="Verdana" w:cs="Arial"/>
      <w:color w:val="000033"/>
      <w:kern w:val="0"/>
      <w:sz w:val="20"/>
      <w:szCs w:val="20"/>
      <w:lang w:val="en-US"/>
    </w:rPr>
  </w:style>
  <w:style w:type="table" w:styleId="TableGrid">
    <w:name w:val="Table Grid"/>
    <w:basedOn w:val="TableNormal"/>
    <w:uiPriority w:val="59"/>
    <w:rsid w:val="009A23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2-Accent5">
    <w:name w:val="Medium Grid 2 Accent 5"/>
    <w:basedOn w:val="TableNormal"/>
    <w:uiPriority w:val="68"/>
    <w:rsid w:val="00AD1D5E"/>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olorfulGrid-Accent1">
    <w:name w:val="Colorful Grid Accent 1"/>
    <w:basedOn w:val="TableNormal"/>
    <w:uiPriority w:val="73"/>
    <w:rsid w:val="00AD1D5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1">
    <w:name w:val="Light Shading - Accent 11"/>
    <w:basedOn w:val="TableNormal"/>
    <w:uiPriority w:val="60"/>
    <w:rsid w:val="00AD1D5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AD1D5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itle">
    <w:name w:val="Title"/>
    <w:basedOn w:val="Normal"/>
    <w:next w:val="Normal"/>
    <w:link w:val="TitleChar"/>
    <w:uiPriority w:val="10"/>
    <w:qFormat/>
    <w:rsid w:val="004F220D"/>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4F220D"/>
    <w:rPr>
      <w:rFonts w:ascii="Cambria" w:eastAsia="Times New Roman" w:hAnsi="Cambria" w:cs="Times New Roman"/>
      <w:b/>
      <w:bCs/>
      <w:kern w:val="28"/>
      <w:sz w:val="32"/>
      <w:szCs w:val="32"/>
    </w:rPr>
  </w:style>
  <w:style w:type="character" w:customStyle="1" w:styleId="HeaderChar">
    <w:name w:val="Header Char"/>
    <w:basedOn w:val="DefaultParagraphFont"/>
    <w:link w:val="Header"/>
    <w:uiPriority w:val="99"/>
    <w:rsid w:val="001835D6"/>
    <w:rPr>
      <w:rFonts w:eastAsia="Arial Unicode MS"/>
      <w:kern w:val="1"/>
      <w:sz w:val="24"/>
      <w:szCs w:val="24"/>
    </w:rPr>
  </w:style>
  <w:style w:type="paragraph" w:styleId="NoSpacing">
    <w:name w:val="No Spacing"/>
    <w:uiPriority w:val="1"/>
    <w:qFormat/>
    <w:rsid w:val="00A71947"/>
    <w:pPr>
      <w:widowControl w:val="0"/>
      <w:suppressAutoHyphens/>
      <w:ind w:firstLine="567"/>
      <w:jc w:val="both"/>
    </w:pPr>
    <w:rPr>
      <w:rFonts w:eastAsia="Arial Unicode MS"/>
      <w:kern w:val="1"/>
      <w:lang w:val="lt-LT"/>
    </w:rPr>
  </w:style>
  <w:style w:type="character" w:styleId="CommentReference">
    <w:name w:val="annotation reference"/>
    <w:basedOn w:val="DefaultParagraphFont"/>
    <w:rsid w:val="004E3529"/>
    <w:rPr>
      <w:sz w:val="18"/>
      <w:szCs w:val="18"/>
    </w:rPr>
  </w:style>
  <w:style w:type="paragraph" w:styleId="CommentText">
    <w:name w:val="annotation text"/>
    <w:basedOn w:val="Normal"/>
    <w:link w:val="CommentTextChar"/>
    <w:rsid w:val="004E3529"/>
  </w:style>
  <w:style w:type="character" w:customStyle="1" w:styleId="CommentTextChar">
    <w:name w:val="Comment Text Char"/>
    <w:basedOn w:val="DefaultParagraphFont"/>
    <w:link w:val="CommentText"/>
    <w:rsid w:val="004E3529"/>
    <w:rPr>
      <w:rFonts w:eastAsia="Arial Unicode MS"/>
      <w:kern w:val="1"/>
      <w:sz w:val="24"/>
      <w:szCs w:val="24"/>
      <w:lang w:val="lt-LT"/>
    </w:rPr>
  </w:style>
  <w:style w:type="paragraph" w:styleId="CommentSubject">
    <w:name w:val="annotation subject"/>
    <w:basedOn w:val="CommentText"/>
    <w:next w:val="CommentText"/>
    <w:link w:val="CommentSubjectChar"/>
    <w:rsid w:val="004E3529"/>
    <w:rPr>
      <w:b/>
      <w:bCs/>
      <w:sz w:val="20"/>
      <w:szCs w:val="20"/>
    </w:rPr>
  </w:style>
  <w:style w:type="character" w:customStyle="1" w:styleId="CommentSubjectChar">
    <w:name w:val="Comment Subject Char"/>
    <w:basedOn w:val="CommentTextChar"/>
    <w:link w:val="CommentSubject"/>
    <w:rsid w:val="004E3529"/>
    <w:rPr>
      <w:b/>
      <w:bCs/>
    </w:rPr>
  </w:style>
  <w:style w:type="paragraph" w:customStyle="1" w:styleId="Default">
    <w:name w:val="Default"/>
    <w:rsid w:val="00A751F6"/>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EB3D33"/>
    <w:pPr>
      <w:ind w:left="720"/>
      <w:contextualSpacing/>
    </w:pPr>
  </w:style>
  <w:style w:type="character" w:customStyle="1" w:styleId="Heading3Char">
    <w:name w:val="Heading 3 Char"/>
    <w:basedOn w:val="DefaultParagraphFont"/>
    <w:link w:val="Heading3"/>
    <w:rsid w:val="003C4E50"/>
    <w:rPr>
      <w:rFonts w:eastAsia="Arial Unicode MS" w:cs="Arial"/>
      <w:b/>
      <w:bCs/>
      <w:kern w:val="1"/>
      <w:szCs w:val="26"/>
      <w:lang w:val="lt-LT"/>
    </w:rPr>
  </w:style>
  <w:style w:type="character" w:customStyle="1" w:styleId="BodyTextChar">
    <w:name w:val="Body Text Char"/>
    <w:basedOn w:val="DefaultParagraphFont"/>
    <w:link w:val="BodyText"/>
    <w:rsid w:val="00EB3D33"/>
    <w:rPr>
      <w:rFonts w:eastAsia="Arial Unicode MS"/>
      <w:kern w:val="1"/>
      <w:lang w:val="lt-LT"/>
    </w:rPr>
  </w:style>
  <w:style w:type="character" w:customStyle="1" w:styleId="BodyTextIndentChar">
    <w:name w:val="Body Text Indent Char"/>
    <w:basedOn w:val="BodyTextChar"/>
    <w:link w:val="BodyTextIndent"/>
    <w:rsid w:val="00EB3D33"/>
  </w:style>
  <w:style w:type="character" w:customStyle="1" w:styleId="Heading2Char">
    <w:name w:val="Heading 2 Char"/>
    <w:basedOn w:val="DefaultParagraphFont"/>
    <w:link w:val="Heading2"/>
    <w:uiPriority w:val="9"/>
    <w:rsid w:val="004841C3"/>
    <w:rPr>
      <w:rFonts w:ascii="Arial" w:eastAsia="Arial Unicode MS" w:hAnsi="Arial" w:cs="Arial"/>
      <w:b/>
      <w:bCs/>
      <w:iCs/>
      <w:kern w:val="1"/>
      <w:sz w:val="28"/>
      <w:szCs w:val="28"/>
      <w:lang w:val="lt-LT"/>
    </w:rPr>
  </w:style>
  <w:style w:type="table" w:styleId="MediumGrid1-Accent1">
    <w:name w:val="Medium Grid 1 Accent 1"/>
    <w:basedOn w:val="TableNormal"/>
    <w:uiPriority w:val="67"/>
    <w:rsid w:val="00C97507"/>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ableofFigures">
    <w:name w:val="table of figures"/>
    <w:basedOn w:val="Normal"/>
    <w:next w:val="Normal"/>
    <w:uiPriority w:val="99"/>
    <w:rsid w:val="00F91B0F"/>
    <w:pPr>
      <w:ind w:left="480" w:hanging="480"/>
    </w:pPr>
  </w:style>
  <w:style w:type="character" w:customStyle="1" w:styleId="BalloonTextChar">
    <w:name w:val="Balloon Text Char"/>
    <w:basedOn w:val="DefaultParagraphFont"/>
    <w:link w:val="BalloonText"/>
    <w:uiPriority w:val="99"/>
    <w:semiHidden/>
    <w:rsid w:val="009F77E4"/>
    <w:rPr>
      <w:rFonts w:ascii="Tahoma" w:eastAsia="Arial Unicode MS" w:hAnsi="Tahoma" w:cs="Tahoma"/>
      <w:kern w:val="1"/>
      <w:sz w:val="16"/>
      <w:szCs w:val="16"/>
      <w:lang w:val="lt-LT"/>
    </w:rPr>
  </w:style>
  <w:style w:type="paragraph" w:styleId="NormalWeb">
    <w:name w:val="Normal (Web)"/>
    <w:basedOn w:val="Normal"/>
    <w:uiPriority w:val="99"/>
    <w:unhideWhenUsed/>
    <w:rsid w:val="00962479"/>
    <w:pPr>
      <w:widowControl/>
      <w:suppressAutoHyphens w:val="0"/>
      <w:spacing w:before="100" w:beforeAutospacing="1" w:after="100" w:afterAutospacing="1" w:line="240" w:lineRule="auto"/>
      <w:ind w:firstLine="0"/>
      <w:jc w:val="left"/>
    </w:pPr>
    <w:rPr>
      <w:rFonts w:eastAsia="Times New Roman"/>
      <w:kern w:val="0"/>
      <w:lang w:eastAsia="lt-LT"/>
    </w:rPr>
  </w:style>
  <w:style w:type="paragraph" w:styleId="TOCHeading">
    <w:name w:val="TOC Heading"/>
    <w:basedOn w:val="Heading1"/>
    <w:next w:val="Normal"/>
    <w:uiPriority w:val="39"/>
    <w:semiHidden/>
    <w:unhideWhenUsed/>
    <w:qFormat/>
    <w:rsid w:val="003E072D"/>
    <w:pPr>
      <w:keepLines/>
      <w:widowControl/>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rPr>
  </w:style>
  <w:style w:type="paragraph" w:styleId="EndnoteText">
    <w:name w:val="endnote text"/>
    <w:basedOn w:val="Normal"/>
    <w:link w:val="EndnoteTextChar"/>
    <w:rsid w:val="003C4D42"/>
    <w:pPr>
      <w:spacing w:line="240" w:lineRule="auto"/>
    </w:pPr>
    <w:rPr>
      <w:sz w:val="20"/>
      <w:szCs w:val="20"/>
    </w:rPr>
  </w:style>
  <w:style w:type="character" w:customStyle="1" w:styleId="EndnoteTextChar">
    <w:name w:val="Endnote Text Char"/>
    <w:basedOn w:val="DefaultParagraphFont"/>
    <w:link w:val="EndnoteText"/>
    <w:rsid w:val="003C4D42"/>
    <w:rPr>
      <w:rFonts w:eastAsia="Arial Unicode MS"/>
      <w:kern w:val="1"/>
      <w:sz w:val="20"/>
      <w:szCs w:val="20"/>
      <w:lang w:val="lt-LT"/>
    </w:rPr>
  </w:style>
  <w:style w:type="character" w:styleId="EndnoteReference">
    <w:name w:val="endnote reference"/>
    <w:basedOn w:val="DefaultParagraphFont"/>
    <w:rsid w:val="003C4D42"/>
    <w:rPr>
      <w:vertAlign w:val="superscript"/>
    </w:rPr>
  </w:style>
</w:styles>
</file>

<file path=word/webSettings.xml><?xml version="1.0" encoding="utf-8"?>
<w:webSettings xmlns:r="http://schemas.openxmlformats.org/officeDocument/2006/relationships" xmlns:w="http://schemas.openxmlformats.org/wordprocessingml/2006/main">
  <w:divs>
    <w:div w:id="68701813">
      <w:bodyDiv w:val="1"/>
      <w:marLeft w:val="0"/>
      <w:marRight w:val="0"/>
      <w:marTop w:val="0"/>
      <w:marBottom w:val="0"/>
      <w:divBdr>
        <w:top w:val="none" w:sz="0" w:space="0" w:color="auto"/>
        <w:left w:val="none" w:sz="0" w:space="0" w:color="auto"/>
        <w:bottom w:val="none" w:sz="0" w:space="0" w:color="auto"/>
        <w:right w:val="none" w:sz="0" w:space="0" w:color="auto"/>
      </w:divBdr>
    </w:div>
    <w:div w:id="271130621">
      <w:bodyDiv w:val="1"/>
      <w:marLeft w:val="0"/>
      <w:marRight w:val="0"/>
      <w:marTop w:val="0"/>
      <w:marBottom w:val="0"/>
      <w:divBdr>
        <w:top w:val="none" w:sz="0" w:space="0" w:color="auto"/>
        <w:left w:val="none" w:sz="0" w:space="0" w:color="auto"/>
        <w:bottom w:val="none" w:sz="0" w:space="0" w:color="auto"/>
        <w:right w:val="none" w:sz="0" w:space="0" w:color="auto"/>
      </w:divBdr>
      <w:divsChild>
        <w:div w:id="184637550">
          <w:marLeft w:val="547"/>
          <w:marRight w:val="0"/>
          <w:marTop w:val="134"/>
          <w:marBottom w:val="0"/>
          <w:divBdr>
            <w:top w:val="none" w:sz="0" w:space="0" w:color="auto"/>
            <w:left w:val="none" w:sz="0" w:space="0" w:color="auto"/>
            <w:bottom w:val="none" w:sz="0" w:space="0" w:color="auto"/>
            <w:right w:val="none" w:sz="0" w:space="0" w:color="auto"/>
          </w:divBdr>
        </w:div>
        <w:div w:id="267125839">
          <w:marLeft w:val="547"/>
          <w:marRight w:val="0"/>
          <w:marTop w:val="134"/>
          <w:marBottom w:val="0"/>
          <w:divBdr>
            <w:top w:val="none" w:sz="0" w:space="0" w:color="auto"/>
            <w:left w:val="none" w:sz="0" w:space="0" w:color="auto"/>
            <w:bottom w:val="none" w:sz="0" w:space="0" w:color="auto"/>
            <w:right w:val="none" w:sz="0" w:space="0" w:color="auto"/>
          </w:divBdr>
        </w:div>
        <w:div w:id="318971616">
          <w:marLeft w:val="547"/>
          <w:marRight w:val="0"/>
          <w:marTop w:val="134"/>
          <w:marBottom w:val="0"/>
          <w:divBdr>
            <w:top w:val="none" w:sz="0" w:space="0" w:color="auto"/>
            <w:left w:val="none" w:sz="0" w:space="0" w:color="auto"/>
            <w:bottom w:val="none" w:sz="0" w:space="0" w:color="auto"/>
            <w:right w:val="none" w:sz="0" w:space="0" w:color="auto"/>
          </w:divBdr>
        </w:div>
        <w:div w:id="1241259808">
          <w:marLeft w:val="547"/>
          <w:marRight w:val="0"/>
          <w:marTop w:val="134"/>
          <w:marBottom w:val="0"/>
          <w:divBdr>
            <w:top w:val="none" w:sz="0" w:space="0" w:color="auto"/>
            <w:left w:val="none" w:sz="0" w:space="0" w:color="auto"/>
            <w:bottom w:val="none" w:sz="0" w:space="0" w:color="auto"/>
            <w:right w:val="none" w:sz="0" w:space="0" w:color="auto"/>
          </w:divBdr>
        </w:div>
        <w:div w:id="1042100451">
          <w:marLeft w:val="547"/>
          <w:marRight w:val="0"/>
          <w:marTop w:val="134"/>
          <w:marBottom w:val="0"/>
          <w:divBdr>
            <w:top w:val="none" w:sz="0" w:space="0" w:color="auto"/>
            <w:left w:val="none" w:sz="0" w:space="0" w:color="auto"/>
            <w:bottom w:val="none" w:sz="0" w:space="0" w:color="auto"/>
            <w:right w:val="none" w:sz="0" w:space="0" w:color="auto"/>
          </w:divBdr>
        </w:div>
      </w:divsChild>
    </w:div>
    <w:div w:id="300698139">
      <w:bodyDiv w:val="1"/>
      <w:marLeft w:val="0"/>
      <w:marRight w:val="0"/>
      <w:marTop w:val="0"/>
      <w:marBottom w:val="0"/>
      <w:divBdr>
        <w:top w:val="none" w:sz="0" w:space="0" w:color="auto"/>
        <w:left w:val="none" w:sz="0" w:space="0" w:color="auto"/>
        <w:bottom w:val="none" w:sz="0" w:space="0" w:color="auto"/>
        <w:right w:val="none" w:sz="0" w:space="0" w:color="auto"/>
      </w:divBdr>
      <w:divsChild>
        <w:div w:id="990596105">
          <w:marLeft w:val="547"/>
          <w:marRight w:val="0"/>
          <w:marTop w:val="154"/>
          <w:marBottom w:val="0"/>
          <w:divBdr>
            <w:top w:val="none" w:sz="0" w:space="0" w:color="auto"/>
            <w:left w:val="none" w:sz="0" w:space="0" w:color="auto"/>
            <w:bottom w:val="none" w:sz="0" w:space="0" w:color="auto"/>
            <w:right w:val="none" w:sz="0" w:space="0" w:color="auto"/>
          </w:divBdr>
        </w:div>
        <w:div w:id="1648708155">
          <w:marLeft w:val="547"/>
          <w:marRight w:val="0"/>
          <w:marTop w:val="134"/>
          <w:marBottom w:val="0"/>
          <w:divBdr>
            <w:top w:val="none" w:sz="0" w:space="0" w:color="auto"/>
            <w:left w:val="none" w:sz="0" w:space="0" w:color="auto"/>
            <w:bottom w:val="none" w:sz="0" w:space="0" w:color="auto"/>
            <w:right w:val="none" w:sz="0" w:space="0" w:color="auto"/>
          </w:divBdr>
        </w:div>
        <w:div w:id="825779815">
          <w:marLeft w:val="547"/>
          <w:marRight w:val="0"/>
          <w:marTop w:val="134"/>
          <w:marBottom w:val="0"/>
          <w:divBdr>
            <w:top w:val="none" w:sz="0" w:space="0" w:color="auto"/>
            <w:left w:val="none" w:sz="0" w:space="0" w:color="auto"/>
            <w:bottom w:val="none" w:sz="0" w:space="0" w:color="auto"/>
            <w:right w:val="none" w:sz="0" w:space="0" w:color="auto"/>
          </w:divBdr>
        </w:div>
        <w:div w:id="148255760">
          <w:marLeft w:val="547"/>
          <w:marRight w:val="0"/>
          <w:marTop w:val="134"/>
          <w:marBottom w:val="0"/>
          <w:divBdr>
            <w:top w:val="none" w:sz="0" w:space="0" w:color="auto"/>
            <w:left w:val="none" w:sz="0" w:space="0" w:color="auto"/>
            <w:bottom w:val="none" w:sz="0" w:space="0" w:color="auto"/>
            <w:right w:val="none" w:sz="0" w:space="0" w:color="auto"/>
          </w:divBdr>
        </w:div>
        <w:div w:id="2144614898">
          <w:marLeft w:val="547"/>
          <w:marRight w:val="0"/>
          <w:marTop w:val="134"/>
          <w:marBottom w:val="0"/>
          <w:divBdr>
            <w:top w:val="none" w:sz="0" w:space="0" w:color="auto"/>
            <w:left w:val="none" w:sz="0" w:space="0" w:color="auto"/>
            <w:bottom w:val="none" w:sz="0" w:space="0" w:color="auto"/>
            <w:right w:val="none" w:sz="0" w:space="0" w:color="auto"/>
          </w:divBdr>
        </w:div>
      </w:divsChild>
    </w:div>
    <w:div w:id="481045319">
      <w:bodyDiv w:val="1"/>
      <w:marLeft w:val="0"/>
      <w:marRight w:val="0"/>
      <w:marTop w:val="0"/>
      <w:marBottom w:val="0"/>
      <w:divBdr>
        <w:top w:val="none" w:sz="0" w:space="0" w:color="auto"/>
        <w:left w:val="none" w:sz="0" w:space="0" w:color="auto"/>
        <w:bottom w:val="none" w:sz="0" w:space="0" w:color="auto"/>
        <w:right w:val="none" w:sz="0" w:space="0" w:color="auto"/>
      </w:divBdr>
      <w:divsChild>
        <w:div w:id="1733501325">
          <w:marLeft w:val="547"/>
          <w:marRight w:val="0"/>
          <w:marTop w:val="134"/>
          <w:marBottom w:val="0"/>
          <w:divBdr>
            <w:top w:val="none" w:sz="0" w:space="0" w:color="auto"/>
            <w:left w:val="none" w:sz="0" w:space="0" w:color="auto"/>
            <w:bottom w:val="none" w:sz="0" w:space="0" w:color="auto"/>
            <w:right w:val="none" w:sz="0" w:space="0" w:color="auto"/>
          </w:divBdr>
        </w:div>
        <w:div w:id="867990647">
          <w:marLeft w:val="547"/>
          <w:marRight w:val="0"/>
          <w:marTop w:val="134"/>
          <w:marBottom w:val="0"/>
          <w:divBdr>
            <w:top w:val="none" w:sz="0" w:space="0" w:color="auto"/>
            <w:left w:val="none" w:sz="0" w:space="0" w:color="auto"/>
            <w:bottom w:val="none" w:sz="0" w:space="0" w:color="auto"/>
            <w:right w:val="none" w:sz="0" w:space="0" w:color="auto"/>
          </w:divBdr>
        </w:div>
        <w:div w:id="127558054">
          <w:marLeft w:val="547"/>
          <w:marRight w:val="0"/>
          <w:marTop w:val="134"/>
          <w:marBottom w:val="0"/>
          <w:divBdr>
            <w:top w:val="none" w:sz="0" w:space="0" w:color="auto"/>
            <w:left w:val="none" w:sz="0" w:space="0" w:color="auto"/>
            <w:bottom w:val="none" w:sz="0" w:space="0" w:color="auto"/>
            <w:right w:val="none" w:sz="0" w:space="0" w:color="auto"/>
          </w:divBdr>
        </w:div>
        <w:div w:id="3018193">
          <w:marLeft w:val="547"/>
          <w:marRight w:val="0"/>
          <w:marTop w:val="134"/>
          <w:marBottom w:val="0"/>
          <w:divBdr>
            <w:top w:val="none" w:sz="0" w:space="0" w:color="auto"/>
            <w:left w:val="none" w:sz="0" w:space="0" w:color="auto"/>
            <w:bottom w:val="none" w:sz="0" w:space="0" w:color="auto"/>
            <w:right w:val="none" w:sz="0" w:space="0" w:color="auto"/>
          </w:divBdr>
        </w:div>
      </w:divsChild>
    </w:div>
    <w:div w:id="482896635">
      <w:bodyDiv w:val="1"/>
      <w:marLeft w:val="0"/>
      <w:marRight w:val="0"/>
      <w:marTop w:val="0"/>
      <w:marBottom w:val="0"/>
      <w:divBdr>
        <w:top w:val="none" w:sz="0" w:space="0" w:color="auto"/>
        <w:left w:val="none" w:sz="0" w:space="0" w:color="auto"/>
        <w:bottom w:val="none" w:sz="0" w:space="0" w:color="auto"/>
        <w:right w:val="none" w:sz="0" w:space="0" w:color="auto"/>
      </w:divBdr>
      <w:divsChild>
        <w:div w:id="1475680145">
          <w:marLeft w:val="965"/>
          <w:marRight w:val="0"/>
          <w:marTop w:val="115"/>
          <w:marBottom w:val="0"/>
          <w:divBdr>
            <w:top w:val="none" w:sz="0" w:space="0" w:color="auto"/>
            <w:left w:val="none" w:sz="0" w:space="0" w:color="auto"/>
            <w:bottom w:val="none" w:sz="0" w:space="0" w:color="auto"/>
            <w:right w:val="none" w:sz="0" w:space="0" w:color="auto"/>
          </w:divBdr>
        </w:div>
      </w:divsChild>
    </w:div>
    <w:div w:id="494959159">
      <w:bodyDiv w:val="1"/>
      <w:marLeft w:val="0"/>
      <w:marRight w:val="0"/>
      <w:marTop w:val="0"/>
      <w:marBottom w:val="0"/>
      <w:divBdr>
        <w:top w:val="none" w:sz="0" w:space="0" w:color="auto"/>
        <w:left w:val="none" w:sz="0" w:space="0" w:color="auto"/>
        <w:bottom w:val="none" w:sz="0" w:space="0" w:color="auto"/>
        <w:right w:val="none" w:sz="0" w:space="0" w:color="auto"/>
      </w:divBdr>
    </w:div>
    <w:div w:id="989483669">
      <w:bodyDiv w:val="1"/>
      <w:marLeft w:val="0"/>
      <w:marRight w:val="0"/>
      <w:marTop w:val="0"/>
      <w:marBottom w:val="0"/>
      <w:divBdr>
        <w:top w:val="none" w:sz="0" w:space="0" w:color="auto"/>
        <w:left w:val="none" w:sz="0" w:space="0" w:color="auto"/>
        <w:bottom w:val="none" w:sz="0" w:space="0" w:color="auto"/>
        <w:right w:val="none" w:sz="0" w:space="0" w:color="auto"/>
      </w:divBdr>
    </w:div>
    <w:div w:id="1203328371">
      <w:bodyDiv w:val="1"/>
      <w:marLeft w:val="0"/>
      <w:marRight w:val="0"/>
      <w:marTop w:val="0"/>
      <w:marBottom w:val="0"/>
      <w:divBdr>
        <w:top w:val="none" w:sz="0" w:space="0" w:color="auto"/>
        <w:left w:val="none" w:sz="0" w:space="0" w:color="auto"/>
        <w:bottom w:val="none" w:sz="0" w:space="0" w:color="auto"/>
        <w:right w:val="none" w:sz="0" w:space="0" w:color="auto"/>
      </w:divBdr>
      <w:divsChild>
        <w:div w:id="2146703688">
          <w:marLeft w:val="547"/>
          <w:marRight w:val="0"/>
          <w:marTop w:val="0"/>
          <w:marBottom w:val="0"/>
          <w:divBdr>
            <w:top w:val="none" w:sz="0" w:space="0" w:color="auto"/>
            <w:left w:val="none" w:sz="0" w:space="0" w:color="auto"/>
            <w:bottom w:val="none" w:sz="0" w:space="0" w:color="auto"/>
            <w:right w:val="none" w:sz="0" w:space="0" w:color="auto"/>
          </w:divBdr>
        </w:div>
        <w:div w:id="1671565574">
          <w:marLeft w:val="1166"/>
          <w:marRight w:val="0"/>
          <w:marTop w:val="0"/>
          <w:marBottom w:val="0"/>
          <w:divBdr>
            <w:top w:val="none" w:sz="0" w:space="0" w:color="auto"/>
            <w:left w:val="none" w:sz="0" w:space="0" w:color="auto"/>
            <w:bottom w:val="none" w:sz="0" w:space="0" w:color="auto"/>
            <w:right w:val="none" w:sz="0" w:space="0" w:color="auto"/>
          </w:divBdr>
        </w:div>
        <w:div w:id="688675250">
          <w:marLeft w:val="1166"/>
          <w:marRight w:val="0"/>
          <w:marTop w:val="0"/>
          <w:marBottom w:val="0"/>
          <w:divBdr>
            <w:top w:val="none" w:sz="0" w:space="0" w:color="auto"/>
            <w:left w:val="none" w:sz="0" w:space="0" w:color="auto"/>
            <w:bottom w:val="none" w:sz="0" w:space="0" w:color="auto"/>
            <w:right w:val="none" w:sz="0" w:space="0" w:color="auto"/>
          </w:divBdr>
        </w:div>
        <w:div w:id="746221422">
          <w:marLeft w:val="1166"/>
          <w:marRight w:val="0"/>
          <w:marTop w:val="0"/>
          <w:marBottom w:val="0"/>
          <w:divBdr>
            <w:top w:val="none" w:sz="0" w:space="0" w:color="auto"/>
            <w:left w:val="none" w:sz="0" w:space="0" w:color="auto"/>
            <w:bottom w:val="none" w:sz="0" w:space="0" w:color="auto"/>
            <w:right w:val="none" w:sz="0" w:space="0" w:color="auto"/>
          </w:divBdr>
        </w:div>
        <w:div w:id="1938975003">
          <w:marLeft w:val="1166"/>
          <w:marRight w:val="0"/>
          <w:marTop w:val="0"/>
          <w:marBottom w:val="0"/>
          <w:divBdr>
            <w:top w:val="none" w:sz="0" w:space="0" w:color="auto"/>
            <w:left w:val="none" w:sz="0" w:space="0" w:color="auto"/>
            <w:bottom w:val="none" w:sz="0" w:space="0" w:color="auto"/>
            <w:right w:val="none" w:sz="0" w:space="0" w:color="auto"/>
          </w:divBdr>
        </w:div>
      </w:divsChild>
    </w:div>
    <w:div w:id="1257790418">
      <w:bodyDiv w:val="1"/>
      <w:marLeft w:val="0"/>
      <w:marRight w:val="0"/>
      <w:marTop w:val="0"/>
      <w:marBottom w:val="0"/>
      <w:divBdr>
        <w:top w:val="none" w:sz="0" w:space="0" w:color="auto"/>
        <w:left w:val="none" w:sz="0" w:space="0" w:color="auto"/>
        <w:bottom w:val="none" w:sz="0" w:space="0" w:color="auto"/>
        <w:right w:val="none" w:sz="0" w:space="0" w:color="auto"/>
      </w:divBdr>
      <w:divsChild>
        <w:div w:id="200939487">
          <w:marLeft w:val="547"/>
          <w:marRight w:val="0"/>
          <w:marTop w:val="0"/>
          <w:marBottom w:val="0"/>
          <w:divBdr>
            <w:top w:val="none" w:sz="0" w:space="0" w:color="auto"/>
            <w:left w:val="none" w:sz="0" w:space="0" w:color="auto"/>
            <w:bottom w:val="none" w:sz="0" w:space="0" w:color="auto"/>
            <w:right w:val="none" w:sz="0" w:space="0" w:color="auto"/>
          </w:divBdr>
        </w:div>
      </w:divsChild>
    </w:div>
    <w:div w:id="1260529764">
      <w:bodyDiv w:val="1"/>
      <w:marLeft w:val="0"/>
      <w:marRight w:val="0"/>
      <w:marTop w:val="0"/>
      <w:marBottom w:val="0"/>
      <w:divBdr>
        <w:top w:val="none" w:sz="0" w:space="0" w:color="auto"/>
        <w:left w:val="none" w:sz="0" w:space="0" w:color="auto"/>
        <w:bottom w:val="none" w:sz="0" w:space="0" w:color="auto"/>
        <w:right w:val="none" w:sz="0" w:space="0" w:color="auto"/>
      </w:divBdr>
      <w:divsChild>
        <w:div w:id="1869250307">
          <w:marLeft w:val="965"/>
          <w:marRight w:val="0"/>
          <w:marTop w:val="115"/>
          <w:marBottom w:val="0"/>
          <w:divBdr>
            <w:top w:val="none" w:sz="0" w:space="0" w:color="auto"/>
            <w:left w:val="none" w:sz="0" w:space="0" w:color="auto"/>
            <w:bottom w:val="none" w:sz="0" w:space="0" w:color="auto"/>
            <w:right w:val="none" w:sz="0" w:space="0" w:color="auto"/>
          </w:divBdr>
        </w:div>
      </w:divsChild>
    </w:div>
    <w:div w:id="1276711200">
      <w:bodyDiv w:val="1"/>
      <w:marLeft w:val="0"/>
      <w:marRight w:val="0"/>
      <w:marTop w:val="0"/>
      <w:marBottom w:val="0"/>
      <w:divBdr>
        <w:top w:val="none" w:sz="0" w:space="0" w:color="auto"/>
        <w:left w:val="none" w:sz="0" w:space="0" w:color="auto"/>
        <w:bottom w:val="none" w:sz="0" w:space="0" w:color="auto"/>
        <w:right w:val="none" w:sz="0" w:space="0" w:color="auto"/>
      </w:divBdr>
      <w:divsChild>
        <w:div w:id="1291090732">
          <w:marLeft w:val="547"/>
          <w:marRight w:val="0"/>
          <w:marTop w:val="154"/>
          <w:marBottom w:val="0"/>
          <w:divBdr>
            <w:top w:val="none" w:sz="0" w:space="0" w:color="auto"/>
            <w:left w:val="none" w:sz="0" w:space="0" w:color="auto"/>
            <w:bottom w:val="none" w:sz="0" w:space="0" w:color="auto"/>
            <w:right w:val="none" w:sz="0" w:space="0" w:color="auto"/>
          </w:divBdr>
        </w:div>
        <w:div w:id="536740630">
          <w:marLeft w:val="547"/>
          <w:marRight w:val="0"/>
          <w:marTop w:val="134"/>
          <w:marBottom w:val="0"/>
          <w:divBdr>
            <w:top w:val="none" w:sz="0" w:space="0" w:color="auto"/>
            <w:left w:val="none" w:sz="0" w:space="0" w:color="auto"/>
            <w:bottom w:val="none" w:sz="0" w:space="0" w:color="auto"/>
            <w:right w:val="none" w:sz="0" w:space="0" w:color="auto"/>
          </w:divBdr>
        </w:div>
        <w:div w:id="2063408850">
          <w:marLeft w:val="547"/>
          <w:marRight w:val="0"/>
          <w:marTop w:val="134"/>
          <w:marBottom w:val="0"/>
          <w:divBdr>
            <w:top w:val="none" w:sz="0" w:space="0" w:color="auto"/>
            <w:left w:val="none" w:sz="0" w:space="0" w:color="auto"/>
            <w:bottom w:val="none" w:sz="0" w:space="0" w:color="auto"/>
            <w:right w:val="none" w:sz="0" w:space="0" w:color="auto"/>
          </w:divBdr>
        </w:div>
        <w:div w:id="890731220">
          <w:marLeft w:val="547"/>
          <w:marRight w:val="0"/>
          <w:marTop w:val="134"/>
          <w:marBottom w:val="0"/>
          <w:divBdr>
            <w:top w:val="none" w:sz="0" w:space="0" w:color="auto"/>
            <w:left w:val="none" w:sz="0" w:space="0" w:color="auto"/>
            <w:bottom w:val="none" w:sz="0" w:space="0" w:color="auto"/>
            <w:right w:val="none" w:sz="0" w:space="0" w:color="auto"/>
          </w:divBdr>
        </w:div>
        <w:div w:id="723069240">
          <w:marLeft w:val="547"/>
          <w:marRight w:val="0"/>
          <w:marTop w:val="134"/>
          <w:marBottom w:val="0"/>
          <w:divBdr>
            <w:top w:val="none" w:sz="0" w:space="0" w:color="auto"/>
            <w:left w:val="none" w:sz="0" w:space="0" w:color="auto"/>
            <w:bottom w:val="none" w:sz="0" w:space="0" w:color="auto"/>
            <w:right w:val="none" w:sz="0" w:space="0" w:color="auto"/>
          </w:divBdr>
        </w:div>
      </w:divsChild>
    </w:div>
    <w:div w:id="1624342495">
      <w:bodyDiv w:val="1"/>
      <w:marLeft w:val="0"/>
      <w:marRight w:val="0"/>
      <w:marTop w:val="0"/>
      <w:marBottom w:val="0"/>
      <w:divBdr>
        <w:top w:val="none" w:sz="0" w:space="0" w:color="auto"/>
        <w:left w:val="none" w:sz="0" w:space="0" w:color="auto"/>
        <w:bottom w:val="none" w:sz="0" w:space="0" w:color="auto"/>
        <w:right w:val="none" w:sz="0" w:space="0" w:color="auto"/>
      </w:divBdr>
      <w:divsChild>
        <w:div w:id="1115056361">
          <w:marLeft w:val="547"/>
          <w:marRight w:val="0"/>
          <w:marTop w:val="154"/>
          <w:marBottom w:val="0"/>
          <w:divBdr>
            <w:top w:val="none" w:sz="0" w:space="0" w:color="auto"/>
            <w:left w:val="none" w:sz="0" w:space="0" w:color="auto"/>
            <w:bottom w:val="none" w:sz="0" w:space="0" w:color="auto"/>
            <w:right w:val="none" w:sz="0" w:space="0" w:color="auto"/>
          </w:divBdr>
        </w:div>
      </w:divsChild>
    </w:div>
    <w:div w:id="1741442720">
      <w:bodyDiv w:val="1"/>
      <w:marLeft w:val="0"/>
      <w:marRight w:val="0"/>
      <w:marTop w:val="0"/>
      <w:marBottom w:val="0"/>
      <w:divBdr>
        <w:top w:val="none" w:sz="0" w:space="0" w:color="auto"/>
        <w:left w:val="none" w:sz="0" w:space="0" w:color="auto"/>
        <w:bottom w:val="none" w:sz="0" w:space="0" w:color="auto"/>
        <w:right w:val="none" w:sz="0" w:space="0" w:color="auto"/>
      </w:divBdr>
      <w:divsChild>
        <w:div w:id="1446000263">
          <w:marLeft w:val="547"/>
          <w:marRight w:val="0"/>
          <w:marTop w:val="0"/>
          <w:marBottom w:val="0"/>
          <w:divBdr>
            <w:top w:val="none" w:sz="0" w:space="0" w:color="auto"/>
            <w:left w:val="none" w:sz="0" w:space="0" w:color="auto"/>
            <w:bottom w:val="none" w:sz="0" w:space="0" w:color="auto"/>
            <w:right w:val="none" w:sz="0" w:space="0" w:color="auto"/>
          </w:divBdr>
        </w:div>
      </w:divsChild>
    </w:div>
    <w:div w:id="2064328420">
      <w:bodyDiv w:val="1"/>
      <w:marLeft w:val="0"/>
      <w:marRight w:val="0"/>
      <w:marTop w:val="0"/>
      <w:marBottom w:val="0"/>
      <w:divBdr>
        <w:top w:val="none" w:sz="0" w:space="0" w:color="auto"/>
        <w:left w:val="none" w:sz="0" w:space="0" w:color="auto"/>
        <w:bottom w:val="none" w:sz="0" w:space="0" w:color="auto"/>
        <w:right w:val="none" w:sz="0" w:space="0" w:color="auto"/>
      </w:divBdr>
      <w:divsChild>
        <w:div w:id="1252859015">
          <w:marLeft w:val="547"/>
          <w:marRight w:val="0"/>
          <w:marTop w:val="0"/>
          <w:marBottom w:val="0"/>
          <w:divBdr>
            <w:top w:val="none" w:sz="0" w:space="0" w:color="auto"/>
            <w:left w:val="none" w:sz="0" w:space="0" w:color="auto"/>
            <w:bottom w:val="none" w:sz="0" w:space="0" w:color="auto"/>
            <w:right w:val="none" w:sz="0" w:space="0" w:color="auto"/>
          </w:divBdr>
        </w:div>
      </w:divsChild>
    </w:div>
    <w:div w:id="2146654602">
      <w:bodyDiv w:val="1"/>
      <w:marLeft w:val="0"/>
      <w:marRight w:val="0"/>
      <w:marTop w:val="0"/>
      <w:marBottom w:val="0"/>
      <w:divBdr>
        <w:top w:val="none" w:sz="0" w:space="0" w:color="auto"/>
        <w:left w:val="none" w:sz="0" w:space="0" w:color="auto"/>
        <w:bottom w:val="none" w:sz="0" w:space="0" w:color="auto"/>
        <w:right w:val="none" w:sz="0" w:space="0" w:color="auto"/>
      </w:divBdr>
      <w:divsChild>
        <w:div w:id="310525671">
          <w:marLeft w:val="547"/>
          <w:marRight w:val="0"/>
          <w:marTop w:val="0"/>
          <w:marBottom w:val="0"/>
          <w:divBdr>
            <w:top w:val="none" w:sz="0" w:space="0" w:color="auto"/>
            <w:left w:val="none" w:sz="0" w:space="0" w:color="auto"/>
            <w:bottom w:val="none" w:sz="0" w:space="0" w:color="auto"/>
            <w:right w:val="none" w:sz="0" w:space="0" w:color="auto"/>
          </w:divBdr>
        </w:div>
        <w:div w:id="1166942029">
          <w:marLeft w:val="1166"/>
          <w:marRight w:val="0"/>
          <w:marTop w:val="0"/>
          <w:marBottom w:val="0"/>
          <w:divBdr>
            <w:top w:val="none" w:sz="0" w:space="0" w:color="auto"/>
            <w:left w:val="none" w:sz="0" w:space="0" w:color="auto"/>
            <w:bottom w:val="none" w:sz="0" w:space="0" w:color="auto"/>
            <w:right w:val="none" w:sz="0" w:space="0" w:color="auto"/>
          </w:divBdr>
        </w:div>
        <w:div w:id="1339962671">
          <w:marLeft w:val="1166"/>
          <w:marRight w:val="0"/>
          <w:marTop w:val="0"/>
          <w:marBottom w:val="0"/>
          <w:divBdr>
            <w:top w:val="none" w:sz="0" w:space="0" w:color="auto"/>
            <w:left w:val="none" w:sz="0" w:space="0" w:color="auto"/>
            <w:bottom w:val="none" w:sz="0" w:space="0" w:color="auto"/>
            <w:right w:val="none" w:sz="0" w:space="0" w:color="auto"/>
          </w:divBdr>
        </w:div>
        <w:div w:id="1805003822">
          <w:marLeft w:val="1166"/>
          <w:marRight w:val="0"/>
          <w:marTop w:val="0"/>
          <w:marBottom w:val="0"/>
          <w:divBdr>
            <w:top w:val="none" w:sz="0" w:space="0" w:color="auto"/>
            <w:left w:val="none" w:sz="0" w:space="0" w:color="auto"/>
            <w:bottom w:val="none" w:sz="0" w:space="0" w:color="auto"/>
            <w:right w:val="none" w:sz="0" w:space="0" w:color="auto"/>
          </w:divBdr>
        </w:div>
        <w:div w:id="104620127">
          <w:marLeft w:val="547"/>
          <w:marRight w:val="0"/>
          <w:marTop w:val="0"/>
          <w:marBottom w:val="0"/>
          <w:divBdr>
            <w:top w:val="none" w:sz="0" w:space="0" w:color="auto"/>
            <w:left w:val="none" w:sz="0" w:space="0" w:color="auto"/>
            <w:bottom w:val="none" w:sz="0" w:space="0" w:color="auto"/>
            <w:right w:val="none" w:sz="0" w:space="0" w:color="auto"/>
          </w:divBdr>
        </w:div>
        <w:div w:id="977950118">
          <w:marLeft w:val="547"/>
          <w:marRight w:val="0"/>
          <w:marTop w:val="0"/>
          <w:marBottom w:val="0"/>
          <w:divBdr>
            <w:top w:val="none" w:sz="0" w:space="0" w:color="auto"/>
            <w:left w:val="none" w:sz="0" w:space="0" w:color="auto"/>
            <w:bottom w:val="none" w:sz="0" w:space="0" w:color="auto"/>
            <w:right w:val="none" w:sz="0" w:space="0" w:color="auto"/>
          </w:divBdr>
        </w:div>
        <w:div w:id="143432106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QuickStyle" Target="diagrams/quickStyle3.xm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10" Type="http://schemas.openxmlformats.org/officeDocument/2006/relationships/footer" Target="footer1.xml"/><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s>
</file>

<file path=word/_rels/footnotes.xml.rels><?xml version="1.0" encoding="UTF-8" standalone="yes"?>
<Relationships xmlns="http://schemas.openxmlformats.org/package/2006/relationships"><Relationship Id="rId1" Type="http://schemas.openxmlformats.org/officeDocument/2006/relationships/hyperlink" Target="http://www.lvu.l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8FA64E-0A80-43AD-8DCB-5F97B6F00D0E}" type="doc">
      <dgm:prSet loTypeId="urn:microsoft.com/office/officeart/2005/8/layout/chevron2" loCatId="list" qsTypeId="urn:microsoft.com/office/officeart/2005/8/quickstyle/simple3" qsCatId="simple" csTypeId="urn:microsoft.com/office/officeart/2005/8/colors/accent1_2" csCatId="accent1" phldr="1"/>
      <dgm:spPr/>
      <dgm:t>
        <a:bodyPr/>
        <a:lstStyle/>
        <a:p>
          <a:endParaRPr lang="en-US"/>
        </a:p>
      </dgm:t>
    </dgm:pt>
    <dgm:pt modelId="{EAB45385-4E9A-4AB6-A89E-06FD0EB78982}">
      <dgm:prSet phldrT="[Text]"/>
      <dgm:spPr>
        <a:effectLst/>
      </dgm:spPr>
      <dgm:t>
        <a:bodyPr/>
        <a:lstStyle/>
        <a:p>
          <a:pPr algn="ctr"/>
          <a:r>
            <a:rPr lang="lt-LT" b="1">
              <a:latin typeface="Tahoma" pitchFamily="34" charset="0"/>
              <a:cs typeface="Tahoma" pitchFamily="34" charset="0"/>
            </a:rPr>
            <a:t>Viešojo sektoriaus rizikos</a:t>
          </a:r>
          <a:endParaRPr lang="en-US" b="1">
            <a:latin typeface="Tahoma" pitchFamily="34" charset="0"/>
            <a:cs typeface="Tahoma" pitchFamily="34" charset="0"/>
          </a:endParaRPr>
        </a:p>
      </dgm:t>
    </dgm:pt>
    <dgm:pt modelId="{12557E21-468F-4B20-A0E8-E2B8709365DB}" type="parTrans" cxnId="{F596890E-BA1A-46A6-BC42-DDD08C33A0A0}">
      <dgm:prSet/>
      <dgm:spPr/>
      <dgm:t>
        <a:bodyPr/>
        <a:lstStyle/>
        <a:p>
          <a:pPr algn="ctr"/>
          <a:endParaRPr lang="en-US"/>
        </a:p>
      </dgm:t>
    </dgm:pt>
    <dgm:pt modelId="{E24A2796-1445-48DD-B0F4-AAE1A8A29173}" type="sibTrans" cxnId="{F596890E-BA1A-46A6-BC42-DDD08C33A0A0}">
      <dgm:prSet/>
      <dgm:spPr/>
      <dgm:t>
        <a:bodyPr/>
        <a:lstStyle/>
        <a:p>
          <a:pPr algn="ctr"/>
          <a:endParaRPr lang="en-US"/>
        </a:p>
      </dgm:t>
    </dgm:pt>
    <dgm:pt modelId="{EFA1253E-FF07-473A-83C3-4BBE2053DF63}">
      <dgm:prSet phldrT="[Text]" custT="1"/>
      <dgm:spPr/>
      <dgm:t>
        <a:bodyPr/>
        <a:lstStyle/>
        <a:p>
          <a:pPr algn="l"/>
          <a:r>
            <a:rPr lang="lt-LT" sz="800">
              <a:latin typeface="Tahoma" pitchFamily="34" charset="0"/>
              <a:cs typeface="Tahoma" pitchFamily="34" charset="0"/>
            </a:rPr>
            <a:t>Diskriminacinė teisinė rizika</a:t>
          </a:r>
          <a:endParaRPr lang="en-US" sz="800">
            <a:latin typeface="Tahoma" pitchFamily="34" charset="0"/>
            <a:cs typeface="Tahoma" pitchFamily="34" charset="0"/>
          </a:endParaRPr>
        </a:p>
      </dgm:t>
    </dgm:pt>
    <dgm:pt modelId="{F5703DD1-212F-487C-B3EF-3B79875DFE95}" type="parTrans" cxnId="{82B240D8-3B6A-4332-ABFF-759561FBC214}">
      <dgm:prSet/>
      <dgm:spPr/>
      <dgm:t>
        <a:bodyPr/>
        <a:lstStyle/>
        <a:p>
          <a:pPr algn="ctr"/>
          <a:endParaRPr lang="en-US"/>
        </a:p>
      </dgm:t>
    </dgm:pt>
    <dgm:pt modelId="{BF13758B-60CF-4D0F-8D74-CBAF37D3C71E}" type="sibTrans" cxnId="{82B240D8-3B6A-4332-ABFF-759561FBC214}">
      <dgm:prSet/>
      <dgm:spPr/>
      <dgm:t>
        <a:bodyPr/>
        <a:lstStyle/>
        <a:p>
          <a:pPr algn="ctr"/>
          <a:endParaRPr lang="en-US"/>
        </a:p>
      </dgm:t>
    </dgm:pt>
    <dgm:pt modelId="{81BB38B8-1575-4938-B759-D06CF4D8B04A}">
      <dgm:prSet phldrT="[Text]" custT="1"/>
      <dgm:spPr/>
      <dgm:t>
        <a:bodyPr/>
        <a:lstStyle/>
        <a:p>
          <a:pPr algn="l"/>
          <a:r>
            <a:rPr lang="lt-LT" sz="800">
              <a:latin typeface="Tahoma" pitchFamily="34" charset="0"/>
              <a:cs typeface="Tahoma" pitchFamily="34" charset="0"/>
            </a:rPr>
            <a:t>Bendrojo plavimo leidimų gavimas</a:t>
          </a:r>
          <a:endParaRPr lang="en-US" sz="800">
            <a:latin typeface="Tahoma" pitchFamily="34" charset="0"/>
            <a:cs typeface="Tahoma" pitchFamily="34" charset="0"/>
          </a:endParaRPr>
        </a:p>
      </dgm:t>
    </dgm:pt>
    <dgm:pt modelId="{B4669716-C4C6-4874-8D3A-14CB60D1983A}" type="parTrans" cxnId="{AC75E996-932A-4E18-B0B0-FB486AA5672B}">
      <dgm:prSet/>
      <dgm:spPr/>
      <dgm:t>
        <a:bodyPr/>
        <a:lstStyle/>
        <a:p>
          <a:pPr algn="ctr"/>
          <a:endParaRPr lang="en-US"/>
        </a:p>
      </dgm:t>
    </dgm:pt>
    <dgm:pt modelId="{01511172-D3CD-44C1-9238-EC6F19BE021A}" type="sibTrans" cxnId="{AC75E996-932A-4E18-B0B0-FB486AA5672B}">
      <dgm:prSet/>
      <dgm:spPr/>
      <dgm:t>
        <a:bodyPr/>
        <a:lstStyle/>
        <a:p>
          <a:pPr algn="ctr"/>
          <a:endParaRPr lang="en-US"/>
        </a:p>
      </dgm:t>
    </dgm:pt>
    <dgm:pt modelId="{2A74E318-C39E-4946-86C5-8CEFB0CA4DF4}">
      <dgm:prSet phldrT="[Text]"/>
      <dgm:spPr>
        <a:effectLst/>
      </dgm:spPr>
      <dgm:t>
        <a:bodyPr/>
        <a:lstStyle/>
        <a:p>
          <a:pPr algn="ctr"/>
          <a:r>
            <a:rPr lang="lt-LT" b="1">
              <a:latin typeface="Tahoma" pitchFamily="34" charset="0"/>
              <a:cs typeface="Tahoma" pitchFamily="34" charset="0"/>
            </a:rPr>
            <a:t>Bendrosios rizikos</a:t>
          </a:r>
          <a:endParaRPr lang="en-US" b="1">
            <a:latin typeface="Tahoma" pitchFamily="34" charset="0"/>
            <a:cs typeface="Tahoma" pitchFamily="34" charset="0"/>
          </a:endParaRPr>
        </a:p>
      </dgm:t>
    </dgm:pt>
    <dgm:pt modelId="{2D4A1F5B-ABAF-4116-BA90-85D2775B0EF1}" type="parTrans" cxnId="{4BD4F94E-22B6-4F35-86DA-9067CE5D8F33}">
      <dgm:prSet/>
      <dgm:spPr/>
      <dgm:t>
        <a:bodyPr/>
        <a:lstStyle/>
        <a:p>
          <a:pPr algn="ctr"/>
          <a:endParaRPr lang="en-US"/>
        </a:p>
      </dgm:t>
    </dgm:pt>
    <dgm:pt modelId="{F7E0B702-7A61-43CA-A365-F824731A8DAC}" type="sibTrans" cxnId="{4BD4F94E-22B6-4F35-86DA-9067CE5D8F33}">
      <dgm:prSet/>
      <dgm:spPr/>
      <dgm:t>
        <a:bodyPr/>
        <a:lstStyle/>
        <a:p>
          <a:pPr algn="ctr"/>
          <a:endParaRPr lang="en-US"/>
        </a:p>
      </dgm:t>
    </dgm:pt>
    <dgm:pt modelId="{979F0E91-CE09-4B5F-8AC3-131AE1CBDC8D}">
      <dgm:prSet phldrT="[Text]" custT="1"/>
      <dgm:spPr/>
      <dgm:t>
        <a:bodyPr/>
        <a:lstStyle/>
        <a:p>
          <a:pPr algn="l"/>
          <a:r>
            <a:rPr lang="en-US" sz="800">
              <a:latin typeface="Tahoma" pitchFamily="34" charset="0"/>
              <a:cs typeface="Tahoma" pitchFamily="34" charset="0"/>
            </a:rPr>
            <a:t>Paklausos (apimties) rizika</a:t>
          </a:r>
        </a:p>
      </dgm:t>
    </dgm:pt>
    <dgm:pt modelId="{AA70E49D-09BF-491E-831D-7B1C242B0BCA}" type="parTrans" cxnId="{0049C565-4D1C-4E8B-8EAA-28F5FFA7AD0B}">
      <dgm:prSet/>
      <dgm:spPr/>
      <dgm:t>
        <a:bodyPr/>
        <a:lstStyle/>
        <a:p>
          <a:pPr algn="ctr"/>
          <a:endParaRPr lang="en-US"/>
        </a:p>
      </dgm:t>
    </dgm:pt>
    <dgm:pt modelId="{7AAD4436-49E8-4E81-9217-22A11B8CE636}" type="sibTrans" cxnId="{0049C565-4D1C-4E8B-8EAA-28F5FFA7AD0B}">
      <dgm:prSet/>
      <dgm:spPr/>
      <dgm:t>
        <a:bodyPr/>
        <a:lstStyle/>
        <a:p>
          <a:pPr algn="ctr"/>
          <a:endParaRPr lang="en-US"/>
        </a:p>
      </dgm:t>
    </dgm:pt>
    <dgm:pt modelId="{B5E4F5CC-4CD1-4B73-8DBD-114EAA6BAE96}">
      <dgm:prSet phldrT="[Text]"/>
      <dgm:spPr>
        <a:effectLst/>
      </dgm:spPr>
      <dgm:t>
        <a:bodyPr/>
        <a:lstStyle/>
        <a:p>
          <a:pPr algn="ctr"/>
          <a:r>
            <a:rPr lang="lt-LT" b="1">
              <a:latin typeface="Tahoma" pitchFamily="34" charset="0"/>
              <a:cs typeface="Tahoma" pitchFamily="34" charset="0"/>
            </a:rPr>
            <a:t>Privataus sektoriaus </a:t>
          </a:r>
          <a:endParaRPr lang="en-US" b="1">
            <a:latin typeface="Tahoma" pitchFamily="34" charset="0"/>
            <a:cs typeface="Tahoma" pitchFamily="34" charset="0"/>
          </a:endParaRPr>
        </a:p>
        <a:p>
          <a:pPr algn="ctr"/>
          <a:r>
            <a:rPr lang="lt-LT" b="1">
              <a:latin typeface="Tahoma" pitchFamily="34" charset="0"/>
              <a:cs typeface="Tahoma" pitchFamily="34" charset="0"/>
            </a:rPr>
            <a:t>rizikos</a:t>
          </a:r>
          <a:endParaRPr lang="en-US" b="1">
            <a:latin typeface="Tahoma" pitchFamily="34" charset="0"/>
            <a:cs typeface="Tahoma" pitchFamily="34" charset="0"/>
          </a:endParaRPr>
        </a:p>
      </dgm:t>
    </dgm:pt>
    <dgm:pt modelId="{F1DEDC73-021D-45BF-86EA-123C7277C315}" type="parTrans" cxnId="{0D6FFAB4-825A-402D-8B73-3EB9B05853E2}">
      <dgm:prSet/>
      <dgm:spPr/>
      <dgm:t>
        <a:bodyPr/>
        <a:lstStyle/>
        <a:p>
          <a:pPr algn="ctr"/>
          <a:endParaRPr lang="en-US"/>
        </a:p>
      </dgm:t>
    </dgm:pt>
    <dgm:pt modelId="{712F10FB-7859-4A94-9B01-034FFFDE14DB}" type="sibTrans" cxnId="{0D6FFAB4-825A-402D-8B73-3EB9B05853E2}">
      <dgm:prSet/>
      <dgm:spPr/>
      <dgm:t>
        <a:bodyPr/>
        <a:lstStyle/>
        <a:p>
          <a:pPr algn="ctr"/>
          <a:endParaRPr lang="en-US"/>
        </a:p>
      </dgm:t>
    </dgm:pt>
    <dgm:pt modelId="{2BCE13A4-0755-4655-9D71-27BB19674A57}">
      <dgm:prSet phldrT="[Text]" custT="1"/>
      <dgm:spPr/>
      <dgm:t>
        <a:bodyPr/>
        <a:lstStyle/>
        <a:p>
          <a:pPr algn="l"/>
          <a:r>
            <a:rPr lang="en-US" sz="600">
              <a:latin typeface="Tahoma" pitchFamily="34" charset="0"/>
              <a:cs typeface="Tahoma" pitchFamily="34" charset="0"/>
            </a:rPr>
            <a:t>Detalaus planavimo leidim</a:t>
          </a:r>
          <a:r>
            <a:rPr lang="lt-LT" sz="600">
              <a:latin typeface="Tahoma" pitchFamily="34" charset="0"/>
              <a:cs typeface="Tahoma" pitchFamily="34" charset="0"/>
            </a:rPr>
            <a:t>ų </a:t>
          </a:r>
          <a:r>
            <a:rPr lang="en-US" sz="600">
              <a:latin typeface="Tahoma" pitchFamily="34" charset="0"/>
              <a:cs typeface="Tahoma" pitchFamily="34" charset="0"/>
            </a:rPr>
            <a:t>gavimas</a:t>
          </a:r>
        </a:p>
      </dgm:t>
    </dgm:pt>
    <dgm:pt modelId="{A113A6AD-5A97-4E63-9857-5CA4076F1F8A}" type="parTrans" cxnId="{BF46B12A-CA64-4F25-9269-EF11BB7E6932}">
      <dgm:prSet/>
      <dgm:spPr/>
      <dgm:t>
        <a:bodyPr/>
        <a:lstStyle/>
        <a:p>
          <a:pPr algn="ctr"/>
          <a:endParaRPr lang="en-US"/>
        </a:p>
      </dgm:t>
    </dgm:pt>
    <dgm:pt modelId="{B7E51641-4F50-49D1-899D-96784F23B15B}" type="sibTrans" cxnId="{BF46B12A-CA64-4F25-9269-EF11BB7E6932}">
      <dgm:prSet/>
      <dgm:spPr/>
      <dgm:t>
        <a:bodyPr/>
        <a:lstStyle/>
        <a:p>
          <a:pPr algn="ctr"/>
          <a:endParaRPr lang="en-US"/>
        </a:p>
      </dgm:t>
    </dgm:pt>
    <dgm:pt modelId="{CACFDE06-8228-49DF-93F6-E62EFF85B12D}">
      <dgm:prSet phldrT="[Text]" custT="1"/>
      <dgm:spPr/>
      <dgm:t>
        <a:bodyPr/>
        <a:lstStyle/>
        <a:p>
          <a:pPr algn="l"/>
          <a:r>
            <a:rPr lang="lt-LT" sz="800">
              <a:latin typeface="Tahoma" pitchFamily="34" charset="0"/>
              <a:cs typeface="Tahoma" pitchFamily="34" charset="0"/>
            </a:rPr>
            <a:t>Vykdomos veiklos standartų nustatymas</a:t>
          </a:r>
          <a:endParaRPr lang="en-US" sz="800">
            <a:latin typeface="Tahoma" pitchFamily="34" charset="0"/>
            <a:cs typeface="Tahoma" pitchFamily="34" charset="0"/>
          </a:endParaRPr>
        </a:p>
      </dgm:t>
    </dgm:pt>
    <dgm:pt modelId="{894F85F8-35CE-43C7-BE81-762F5A699433}" type="parTrans" cxnId="{9CF45E88-A9C1-46AA-AC9B-C6429F30F5E9}">
      <dgm:prSet/>
      <dgm:spPr/>
      <dgm:t>
        <a:bodyPr/>
        <a:lstStyle/>
        <a:p>
          <a:pPr algn="ctr"/>
          <a:endParaRPr lang="en-US"/>
        </a:p>
      </dgm:t>
    </dgm:pt>
    <dgm:pt modelId="{90214C49-00E0-459E-B99A-C4E1F251F48E}" type="sibTrans" cxnId="{9CF45E88-A9C1-46AA-AC9B-C6429F30F5E9}">
      <dgm:prSet/>
      <dgm:spPr/>
      <dgm:t>
        <a:bodyPr/>
        <a:lstStyle/>
        <a:p>
          <a:pPr algn="ctr"/>
          <a:endParaRPr lang="en-US"/>
        </a:p>
      </dgm:t>
    </dgm:pt>
    <dgm:pt modelId="{0E253B5B-DE85-4E69-806C-00D9BCA6BFB2}">
      <dgm:prSet phldrT="[Text]" custT="1"/>
      <dgm:spPr/>
      <dgm:t>
        <a:bodyPr/>
        <a:lstStyle/>
        <a:p>
          <a:pPr algn="l"/>
          <a:r>
            <a:rPr lang="en-US" sz="800">
              <a:latin typeface="Tahoma" pitchFamily="34" charset="0"/>
              <a:cs typeface="Tahoma" pitchFamily="34" charset="0"/>
            </a:rPr>
            <a:t>Infliacijos rizika</a:t>
          </a:r>
        </a:p>
      </dgm:t>
    </dgm:pt>
    <dgm:pt modelId="{921196AE-6FBA-4C19-A617-E90E877501C4}" type="parTrans" cxnId="{8D20C1B1-965E-44B5-BE78-548524C670F3}">
      <dgm:prSet/>
      <dgm:spPr/>
      <dgm:t>
        <a:bodyPr/>
        <a:lstStyle/>
        <a:p>
          <a:pPr algn="ctr"/>
          <a:endParaRPr lang="en-US"/>
        </a:p>
      </dgm:t>
    </dgm:pt>
    <dgm:pt modelId="{4ED1D998-1B65-458D-BD7B-F45F035D205C}" type="sibTrans" cxnId="{8D20C1B1-965E-44B5-BE78-548524C670F3}">
      <dgm:prSet/>
      <dgm:spPr/>
      <dgm:t>
        <a:bodyPr/>
        <a:lstStyle/>
        <a:p>
          <a:pPr algn="ctr"/>
          <a:endParaRPr lang="en-US"/>
        </a:p>
      </dgm:t>
    </dgm:pt>
    <dgm:pt modelId="{30E7037F-8C68-4C2F-8852-A009C28456C7}">
      <dgm:prSet phldrT="[Text]" custT="1"/>
      <dgm:spPr/>
      <dgm:t>
        <a:bodyPr/>
        <a:lstStyle/>
        <a:p>
          <a:pPr algn="l"/>
          <a:r>
            <a:rPr lang="lt-LT" sz="800">
              <a:latin typeface="Tahoma" pitchFamily="34" charset="0"/>
              <a:cs typeface="Tahoma" pitchFamily="34" charset="0"/>
            </a:rPr>
            <a:t>Bendra teisinė rizika</a:t>
          </a:r>
          <a:endParaRPr lang="en-US" sz="800">
            <a:latin typeface="Tahoma" pitchFamily="34" charset="0"/>
            <a:cs typeface="Tahoma" pitchFamily="34" charset="0"/>
          </a:endParaRPr>
        </a:p>
      </dgm:t>
    </dgm:pt>
    <dgm:pt modelId="{5635BBBD-6D4C-441F-A57A-B0FA535E9DFA}" type="parTrans" cxnId="{9651AFEA-96B1-43F9-B56C-CDCD2D8DD6C7}">
      <dgm:prSet/>
      <dgm:spPr/>
      <dgm:t>
        <a:bodyPr/>
        <a:lstStyle/>
        <a:p>
          <a:pPr algn="ctr"/>
          <a:endParaRPr lang="en-US"/>
        </a:p>
      </dgm:t>
    </dgm:pt>
    <dgm:pt modelId="{1A052735-C6B6-4AD9-A09F-B65B2A7F5FD7}" type="sibTrans" cxnId="{9651AFEA-96B1-43F9-B56C-CDCD2D8DD6C7}">
      <dgm:prSet/>
      <dgm:spPr/>
      <dgm:t>
        <a:bodyPr/>
        <a:lstStyle/>
        <a:p>
          <a:pPr algn="ctr"/>
          <a:endParaRPr lang="en-US"/>
        </a:p>
      </dgm:t>
    </dgm:pt>
    <dgm:pt modelId="{AAD54F15-884D-4E98-8265-E36CFCA2802F}">
      <dgm:prSet phldrT="[Text]" custT="1"/>
      <dgm:spPr/>
      <dgm:t>
        <a:bodyPr/>
        <a:lstStyle/>
        <a:p>
          <a:pPr algn="l"/>
          <a:r>
            <a:rPr lang="lt-LT" sz="800">
              <a:latin typeface="Tahoma" pitchFamily="34" charset="0"/>
              <a:cs typeface="Tahoma" pitchFamily="34" charset="0"/>
            </a:rPr>
            <a:t>Neįveikiamos aplinkybės (</a:t>
          </a:r>
          <a:r>
            <a:rPr lang="lt-LT" sz="800" i="1">
              <a:latin typeface="Tahoma" pitchFamily="34" charset="0"/>
              <a:cs typeface="Tahoma" pitchFamily="34" charset="0"/>
            </a:rPr>
            <a:t>pranc. force majeure</a:t>
          </a:r>
          <a:r>
            <a:rPr lang="lt-LT" sz="800">
              <a:latin typeface="Tahoma" pitchFamily="34" charset="0"/>
              <a:cs typeface="Tahoma" pitchFamily="34" charset="0"/>
            </a:rPr>
            <a:t>)</a:t>
          </a:r>
          <a:endParaRPr lang="en-US" sz="800">
            <a:latin typeface="Tahoma" pitchFamily="34" charset="0"/>
            <a:cs typeface="Tahoma" pitchFamily="34" charset="0"/>
          </a:endParaRPr>
        </a:p>
      </dgm:t>
    </dgm:pt>
    <dgm:pt modelId="{EF891796-8FF8-4A44-B2C7-4E4EF8A5817D}" type="parTrans" cxnId="{CCD32D1C-0B04-47C1-B741-F08F8E2630BF}">
      <dgm:prSet/>
      <dgm:spPr/>
      <dgm:t>
        <a:bodyPr/>
        <a:lstStyle/>
        <a:p>
          <a:pPr algn="ctr"/>
          <a:endParaRPr lang="en-US"/>
        </a:p>
      </dgm:t>
    </dgm:pt>
    <dgm:pt modelId="{5E4D3ADA-70CB-44B3-B432-23B61476F38C}" type="sibTrans" cxnId="{CCD32D1C-0B04-47C1-B741-F08F8E2630BF}">
      <dgm:prSet/>
      <dgm:spPr/>
      <dgm:t>
        <a:bodyPr/>
        <a:lstStyle/>
        <a:p>
          <a:pPr algn="ctr"/>
          <a:endParaRPr lang="en-US"/>
        </a:p>
      </dgm:t>
    </dgm:pt>
    <dgm:pt modelId="{E7AAF84D-3EE1-47F0-944B-2E2B3B752155}">
      <dgm:prSet phldrT="[Text]" custT="1"/>
      <dgm:spPr/>
      <dgm:t>
        <a:bodyPr/>
        <a:lstStyle/>
        <a:p>
          <a:pPr algn="l"/>
          <a:r>
            <a:rPr lang="lt-LT" sz="600">
              <a:latin typeface="Tahoma" pitchFamily="34" charset="0"/>
              <a:cs typeface="Tahoma" pitchFamily="34" charset="0"/>
            </a:rPr>
            <a:t>Projektavimas</a:t>
          </a:r>
          <a:endParaRPr lang="en-US" sz="600">
            <a:latin typeface="Tahoma" pitchFamily="34" charset="0"/>
            <a:cs typeface="Tahoma" pitchFamily="34" charset="0"/>
          </a:endParaRPr>
        </a:p>
      </dgm:t>
    </dgm:pt>
    <dgm:pt modelId="{98F69DA7-2C9F-4972-9D80-EC03A8561957}" type="parTrans" cxnId="{22FA2B2C-D1E7-4865-A209-45F185119D8D}">
      <dgm:prSet/>
      <dgm:spPr/>
      <dgm:t>
        <a:bodyPr/>
        <a:lstStyle/>
        <a:p>
          <a:pPr algn="ctr"/>
          <a:endParaRPr lang="en-US"/>
        </a:p>
      </dgm:t>
    </dgm:pt>
    <dgm:pt modelId="{AC2BAEF8-9724-41B8-A28B-E3C008A4C995}" type="sibTrans" cxnId="{22FA2B2C-D1E7-4865-A209-45F185119D8D}">
      <dgm:prSet/>
      <dgm:spPr/>
      <dgm:t>
        <a:bodyPr/>
        <a:lstStyle/>
        <a:p>
          <a:pPr algn="ctr"/>
          <a:endParaRPr lang="en-US"/>
        </a:p>
      </dgm:t>
    </dgm:pt>
    <dgm:pt modelId="{6093A719-7C29-4B64-9B40-8C50CE3E8B86}">
      <dgm:prSet phldrT="[Text]" custT="1"/>
      <dgm:spPr/>
      <dgm:t>
        <a:bodyPr/>
        <a:lstStyle/>
        <a:p>
          <a:pPr algn="l"/>
          <a:r>
            <a:rPr lang="lt-LT" sz="600">
              <a:latin typeface="Tahoma" pitchFamily="34" charset="0"/>
              <a:cs typeface="Tahoma" pitchFamily="34" charset="0"/>
            </a:rPr>
            <a:t>Kūrimas</a:t>
          </a:r>
          <a:endParaRPr lang="en-US" sz="600">
            <a:latin typeface="Tahoma" pitchFamily="34" charset="0"/>
            <a:cs typeface="Tahoma" pitchFamily="34" charset="0"/>
          </a:endParaRPr>
        </a:p>
      </dgm:t>
    </dgm:pt>
    <dgm:pt modelId="{7BED087B-4FF2-43DD-8D62-2F7D7ACFF513}" type="parTrans" cxnId="{39732005-7CA8-4B89-B7B8-3053993EA4F9}">
      <dgm:prSet/>
      <dgm:spPr/>
      <dgm:t>
        <a:bodyPr/>
        <a:lstStyle/>
        <a:p>
          <a:pPr algn="ctr"/>
          <a:endParaRPr lang="en-US"/>
        </a:p>
      </dgm:t>
    </dgm:pt>
    <dgm:pt modelId="{57424615-A47F-42C4-95E3-D50A794AF0CB}" type="sibTrans" cxnId="{39732005-7CA8-4B89-B7B8-3053993EA4F9}">
      <dgm:prSet/>
      <dgm:spPr/>
      <dgm:t>
        <a:bodyPr/>
        <a:lstStyle/>
        <a:p>
          <a:pPr algn="ctr"/>
          <a:endParaRPr lang="en-US"/>
        </a:p>
      </dgm:t>
    </dgm:pt>
    <dgm:pt modelId="{019C7848-463F-456F-87E1-B18319CFF432}">
      <dgm:prSet phldrT="[Text]" custT="1"/>
      <dgm:spPr/>
      <dgm:t>
        <a:bodyPr/>
        <a:lstStyle/>
        <a:p>
          <a:pPr algn="l"/>
          <a:r>
            <a:rPr lang="lt-LT" sz="600">
              <a:latin typeface="Tahoma" pitchFamily="34" charset="0"/>
              <a:cs typeface="Tahoma" pitchFamily="34" charset="0"/>
            </a:rPr>
            <a:t>Atidavimas eksploatuoti</a:t>
          </a:r>
          <a:endParaRPr lang="en-US" sz="600">
            <a:latin typeface="Tahoma" pitchFamily="34" charset="0"/>
            <a:cs typeface="Tahoma" pitchFamily="34" charset="0"/>
          </a:endParaRPr>
        </a:p>
      </dgm:t>
    </dgm:pt>
    <dgm:pt modelId="{E9D85F3C-962A-421D-A048-DC70E9FF0225}" type="parTrans" cxnId="{4B6585DE-B32A-42BB-A122-D5B55C15D6D3}">
      <dgm:prSet/>
      <dgm:spPr/>
      <dgm:t>
        <a:bodyPr/>
        <a:lstStyle/>
        <a:p>
          <a:pPr algn="ctr"/>
          <a:endParaRPr lang="en-US"/>
        </a:p>
      </dgm:t>
    </dgm:pt>
    <dgm:pt modelId="{D91D5E63-E488-4498-8740-56931D79E54A}" type="sibTrans" cxnId="{4B6585DE-B32A-42BB-A122-D5B55C15D6D3}">
      <dgm:prSet/>
      <dgm:spPr/>
      <dgm:t>
        <a:bodyPr/>
        <a:lstStyle/>
        <a:p>
          <a:pPr algn="ctr"/>
          <a:endParaRPr lang="en-US"/>
        </a:p>
      </dgm:t>
    </dgm:pt>
    <dgm:pt modelId="{135944CA-28E4-49F8-9E66-0460938637A2}">
      <dgm:prSet phldrT="[Text]" custT="1"/>
      <dgm:spPr/>
      <dgm:t>
        <a:bodyPr/>
        <a:lstStyle/>
        <a:p>
          <a:pPr algn="l"/>
          <a:r>
            <a:rPr lang="lt-LT" sz="600">
              <a:latin typeface="Tahoma" pitchFamily="34" charset="0"/>
              <a:cs typeface="Tahoma" pitchFamily="34" charset="0"/>
            </a:rPr>
            <a:t>Vykdoma veikla</a:t>
          </a:r>
          <a:endParaRPr lang="en-US" sz="600">
            <a:latin typeface="Tahoma" pitchFamily="34" charset="0"/>
            <a:cs typeface="Tahoma" pitchFamily="34" charset="0"/>
          </a:endParaRPr>
        </a:p>
      </dgm:t>
    </dgm:pt>
    <dgm:pt modelId="{43803776-5715-4A7E-8202-14490ADAC029}" type="parTrans" cxnId="{FAE326C0-FA56-479D-BFF0-B83458C4EF1B}">
      <dgm:prSet/>
      <dgm:spPr/>
      <dgm:t>
        <a:bodyPr/>
        <a:lstStyle/>
        <a:p>
          <a:pPr algn="ctr"/>
          <a:endParaRPr lang="en-US"/>
        </a:p>
      </dgm:t>
    </dgm:pt>
    <dgm:pt modelId="{213FFC4C-E803-45DB-92C0-FB6D514F1A89}" type="sibTrans" cxnId="{FAE326C0-FA56-479D-BFF0-B83458C4EF1B}">
      <dgm:prSet/>
      <dgm:spPr/>
      <dgm:t>
        <a:bodyPr/>
        <a:lstStyle/>
        <a:p>
          <a:pPr algn="ctr"/>
          <a:endParaRPr lang="en-US"/>
        </a:p>
      </dgm:t>
    </dgm:pt>
    <dgm:pt modelId="{542CD623-8BC9-4A64-8695-BA32238D0BDE}">
      <dgm:prSet phldrT="[Text]" custT="1"/>
      <dgm:spPr/>
      <dgm:t>
        <a:bodyPr/>
        <a:lstStyle/>
        <a:p>
          <a:pPr algn="l"/>
          <a:r>
            <a:rPr lang="lt-LT" sz="600">
              <a:latin typeface="Tahoma" pitchFamily="34" charset="0"/>
              <a:cs typeface="Tahoma" pitchFamily="34" charset="0"/>
            </a:rPr>
            <a:t>Projekto finansavimas</a:t>
          </a:r>
          <a:endParaRPr lang="en-US" sz="600">
            <a:latin typeface="Tahoma" pitchFamily="34" charset="0"/>
            <a:cs typeface="Tahoma" pitchFamily="34" charset="0"/>
          </a:endParaRPr>
        </a:p>
      </dgm:t>
    </dgm:pt>
    <dgm:pt modelId="{91E45F78-29C2-4048-828A-34592EBE824F}" type="parTrans" cxnId="{D7BB7290-DCB6-4D0D-81E8-E1DAEAE5AC51}">
      <dgm:prSet/>
      <dgm:spPr/>
      <dgm:t>
        <a:bodyPr/>
        <a:lstStyle/>
        <a:p>
          <a:pPr algn="ctr"/>
          <a:endParaRPr lang="en-US"/>
        </a:p>
      </dgm:t>
    </dgm:pt>
    <dgm:pt modelId="{70836A0A-6F1F-40BC-8B4B-FD716432961E}" type="sibTrans" cxnId="{D7BB7290-DCB6-4D0D-81E8-E1DAEAE5AC51}">
      <dgm:prSet/>
      <dgm:spPr/>
      <dgm:t>
        <a:bodyPr/>
        <a:lstStyle/>
        <a:p>
          <a:pPr algn="ctr"/>
          <a:endParaRPr lang="en-US"/>
        </a:p>
      </dgm:t>
    </dgm:pt>
    <dgm:pt modelId="{8B493640-CA7F-4137-A5F3-BB4CCA136EDD}">
      <dgm:prSet phldrT="[Text]" custT="1"/>
      <dgm:spPr/>
      <dgm:t>
        <a:bodyPr/>
        <a:lstStyle/>
        <a:p>
          <a:pPr algn="l"/>
          <a:r>
            <a:rPr lang="lt-LT" sz="600">
              <a:latin typeface="Tahoma" pitchFamily="34" charset="0"/>
              <a:cs typeface="Tahoma" pitchFamily="34" charset="0"/>
            </a:rPr>
            <a:t>Technologijos ir moralinis nusidėvėjimas</a:t>
          </a:r>
          <a:endParaRPr lang="en-US" sz="600">
            <a:latin typeface="Tahoma" pitchFamily="34" charset="0"/>
            <a:cs typeface="Tahoma" pitchFamily="34" charset="0"/>
          </a:endParaRPr>
        </a:p>
      </dgm:t>
    </dgm:pt>
    <dgm:pt modelId="{98B365CC-7AD3-49BF-B716-8E2C7CB40A33}" type="parTrans" cxnId="{CC728FAD-56D6-4F7F-8478-00A63FCB1434}">
      <dgm:prSet/>
      <dgm:spPr/>
      <dgm:t>
        <a:bodyPr/>
        <a:lstStyle/>
        <a:p>
          <a:pPr algn="ctr"/>
          <a:endParaRPr lang="en-US"/>
        </a:p>
      </dgm:t>
    </dgm:pt>
    <dgm:pt modelId="{5CF3C094-966F-420D-BB22-848CB600788D}" type="sibTrans" cxnId="{CC728FAD-56D6-4F7F-8478-00A63FCB1434}">
      <dgm:prSet/>
      <dgm:spPr/>
      <dgm:t>
        <a:bodyPr/>
        <a:lstStyle/>
        <a:p>
          <a:pPr algn="ctr"/>
          <a:endParaRPr lang="en-US"/>
        </a:p>
      </dgm:t>
    </dgm:pt>
    <dgm:pt modelId="{6C6AE200-08AD-4C83-814B-8CA6DB9B91C3}" type="pres">
      <dgm:prSet presAssocID="{858FA64E-0A80-43AD-8DCB-5F97B6F00D0E}" presName="linearFlow" presStyleCnt="0">
        <dgm:presLayoutVars>
          <dgm:dir/>
          <dgm:animLvl val="lvl"/>
          <dgm:resizeHandles val="exact"/>
        </dgm:presLayoutVars>
      </dgm:prSet>
      <dgm:spPr/>
      <dgm:t>
        <a:bodyPr/>
        <a:lstStyle/>
        <a:p>
          <a:endParaRPr lang="en-US"/>
        </a:p>
      </dgm:t>
    </dgm:pt>
    <dgm:pt modelId="{C6DB754D-3FCF-4361-A2BB-53894B330A2E}" type="pres">
      <dgm:prSet presAssocID="{EAB45385-4E9A-4AB6-A89E-06FD0EB78982}" presName="composite" presStyleCnt="0"/>
      <dgm:spPr/>
    </dgm:pt>
    <dgm:pt modelId="{3434A93D-EBA5-4B0B-8469-CA4771F02FCE}" type="pres">
      <dgm:prSet presAssocID="{EAB45385-4E9A-4AB6-A89E-06FD0EB78982}" presName="parentText" presStyleLbl="alignNode1" presStyleIdx="0" presStyleCnt="3">
        <dgm:presLayoutVars>
          <dgm:chMax val="1"/>
          <dgm:bulletEnabled val="1"/>
        </dgm:presLayoutVars>
      </dgm:prSet>
      <dgm:spPr/>
      <dgm:t>
        <a:bodyPr/>
        <a:lstStyle/>
        <a:p>
          <a:endParaRPr lang="en-US"/>
        </a:p>
      </dgm:t>
    </dgm:pt>
    <dgm:pt modelId="{2B62B66C-0596-42D6-870E-84B22C74AA4E}" type="pres">
      <dgm:prSet presAssocID="{EAB45385-4E9A-4AB6-A89E-06FD0EB78982}" presName="descendantText" presStyleLbl="alignAcc1" presStyleIdx="0" presStyleCnt="3" custScaleY="100000">
        <dgm:presLayoutVars>
          <dgm:bulletEnabled val="1"/>
        </dgm:presLayoutVars>
      </dgm:prSet>
      <dgm:spPr/>
      <dgm:t>
        <a:bodyPr/>
        <a:lstStyle/>
        <a:p>
          <a:endParaRPr lang="en-US"/>
        </a:p>
      </dgm:t>
    </dgm:pt>
    <dgm:pt modelId="{FBD1B7DD-3CD9-4175-B474-9F6A8650316D}" type="pres">
      <dgm:prSet presAssocID="{E24A2796-1445-48DD-B0F4-AAE1A8A29173}" presName="sp" presStyleCnt="0"/>
      <dgm:spPr/>
    </dgm:pt>
    <dgm:pt modelId="{4DF5555D-E6AB-45CD-85D6-53CEAB471163}" type="pres">
      <dgm:prSet presAssocID="{2A74E318-C39E-4946-86C5-8CEFB0CA4DF4}" presName="composite" presStyleCnt="0"/>
      <dgm:spPr/>
    </dgm:pt>
    <dgm:pt modelId="{AF889C1C-B335-43FD-B1CA-E71677E34D70}" type="pres">
      <dgm:prSet presAssocID="{2A74E318-C39E-4946-86C5-8CEFB0CA4DF4}" presName="parentText" presStyleLbl="alignNode1" presStyleIdx="1" presStyleCnt="3">
        <dgm:presLayoutVars>
          <dgm:chMax val="1"/>
          <dgm:bulletEnabled val="1"/>
        </dgm:presLayoutVars>
      </dgm:prSet>
      <dgm:spPr/>
      <dgm:t>
        <a:bodyPr/>
        <a:lstStyle/>
        <a:p>
          <a:endParaRPr lang="en-US"/>
        </a:p>
      </dgm:t>
    </dgm:pt>
    <dgm:pt modelId="{91D2B603-27AE-4E03-846F-5AF3E94D40B1}" type="pres">
      <dgm:prSet presAssocID="{2A74E318-C39E-4946-86C5-8CEFB0CA4DF4}" presName="descendantText" presStyleLbl="alignAcc1" presStyleIdx="1" presStyleCnt="3">
        <dgm:presLayoutVars>
          <dgm:bulletEnabled val="1"/>
        </dgm:presLayoutVars>
      </dgm:prSet>
      <dgm:spPr/>
      <dgm:t>
        <a:bodyPr/>
        <a:lstStyle/>
        <a:p>
          <a:endParaRPr lang="en-US"/>
        </a:p>
      </dgm:t>
    </dgm:pt>
    <dgm:pt modelId="{B2CD9590-18E8-4D45-A173-A3BE9D2373C7}" type="pres">
      <dgm:prSet presAssocID="{F7E0B702-7A61-43CA-A365-F824731A8DAC}" presName="sp" presStyleCnt="0"/>
      <dgm:spPr/>
    </dgm:pt>
    <dgm:pt modelId="{44324FC6-81B5-42D0-93A2-C474E7483FC0}" type="pres">
      <dgm:prSet presAssocID="{B5E4F5CC-4CD1-4B73-8DBD-114EAA6BAE96}" presName="composite" presStyleCnt="0"/>
      <dgm:spPr/>
    </dgm:pt>
    <dgm:pt modelId="{97B7DFEA-AB7D-45D5-A004-7D802E5DF231}" type="pres">
      <dgm:prSet presAssocID="{B5E4F5CC-4CD1-4B73-8DBD-114EAA6BAE96}" presName="parentText" presStyleLbl="alignNode1" presStyleIdx="2" presStyleCnt="3">
        <dgm:presLayoutVars>
          <dgm:chMax val="1"/>
          <dgm:bulletEnabled val="1"/>
        </dgm:presLayoutVars>
      </dgm:prSet>
      <dgm:spPr/>
      <dgm:t>
        <a:bodyPr/>
        <a:lstStyle/>
        <a:p>
          <a:endParaRPr lang="en-US"/>
        </a:p>
      </dgm:t>
    </dgm:pt>
    <dgm:pt modelId="{383D1480-C425-4DF2-8B52-2A2479AACDF1}" type="pres">
      <dgm:prSet presAssocID="{B5E4F5CC-4CD1-4B73-8DBD-114EAA6BAE96}" presName="descendantText" presStyleLbl="alignAcc1" presStyleIdx="2" presStyleCnt="3">
        <dgm:presLayoutVars>
          <dgm:bulletEnabled val="1"/>
        </dgm:presLayoutVars>
      </dgm:prSet>
      <dgm:spPr/>
      <dgm:t>
        <a:bodyPr/>
        <a:lstStyle/>
        <a:p>
          <a:endParaRPr lang="en-US"/>
        </a:p>
      </dgm:t>
    </dgm:pt>
  </dgm:ptLst>
  <dgm:cxnLst>
    <dgm:cxn modelId="{8D20C1B1-965E-44B5-BE78-548524C670F3}" srcId="{2A74E318-C39E-4946-86C5-8CEFB0CA4DF4}" destId="{0E253B5B-DE85-4E69-806C-00D9BCA6BFB2}" srcOrd="1" destOrd="0" parTransId="{921196AE-6FBA-4C19-A617-E90E877501C4}" sibTransId="{4ED1D998-1B65-458D-BD7B-F45F035D205C}"/>
    <dgm:cxn modelId="{0D6FFAB4-825A-402D-8B73-3EB9B05853E2}" srcId="{858FA64E-0A80-43AD-8DCB-5F97B6F00D0E}" destId="{B5E4F5CC-4CD1-4B73-8DBD-114EAA6BAE96}" srcOrd="2" destOrd="0" parTransId="{F1DEDC73-021D-45BF-86EA-123C7277C315}" sibTransId="{712F10FB-7859-4A94-9B01-034FFFDE14DB}"/>
    <dgm:cxn modelId="{4B6585DE-B32A-42BB-A122-D5B55C15D6D3}" srcId="{B5E4F5CC-4CD1-4B73-8DBD-114EAA6BAE96}" destId="{019C7848-463F-456F-87E1-B18319CFF432}" srcOrd="3" destOrd="0" parTransId="{E9D85F3C-962A-421D-A048-DC70E9FF0225}" sibTransId="{D91D5E63-E488-4498-8740-56931D79E54A}"/>
    <dgm:cxn modelId="{AC6401A3-5D92-4A52-AB5F-87494069CDDB}" type="presOf" srcId="{EAB45385-4E9A-4AB6-A89E-06FD0EB78982}" destId="{3434A93D-EBA5-4B0B-8469-CA4771F02FCE}" srcOrd="0" destOrd="0" presId="urn:microsoft.com/office/officeart/2005/8/layout/chevron2"/>
    <dgm:cxn modelId="{C3855D82-59C4-402F-A19A-7D4469FF68EA}" type="presOf" srcId="{E7AAF84D-3EE1-47F0-944B-2E2B3B752155}" destId="{383D1480-C425-4DF2-8B52-2A2479AACDF1}" srcOrd="0" destOrd="1" presId="urn:microsoft.com/office/officeart/2005/8/layout/chevron2"/>
    <dgm:cxn modelId="{AF9300A4-1F60-44B3-914B-65A95BB23593}" type="presOf" srcId="{EFA1253E-FF07-473A-83C3-4BBE2053DF63}" destId="{2B62B66C-0596-42D6-870E-84B22C74AA4E}" srcOrd="0" destOrd="0" presId="urn:microsoft.com/office/officeart/2005/8/layout/chevron2"/>
    <dgm:cxn modelId="{2172D648-4E15-41E5-BD08-68AD4A020B10}" type="presOf" srcId="{CACFDE06-8228-49DF-93F6-E62EFF85B12D}" destId="{2B62B66C-0596-42D6-870E-84B22C74AA4E}" srcOrd="0" destOrd="2" presId="urn:microsoft.com/office/officeart/2005/8/layout/chevron2"/>
    <dgm:cxn modelId="{82B240D8-3B6A-4332-ABFF-759561FBC214}" srcId="{EAB45385-4E9A-4AB6-A89E-06FD0EB78982}" destId="{EFA1253E-FF07-473A-83C3-4BBE2053DF63}" srcOrd="0" destOrd="0" parTransId="{F5703DD1-212F-487C-B3EF-3B79875DFE95}" sibTransId="{BF13758B-60CF-4D0F-8D74-CBAF37D3C71E}"/>
    <dgm:cxn modelId="{CCD32D1C-0B04-47C1-B741-F08F8E2630BF}" srcId="{2A74E318-C39E-4946-86C5-8CEFB0CA4DF4}" destId="{AAD54F15-884D-4E98-8265-E36CFCA2802F}" srcOrd="3" destOrd="0" parTransId="{EF891796-8FF8-4A44-B2C7-4E4EF8A5817D}" sibTransId="{5E4D3ADA-70CB-44B3-B432-23B61476F38C}"/>
    <dgm:cxn modelId="{9DD71305-F1A0-4978-8EC6-C434BD31F956}" type="presOf" srcId="{135944CA-28E4-49F8-9E66-0460938637A2}" destId="{383D1480-C425-4DF2-8B52-2A2479AACDF1}" srcOrd="0" destOrd="4" presId="urn:microsoft.com/office/officeart/2005/8/layout/chevron2"/>
    <dgm:cxn modelId="{CC728FAD-56D6-4F7F-8478-00A63FCB1434}" srcId="{B5E4F5CC-4CD1-4B73-8DBD-114EAA6BAE96}" destId="{8B493640-CA7F-4137-A5F3-BB4CCA136EDD}" srcOrd="6" destOrd="0" parTransId="{98B365CC-7AD3-49BF-B716-8E2C7CB40A33}" sibTransId="{5CF3C094-966F-420D-BB22-848CB600788D}"/>
    <dgm:cxn modelId="{E7FB96A2-0852-49E0-B9DA-49BCF9FF72D6}" type="presOf" srcId="{B5E4F5CC-4CD1-4B73-8DBD-114EAA6BAE96}" destId="{97B7DFEA-AB7D-45D5-A004-7D802E5DF231}" srcOrd="0" destOrd="0" presId="urn:microsoft.com/office/officeart/2005/8/layout/chevron2"/>
    <dgm:cxn modelId="{4EF49D24-EC50-4927-8BE2-48E0603FB5EC}" type="presOf" srcId="{019C7848-463F-456F-87E1-B18319CFF432}" destId="{383D1480-C425-4DF2-8B52-2A2479AACDF1}" srcOrd="0" destOrd="3" presId="urn:microsoft.com/office/officeart/2005/8/layout/chevron2"/>
    <dgm:cxn modelId="{E1A89FB2-F7CE-44E6-8803-1A41DCB0199E}" type="presOf" srcId="{858FA64E-0A80-43AD-8DCB-5F97B6F00D0E}" destId="{6C6AE200-08AD-4C83-814B-8CA6DB9B91C3}" srcOrd="0" destOrd="0" presId="urn:microsoft.com/office/officeart/2005/8/layout/chevron2"/>
    <dgm:cxn modelId="{0049C565-4D1C-4E8B-8EAA-28F5FFA7AD0B}" srcId="{2A74E318-C39E-4946-86C5-8CEFB0CA4DF4}" destId="{979F0E91-CE09-4B5F-8AC3-131AE1CBDC8D}" srcOrd="0" destOrd="0" parTransId="{AA70E49D-09BF-491E-831D-7B1C242B0BCA}" sibTransId="{7AAD4436-49E8-4E81-9217-22A11B8CE636}"/>
    <dgm:cxn modelId="{39732005-7CA8-4B89-B7B8-3053993EA4F9}" srcId="{B5E4F5CC-4CD1-4B73-8DBD-114EAA6BAE96}" destId="{6093A719-7C29-4B64-9B40-8C50CE3E8B86}" srcOrd="2" destOrd="0" parTransId="{7BED087B-4FF2-43DD-8D62-2F7D7ACFF513}" sibTransId="{57424615-A47F-42C4-95E3-D50A794AF0CB}"/>
    <dgm:cxn modelId="{22FA2B2C-D1E7-4865-A209-45F185119D8D}" srcId="{B5E4F5CC-4CD1-4B73-8DBD-114EAA6BAE96}" destId="{E7AAF84D-3EE1-47F0-944B-2E2B3B752155}" srcOrd="1" destOrd="0" parTransId="{98F69DA7-2C9F-4972-9D80-EC03A8561957}" sibTransId="{AC2BAEF8-9724-41B8-A28B-E3C008A4C995}"/>
    <dgm:cxn modelId="{FAE326C0-FA56-479D-BFF0-B83458C4EF1B}" srcId="{B5E4F5CC-4CD1-4B73-8DBD-114EAA6BAE96}" destId="{135944CA-28E4-49F8-9E66-0460938637A2}" srcOrd="4" destOrd="0" parTransId="{43803776-5715-4A7E-8202-14490ADAC029}" sibTransId="{213FFC4C-E803-45DB-92C0-FB6D514F1A89}"/>
    <dgm:cxn modelId="{9651AFEA-96B1-43F9-B56C-CDCD2D8DD6C7}" srcId="{2A74E318-C39E-4946-86C5-8CEFB0CA4DF4}" destId="{30E7037F-8C68-4C2F-8852-A009C28456C7}" srcOrd="2" destOrd="0" parTransId="{5635BBBD-6D4C-441F-A57A-B0FA535E9DFA}" sibTransId="{1A052735-C6B6-4AD9-A09F-B65B2A7F5FD7}"/>
    <dgm:cxn modelId="{D7BB7290-DCB6-4D0D-81E8-E1DAEAE5AC51}" srcId="{B5E4F5CC-4CD1-4B73-8DBD-114EAA6BAE96}" destId="{542CD623-8BC9-4A64-8695-BA32238D0BDE}" srcOrd="5" destOrd="0" parTransId="{91E45F78-29C2-4048-828A-34592EBE824F}" sibTransId="{70836A0A-6F1F-40BC-8B4B-FD716432961E}"/>
    <dgm:cxn modelId="{4BD4F94E-22B6-4F35-86DA-9067CE5D8F33}" srcId="{858FA64E-0A80-43AD-8DCB-5F97B6F00D0E}" destId="{2A74E318-C39E-4946-86C5-8CEFB0CA4DF4}" srcOrd="1" destOrd="0" parTransId="{2D4A1F5B-ABAF-4116-BA90-85D2775B0EF1}" sibTransId="{F7E0B702-7A61-43CA-A365-F824731A8DAC}"/>
    <dgm:cxn modelId="{FCEB481B-737E-405C-86EC-C79DB59A184D}" type="presOf" srcId="{2BCE13A4-0755-4655-9D71-27BB19674A57}" destId="{383D1480-C425-4DF2-8B52-2A2479AACDF1}" srcOrd="0" destOrd="0" presId="urn:microsoft.com/office/officeart/2005/8/layout/chevron2"/>
    <dgm:cxn modelId="{D09463FB-C4FE-4923-8C5F-7F9640EABD12}" type="presOf" srcId="{979F0E91-CE09-4B5F-8AC3-131AE1CBDC8D}" destId="{91D2B603-27AE-4E03-846F-5AF3E94D40B1}" srcOrd="0" destOrd="0" presId="urn:microsoft.com/office/officeart/2005/8/layout/chevron2"/>
    <dgm:cxn modelId="{BF46B12A-CA64-4F25-9269-EF11BB7E6932}" srcId="{B5E4F5CC-4CD1-4B73-8DBD-114EAA6BAE96}" destId="{2BCE13A4-0755-4655-9D71-27BB19674A57}" srcOrd="0" destOrd="0" parTransId="{A113A6AD-5A97-4E63-9857-5CA4076F1F8A}" sibTransId="{B7E51641-4F50-49D1-899D-96784F23B15B}"/>
    <dgm:cxn modelId="{0C77F3C5-2005-4D77-BB59-E939B55F7C8F}" type="presOf" srcId="{6093A719-7C29-4B64-9B40-8C50CE3E8B86}" destId="{383D1480-C425-4DF2-8B52-2A2479AACDF1}" srcOrd="0" destOrd="2" presId="urn:microsoft.com/office/officeart/2005/8/layout/chevron2"/>
    <dgm:cxn modelId="{FE43CE00-9982-4EC0-91B4-2068F2AFFF15}" type="presOf" srcId="{542CD623-8BC9-4A64-8695-BA32238D0BDE}" destId="{383D1480-C425-4DF2-8B52-2A2479AACDF1}" srcOrd="0" destOrd="5" presId="urn:microsoft.com/office/officeart/2005/8/layout/chevron2"/>
    <dgm:cxn modelId="{C3AB32E2-0045-4F64-AE41-7AAA51234E62}" type="presOf" srcId="{30E7037F-8C68-4C2F-8852-A009C28456C7}" destId="{91D2B603-27AE-4E03-846F-5AF3E94D40B1}" srcOrd="0" destOrd="2" presId="urn:microsoft.com/office/officeart/2005/8/layout/chevron2"/>
    <dgm:cxn modelId="{AC75E996-932A-4E18-B0B0-FB486AA5672B}" srcId="{EAB45385-4E9A-4AB6-A89E-06FD0EB78982}" destId="{81BB38B8-1575-4938-B759-D06CF4D8B04A}" srcOrd="1" destOrd="0" parTransId="{B4669716-C4C6-4874-8D3A-14CB60D1983A}" sibTransId="{01511172-D3CD-44C1-9238-EC6F19BE021A}"/>
    <dgm:cxn modelId="{F319A3E8-D633-4B13-8986-6127629CBA97}" type="presOf" srcId="{2A74E318-C39E-4946-86C5-8CEFB0CA4DF4}" destId="{AF889C1C-B335-43FD-B1CA-E71677E34D70}" srcOrd="0" destOrd="0" presId="urn:microsoft.com/office/officeart/2005/8/layout/chevron2"/>
    <dgm:cxn modelId="{09C12F7D-42CF-45A5-95A2-D872C0E9BBCE}" type="presOf" srcId="{0E253B5B-DE85-4E69-806C-00D9BCA6BFB2}" destId="{91D2B603-27AE-4E03-846F-5AF3E94D40B1}" srcOrd="0" destOrd="1" presId="urn:microsoft.com/office/officeart/2005/8/layout/chevron2"/>
    <dgm:cxn modelId="{68EBD9C9-7438-4211-8BE1-313306752837}" type="presOf" srcId="{8B493640-CA7F-4137-A5F3-BB4CCA136EDD}" destId="{383D1480-C425-4DF2-8B52-2A2479AACDF1}" srcOrd="0" destOrd="6" presId="urn:microsoft.com/office/officeart/2005/8/layout/chevron2"/>
    <dgm:cxn modelId="{43E139C9-59BB-49F8-AEEB-4084E522ECA3}" type="presOf" srcId="{AAD54F15-884D-4E98-8265-E36CFCA2802F}" destId="{91D2B603-27AE-4E03-846F-5AF3E94D40B1}" srcOrd="0" destOrd="3" presId="urn:microsoft.com/office/officeart/2005/8/layout/chevron2"/>
    <dgm:cxn modelId="{9CF45E88-A9C1-46AA-AC9B-C6429F30F5E9}" srcId="{EAB45385-4E9A-4AB6-A89E-06FD0EB78982}" destId="{CACFDE06-8228-49DF-93F6-E62EFF85B12D}" srcOrd="2" destOrd="0" parTransId="{894F85F8-35CE-43C7-BE81-762F5A699433}" sibTransId="{90214C49-00E0-459E-B99A-C4E1F251F48E}"/>
    <dgm:cxn modelId="{F596890E-BA1A-46A6-BC42-DDD08C33A0A0}" srcId="{858FA64E-0A80-43AD-8DCB-5F97B6F00D0E}" destId="{EAB45385-4E9A-4AB6-A89E-06FD0EB78982}" srcOrd="0" destOrd="0" parTransId="{12557E21-468F-4B20-A0E8-E2B8709365DB}" sibTransId="{E24A2796-1445-48DD-B0F4-AAE1A8A29173}"/>
    <dgm:cxn modelId="{EDF52B6A-2093-42AB-8DB0-1C29093BDB2C}" type="presOf" srcId="{81BB38B8-1575-4938-B759-D06CF4D8B04A}" destId="{2B62B66C-0596-42D6-870E-84B22C74AA4E}" srcOrd="0" destOrd="1" presId="urn:microsoft.com/office/officeart/2005/8/layout/chevron2"/>
    <dgm:cxn modelId="{C7E79D5F-C76F-4AF9-8B30-79CADBE0A0DC}" type="presParOf" srcId="{6C6AE200-08AD-4C83-814B-8CA6DB9B91C3}" destId="{C6DB754D-3FCF-4361-A2BB-53894B330A2E}" srcOrd="0" destOrd="0" presId="urn:microsoft.com/office/officeart/2005/8/layout/chevron2"/>
    <dgm:cxn modelId="{2C65B347-808F-4D49-A66A-678702677720}" type="presParOf" srcId="{C6DB754D-3FCF-4361-A2BB-53894B330A2E}" destId="{3434A93D-EBA5-4B0B-8469-CA4771F02FCE}" srcOrd="0" destOrd="0" presId="urn:microsoft.com/office/officeart/2005/8/layout/chevron2"/>
    <dgm:cxn modelId="{6D640F66-6A70-4B7C-8AE7-FB16BD4FE272}" type="presParOf" srcId="{C6DB754D-3FCF-4361-A2BB-53894B330A2E}" destId="{2B62B66C-0596-42D6-870E-84B22C74AA4E}" srcOrd="1" destOrd="0" presId="urn:microsoft.com/office/officeart/2005/8/layout/chevron2"/>
    <dgm:cxn modelId="{2E934215-4B60-41E3-8BB2-87DBD5C00514}" type="presParOf" srcId="{6C6AE200-08AD-4C83-814B-8CA6DB9B91C3}" destId="{FBD1B7DD-3CD9-4175-B474-9F6A8650316D}" srcOrd="1" destOrd="0" presId="urn:microsoft.com/office/officeart/2005/8/layout/chevron2"/>
    <dgm:cxn modelId="{D7907C79-CE03-4AFE-B473-364DCDFCD564}" type="presParOf" srcId="{6C6AE200-08AD-4C83-814B-8CA6DB9B91C3}" destId="{4DF5555D-E6AB-45CD-85D6-53CEAB471163}" srcOrd="2" destOrd="0" presId="urn:microsoft.com/office/officeart/2005/8/layout/chevron2"/>
    <dgm:cxn modelId="{DE4E2182-121D-4E63-B997-C81FF34B6D60}" type="presParOf" srcId="{4DF5555D-E6AB-45CD-85D6-53CEAB471163}" destId="{AF889C1C-B335-43FD-B1CA-E71677E34D70}" srcOrd="0" destOrd="0" presId="urn:microsoft.com/office/officeart/2005/8/layout/chevron2"/>
    <dgm:cxn modelId="{EAD9CE56-5AA3-4134-9D45-787452886D4D}" type="presParOf" srcId="{4DF5555D-E6AB-45CD-85D6-53CEAB471163}" destId="{91D2B603-27AE-4E03-846F-5AF3E94D40B1}" srcOrd="1" destOrd="0" presId="urn:microsoft.com/office/officeart/2005/8/layout/chevron2"/>
    <dgm:cxn modelId="{085BACCB-7E3E-442B-BB1C-3C4318797072}" type="presParOf" srcId="{6C6AE200-08AD-4C83-814B-8CA6DB9B91C3}" destId="{B2CD9590-18E8-4D45-A173-A3BE9D2373C7}" srcOrd="3" destOrd="0" presId="urn:microsoft.com/office/officeart/2005/8/layout/chevron2"/>
    <dgm:cxn modelId="{FA865E8F-300E-4781-A359-B46113FBBDF3}" type="presParOf" srcId="{6C6AE200-08AD-4C83-814B-8CA6DB9B91C3}" destId="{44324FC6-81B5-42D0-93A2-C474E7483FC0}" srcOrd="4" destOrd="0" presId="urn:microsoft.com/office/officeart/2005/8/layout/chevron2"/>
    <dgm:cxn modelId="{E4103CD9-67AB-4DB3-A5F6-672BDC340988}" type="presParOf" srcId="{44324FC6-81B5-42D0-93A2-C474E7483FC0}" destId="{97B7DFEA-AB7D-45D5-A004-7D802E5DF231}" srcOrd="0" destOrd="0" presId="urn:microsoft.com/office/officeart/2005/8/layout/chevron2"/>
    <dgm:cxn modelId="{D4043584-5054-423A-B23C-4DC6A11B681C}" type="presParOf" srcId="{44324FC6-81B5-42D0-93A2-C474E7483FC0}" destId="{383D1480-C425-4DF2-8B52-2A2479AACDF1}" srcOrd="1" destOrd="0" presId="urn:microsoft.com/office/officeart/2005/8/layout/chevron2"/>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71F81D-8BF5-D845-9DF3-E007C84D4770}" type="doc">
      <dgm:prSet loTypeId="urn:microsoft.com/office/officeart/2005/8/layout/hierarchy2" loCatId="hierarchy" qsTypeId="urn:microsoft.com/office/officeart/2005/8/quickstyle/simple4" qsCatId="simple" csTypeId="urn:microsoft.com/office/officeart/2005/8/colors/accent1_2" csCatId="accent1" phldr="1"/>
      <dgm:spPr/>
      <dgm:t>
        <a:bodyPr/>
        <a:lstStyle/>
        <a:p>
          <a:endParaRPr lang="en-US"/>
        </a:p>
      </dgm:t>
    </dgm:pt>
    <dgm:pt modelId="{81AFD7BF-1CBE-5D4B-A8CF-9BAD6B03F3A4}">
      <dgm:prSet phldrT="[Text]" custT="1">
        <dgm:style>
          <a:lnRef idx="1">
            <a:schemeClr val="accent1"/>
          </a:lnRef>
          <a:fillRef idx="2">
            <a:schemeClr val="accent1"/>
          </a:fillRef>
          <a:effectRef idx="1">
            <a:schemeClr val="accent1"/>
          </a:effectRef>
          <a:fontRef idx="minor">
            <a:schemeClr val="dk1"/>
          </a:fontRef>
        </dgm:style>
      </dgm:prSet>
      <dgm:spPr>
        <a:effectLst/>
      </dgm:spPr>
      <dgm:t>
        <a:bodyPr lIns="36000" tIns="36000" rIns="36000" bIns="36000"/>
        <a:lstStyle/>
        <a:p>
          <a:pPr marL="0" algn="l"/>
          <a:r>
            <a:rPr lang="lt-LT" sz="800" b="1" kern="0" spc="0" baseline="0">
              <a:solidFill>
                <a:schemeClr val="tx1"/>
              </a:solidFill>
              <a:latin typeface="Tahoma"/>
            </a:rPr>
            <a:t>Viešojo ir privataus sektoriaus partnerystė</a:t>
          </a:r>
          <a:endParaRPr lang="en-US" sz="800" kern="0" spc="0" baseline="0">
            <a:solidFill>
              <a:schemeClr val="tx1"/>
            </a:solidFill>
            <a:latin typeface="Tahoma"/>
          </a:endParaRPr>
        </a:p>
      </dgm:t>
    </dgm:pt>
    <dgm:pt modelId="{070A0E85-AAEF-5148-B8FE-599B6CCCBCDB}" type="parTrans" cxnId="{6BE7D436-6840-0441-9245-BC0D8D753D41}">
      <dgm:prSet/>
      <dgm:spPr/>
      <dgm:t>
        <a:bodyPr/>
        <a:lstStyle/>
        <a:p>
          <a:pPr algn="l"/>
          <a:endParaRPr lang="en-US"/>
        </a:p>
      </dgm:t>
    </dgm:pt>
    <dgm:pt modelId="{52AE66B7-9E58-DE44-B02D-3C37EED63253}" type="sibTrans" cxnId="{6BE7D436-6840-0441-9245-BC0D8D753D41}">
      <dgm:prSet/>
      <dgm:spPr/>
      <dgm:t>
        <a:bodyPr/>
        <a:lstStyle/>
        <a:p>
          <a:pPr algn="l"/>
          <a:endParaRPr lang="en-US"/>
        </a:p>
      </dgm:t>
    </dgm:pt>
    <dgm:pt modelId="{669F58EE-67B6-AF4E-92EC-B9285205974C}">
      <dgm:prSet phldrT="[Text]" custT="1">
        <dgm:style>
          <a:lnRef idx="1">
            <a:schemeClr val="accent1"/>
          </a:lnRef>
          <a:fillRef idx="2">
            <a:schemeClr val="accent1"/>
          </a:fillRef>
          <a:effectRef idx="1">
            <a:schemeClr val="accent1"/>
          </a:effectRef>
          <a:fontRef idx="minor">
            <a:schemeClr val="dk1"/>
          </a:fontRef>
        </dgm:style>
      </dgm:prSet>
      <dgm:spPr>
        <a:effectLst/>
      </dgm:spPr>
      <dgm:t>
        <a:bodyPr lIns="36000" tIns="36000" rIns="36000" bIns="36000"/>
        <a:lstStyle/>
        <a:p>
          <a:pPr marL="0" algn="l"/>
          <a:r>
            <a:rPr lang="lt-LT" sz="800" b="1" kern="0" spc="0" baseline="0">
              <a:solidFill>
                <a:schemeClr val="tx1"/>
              </a:solidFill>
              <a:latin typeface="Tahoma"/>
            </a:rPr>
            <a:t>Sutartiniai VPSP </a:t>
          </a:r>
          <a:r>
            <a:rPr lang="lt-LT" sz="800" kern="0" spc="0" baseline="0">
              <a:solidFill>
                <a:schemeClr val="tx1"/>
              </a:solidFill>
              <a:latin typeface="Tahoma"/>
            </a:rPr>
            <a:t>(angl. </a:t>
          </a:r>
          <a:r>
            <a:rPr lang="lt-LT" sz="800" i="1" kern="0" spc="0" baseline="0">
              <a:solidFill>
                <a:schemeClr val="tx1"/>
              </a:solidFill>
              <a:latin typeface="Tahoma"/>
            </a:rPr>
            <a:t>Purely contractual PPPs</a:t>
          </a:r>
          <a:r>
            <a:rPr lang="lt-LT" sz="800" kern="0" spc="0" baseline="0">
              <a:solidFill>
                <a:schemeClr val="tx1"/>
              </a:solidFill>
              <a:latin typeface="Tahoma"/>
            </a:rPr>
            <a:t>), kai bendradarbiavimas tarp viešojo ir privataus sektoriaus vykdomas sutarčių pagrindu sudarant viešąją sutartį (angl. </a:t>
          </a:r>
          <a:r>
            <a:rPr lang="lt-LT" sz="800" i="1" kern="0" spc="0" baseline="0">
              <a:solidFill>
                <a:schemeClr val="tx1"/>
              </a:solidFill>
              <a:latin typeface="Tahoma"/>
            </a:rPr>
            <a:t>public contract</a:t>
          </a:r>
          <a:r>
            <a:rPr lang="lt-LT" sz="800" kern="0" spc="0" baseline="0">
              <a:solidFill>
                <a:schemeClr val="tx1"/>
              </a:solidFill>
              <a:latin typeface="Tahoma"/>
            </a:rPr>
            <a:t>) arba koncesiją (angl. </a:t>
          </a:r>
          <a:r>
            <a:rPr lang="lt-LT" sz="800" i="1" kern="0" spc="0" baseline="0">
              <a:solidFill>
                <a:schemeClr val="tx1"/>
              </a:solidFill>
              <a:latin typeface="Tahoma"/>
            </a:rPr>
            <a:t>concession</a:t>
          </a:r>
          <a:r>
            <a:rPr lang="lt-LT" sz="800" kern="0" spc="0" baseline="0">
              <a:solidFill>
                <a:schemeClr val="tx1"/>
              </a:solidFill>
              <a:latin typeface="Tahoma"/>
            </a:rPr>
            <a:t>).</a:t>
          </a:r>
          <a:endParaRPr lang="en-US" sz="800" kern="0" spc="0" baseline="0">
            <a:solidFill>
              <a:schemeClr val="tx1"/>
            </a:solidFill>
            <a:latin typeface="Tahoma"/>
          </a:endParaRPr>
        </a:p>
      </dgm:t>
    </dgm:pt>
    <dgm:pt modelId="{55A7193D-9230-0A41-BFFE-5B545A05D8EC}" type="parTrans" cxnId="{8D649D2C-D93A-9C41-B6AC-48B9356E9E88}">
      <dgm:prSet>
        <dgm:style>
          <a:lnRef idx="1">
            <a:schemeClr val="accent1"/>
          </a:lnRef>
          <a:fillRef idx="2">
            <a:schemeClr val="accent1"/>
          </a:fillRef>
          <a:effectRef idx="1">
            <a:schemeClr val="accent1"/>
          </a:effectRef>
          <a:fontRef idx="minor">
            <a:schemeClr val="dk1"/>
          </a:fontRef>
        </dgm:style>
      </dgm:prSet>
      <dgm:spPr>
        <a:effectLst/>
      </dgm:spPr>
      <dgm:t>
        <a:bodyPr/>
        <a:lstStyle/>
        <a:p>
          <a:pPr algn="l"/>
          <a:endParaRPr lang="en-US"/>
        </a:p>
      </dgm:t>
    </dgm:pt>
    <dgm:pt modelId="{2A0FB84B-5853-014F-A4CD-408C7C308C72}" type="sibTrans" cxnId="{8D649D2C-D93A-9C41-B6AC-48B9356E9E88}">
      <dgm:prSet/>
      <dgm:spPr/>
      <dgm:t>
        <a:bodyPr/>
        <a:lstStyle/>
        <a:p>
          <a:pPr algn="l"/>
          <a:endParaRPr lang="en-US"/>
        </a:p>
      </dgm:t>
    </dgm:pt>
    <dgm:pt modelId="{7983DDC0-D496-184B-A1EF-8143B37472E9}">
      <dgm:prSet phldrT="[Text]" custT="1">
        <dgm:style>
          <a:lnRef idx="1">
            <a:schemeClr val="accent1"/>
          </a:lnRef>
          <a:fillRef idx="2">
            <a:schemeClr val="accent1"/>
          </a:fillRef>
          <a:effectRef idx="1">
            <a:schemeClr val="accent1"/>
          </a:effectRef>
          <a:fontRef idx="minor">
            <a:schemeClr val="dk1"/>
          </a:fontRef>
        </dgm:style>
      </dgm:prSet>
      <dgm:spPr>
        <a:effectLst/>
      </dgm:spPr>
      <dgm:t>
        <a:bodyPr lIns="36000" tIns="36000" rIns="36000" bIns="36000"/>
        <a:lstStyle/>
        <a:p>
          <a:pPr marL="0" algn="l"/>
          <a:r>
            <a:rPr lang="lt-LT" sz="800" b="1" kern="0" spc="0" baseline="0">
              <a:solidFill>
                <a:schemeClr val="tx1"/>
              </a:solidFill>
              <a:latin typeface="Tahoma"/>
            </a:rPr>
            <a:t>Instituciniai VPSP </a:t>
          </a:r>
          <a:r>
            <a:rPr lang="lt-LT" sz="800" kern="0" spc="0" baseline="0">
              <a:solidFill>
                <a:schemeClr val="tx1"/>
              </a:solidFill>
              <a:latin typeface="Tahoma"/>
            </a:rPr>
            <a:t>(angl. </a:t>
          </a:r>
          <a:r>
            <a:rPr lang="lt-LT" sz="800" i="1" kern="0" spc="0" baseline="0">
              <a:solidFill>
                <a:schemeClr val="tx1"/>
              </a:solidFill>
              <a:latin typeface="Tahoma"/>
            </a:rPr>
            <a:t>Institutionalised PPPs</a:t>
          </a:r>
          <a:r>
            <a:rPr lang="lt-LT" sz="800" kern="0" spc="0" baseline="0">
              <a:solidFill>
                <a:schemeClr val="tx1"/>
              </a:solidFill>
              <a:latin typeface="Tahoma"/>
            </a:rPr>
            <a:t>), kai viešojo ir privataus sektoriaus bendradarbiavimas vyksta savarankiško teisinio subjekto forma.</a:t>
          </a:r>
          <a:endParaRPr lang="en-US" sz="800" kern="0" spc="0" baseline="0">
            <a:solidFill>
              <a:schemeClr val="tx1"/>
            </a:solidFill>
            <a:latin typeface="Tahoma"/>
          </a:endParaRPr>
        </a:p>
      </dgm:t>
    </dgm:pt>
    <dgm:pt modelId="{ECB7F0D3-6058-9342-8982-E8902DDA73FA}" type="parTrans" cxnId="{C13A70B9-854A-EC4F-93C3-7422574C1E67}">
      <dgm:prSet>
        <dgm:style>
          <a:lnRef idx="1">
            <a:schemeClr val="accent1"/>
          </a:lnRef>
          <a:fillRef idx="2">
            <a:schemeClr val="accent1"/>
          </a:fillRef>
          <a:effectRef idx="1">
            <a:schemeClr val="accent1"/>
          </a:effectRef>
          <a:fontRef idx="minor">
            <a:schemeClr val="dk1"/>
          </a:fontRef>
        </dgm:style>
      </dgm:prSet>
      <dgm:spPr>
        <a:effectLst/>
      </dgm:spPr>
      <dgm:t>
        <a:bodyPr/>
        <a:lstStyle/>
        <a:p>
          <a:pPr algn="l"/>
          <a:endParaRPr lang="en-US"/>
        </a:p>
      </dgm:t>
    </dgm:pt>
    <dgm:pt modelId="{B43A09E3-9E5A-4242-8507-6A9EB34D8E95}" type="sibTrans" cxnId="{C13A70B9-854A-EC4F-93C3-7422574C1E67}">
      <dgm:prSet/>
      <dgm:spPr/>
      <dgm:t>
        <a:bodyPr/>
        <a:lstStyle/>
        <a:p>
          <a:pPr algn="l"/>
          <a:endParaRPr lang="en-US"/>
        </a:p>
      </dgm:t>
    </dgm:pt>
    <dgm:pt modelId="{08EA0292-2140-DB4C-B48B-5F007DB4A492}">
      <dgm:prSet phldrT="[Text]" custT="1">
        <dgm:style>
          <a:lnRef idx="1">
            <a:schemeClr val="accent1"/>
          </a:lnRef>
          <a:fillRef idx="2">
            <a:schemeClr val="accent1"/>
          </a:fillRef>
          <a:effectRef idx="1">
            <a:schemeClr val="accent1"/>
          </a:effectRef>
          <a:fontRef idx="minor">
            <a:schemeClr val="dk1"/>
          </a:fontRef>
        </dgm:style>
      </dgm:prSet>
      <dgm:spPr>
        <a:effectLst/>
      </dgm:spPr>
      <dgm:t>
        <a:bodyPr lIns="36000" tIns="36000" rIns="36000" bIns="36000"/>
        <a:lstStyle/>
        <a:p>
          <a:pPr marL="0" algn="l"/>
          <a:r>
            <a:rPr lang="lt-LT" sz="800" b="1" kern="0" spc="0" baseline="0">
              <a:solidFill>
                <a:schemeClr val="tx1"/>
              </a:solidFill>
              <a:latin typeface="Tahoma"/>
            </a:rPr>
            <a:t>Viešosios sutartys:</a:t>
          </a:r>
          <a:endParaRPr lang="en-US" sz="800" kern="0" spc="0" baseline="0">
            <a:solidFill>
              <a:schemeClr val="tx1"/>
            </a:solidFill>
            <a:latin typeface="Tahoma"/>
          </a:endParaRPr>
        </a:p>
        <a:p>
          <a:pPr marL="0" algn="l"/>
          <a:r>
            <a:rPr lang="lt-LT" sz="800" kern="0" spc="0" baseline="0">
              <a:solidFill>
                <a:schemeClr val="tx1"/>
              </a:solidFill>
              <a:latin typeface="Tahoma"/>
            </a:rPr>
            <a:t>- viešoji darbų pirkimo sutartis,</a:t>
          </a:r>
          <a:endParaRPr lang="en-US" sz="800" kern="0" spc="0" baseline="0">
            <a:solidFill>
              <a:schemeClr val="tx1"/>
            </a:solidFill>
            <a:latin typeface="Tahoma"/>
          </a:endParaRPr>
        </a:p>
        <a:p>
          <a:pPr marL="0" algn="l"/>
          <a:r>
            <a:rPr lang="lt-LT" sz="800" kern="0" spc="0" baseline="0">
              <a:solidFill>
                <a:schemeClr val="tx1"/>
              </a:solidFill>
              <a:latin typeface="Tahoma"/>
            </a:rPr>
            <a:t>- viešoji prekių pirkimo sutartis,</a:t>
          </a:r>
          <a:endParaRPr lang="en-US" sz="800" kern="0" spc="0" baseline="0">
            <a:solidFill>
              <a:schemeClr val="tx1"/>
            </a:solidFill>
            <a:latin typeface="Tahoma"/>
          </a:endParaRPr>
        </a:p>
        <a:p>
          <a:pPr marL="0" algn="l"/>
          <a:r>
            <a:rPr lang="lt-LT" sz="800" kern="0" spc="0" baseline="0">
              <a:solidFill>
                <a:schemeClr val="tx1"/>
              </a:solidFill>
              <a:latin typeface="Tahoma"/>
            </a:rPr>
            <a:t>- viešoji paslaugų pirkimo sutartis.</a:t>
          </a:r>
          <a:endParaRPr lang="en-US" sz="800" kern="0" spc="0" baseline="0">
            <a:solidFill>
              <a:schemeClr val="tx1"/>
            </a:solidFill>
            <a:latin typeface="Tahoma"/>
          </a:endParaRPr>
        </a:p>
      </dgm:t>
    </dgm:pt>
    <dgm:pt modelId="{52798902-30FC-944A-BE74-0E01F5067634}" type="parTrans" cxnId="{BDA40432-1A58-6046-BF67-64DB90E177BD}">
      <dgm:prSet>
        <dgm:style>
          <a:lnRef idx="1">
            <a:schemeClr val="accent1"/>
          </a:lnRef>
          <a:fillRef idx="2">
            <a:schemeClr val="accent1"/>
          </a:fillRef>
          <a:effectRef idx="1">
            <a:schemeClr val="accent1"/>
          </a:effectRef>
          <a:fontRef idx="minor">
            <a:schemeClr val="dk1"/>
          </a:fontRef>
        </dgm:style>
      </dgm:prSet>
      <dgm:spPr>
        <a:effectLst/>
      </dgm:spPr>
      <dgm:t>
        <a:bodyPr/>
        <a:lstStyle/>
        <a:p>
          <a:pPr algn="l"/>
          <a:endParaRPr lang="en-US"/>
        </a:p>
      </dgm:t>
    </dgm:pt>
    <dgm:pt modelId="{72906EF7-3EF7-5E42-A916-2453992E70C5}" type="sibTrans" cxnId="{BDA40432-1A58-6046-BF67-64DB90E177BD}">
      <dgm:prSet/>
      <dgm:spPr/>
      <dgm:t>
        <a:bodyPr/>
        <a:lstStyle/>
        <a:p>
          <a:pPr algn="l"/>
          <a:endParaRPr lang="en-US"/>
        </a:p>
      </dgm:t>
    </dgm:pt>
    <dgm:pt modelId="{BD995ED9-3F67-EA4B-92C4-E5F08EFA554D}">
      <dgm:prSet phldrT="[Text]" custT="1">
        <dgm:style>
          <a:lnRef idx="1">
            <a:schemeClr val="accent1"/>
          </a:lnRef>
          <a:fillRef idx="2">
            <a:schemeClr val="accent1"/>
          </a:fillRef>
          <a:effectRef idx="1">
            <a:schemeClr val="accent1"/>
          </a:effectRef>
          <a:fontRef idx="minor">
            <a:schemeClr val="dk1"/>
          </a:fontRef>
        </dgm:style>
      </dgm:prSet>
      <dgm:spPr>
        <a:effectLst/>
      </dgm:spPr>
      <dgm:t>
        <a:bodyPr lIns="36000" tIns="36000" rIns="36000" bIns="36000"/>
        <a:lstStyle/>
        <a:p>
          <a:pPr marL="0" algn="l"/>
          <a:r>
            <a:rPr lang="lt-LT" sz="800" b="1" kern="0" spc="0" baseline="0">
              <a:solidFill>
                <a:schemeClr val="tx1"/>
              </a:solidFill>
              <a:latin typeface="Tahoma"/>
            </a:rPr>
            <a:t>Koncesijos:</a:t>
          </a:r>
          <a:endParaRPr lang="en-US" sz="800" kern="0" spc="0" baseline="0">
            <a:solidFill>
              <a:schemeClr val="tx1"/>
            </a:solidFill>
            <a:latin typeface="Tahoma"/>
          </a:endParaRPr>
        </a:p>
        <a:p>
          <a:pPr marL="0" algn="l"/>
          <a:r>
            <a:rPr lang="lt-LT" sz="800" kern="0" spc="0" baseline="0">
              <a:solidFill>
                <a:schemeClr val="tx1"/>
              </a:solidFill>
              <a:latin typeface="Tahoma"/>
            </a:rPr>
            <a:t>- viešoji darbų koncesija,</a:t>
          </a:r>
          <a:endParaRPr lang="en-US" sz="800" kern="0" spc="0" baseline="0">
            <a:solidFill>
              <a:schemeClr val="tx1"/>
            </a:solidFill>
            <a:latin typeface="Tahoma"/>
          </a:endParaRPr>
        </a:p>
        <a:p>
          <a:pPr marL="0" algn="l"/>
          <a:r>
            <a:rPr lang="lt-LT" sz="800" kern="0" spc="0" baseline="0">
              <a:solidFill>
                <a:schemeClr val="tx1"/>
              </a:solidFill>
              <a:latin typeface="Tahoma"/>
            </a:rPr>
            <a:t>- viešoji paslaugų koncesija.</a:t>
          </a:r>
          <a:endParaRPr lang="en-US" sz="800" kern="0" spc="0" baseline="0">
            <a:solidFill>
              <a:schemeClr val="tx1"/>
            </a:solidFill>
            <a:latin typeface="Tahoma"/>
          </a:endParaRPr>
        </a:p>
      </dgm:t>
    </dgm:pt>
    <dgm:pt modelId="{22D6D31C-93A3-D342-97A9-A91AAB65C862}" type="parTrans" cxnId="{C4F9EDC6-2FF2-AB42-9EC4-8861793A59C3}">
      <dgm:prSet>
        <dgm:style>
          <a:lnRef idx="1">
            <a:schemeClr val="accent1"/>
          </a:lnRef>
          <a:fillRef idx="2">
            <a:schemeClr val="accent1"/>
          </a:fillRef>
          <a:effectRef idx="1">
            <a:schemeClr val="accent1"/>
          </a:effectRef>
          <a:fontRef idx="minor">
            <a:schemeClr val="dk1"/>
          </a:fontRef>
        </dgm:style>
      </dgm:prSet>
      <dgm:spPr>
        <a:effectLst/>
      </dgm:spPr>
      <dgm:t>
        <a:bodyPr/>
        <a:lstStyle/>
        <a:p>
          <a:pPr algn="l"/>
          <a:endParaRPr lang="en-US"/>
        </a:p>
      </dgm:t>
    </dgm:pt>
    <dgm:pt modelId="{B565CC5E-2DD8-024F-A0E3-CAB4EA336483}" type="sibTrans" cxnId="{C4F9EDC6-2FF2-AB42-9EC4-8861793A59C3}">
      <dgm:prSet/>
      <dgm:spPr/>
      <dgm:t>
        <a:bodyPr/>
        <a:lstStyle/>
        <a:p>
          <a:pPr algn="l"/>
          <a:endParaRPr lang="en-US"/>
        </a:p>
      </dgm:t>
    </dgm:pt>
    <dgm:pt modelId="{34FB8DA7-4B17-9346-AA37-49AE78AB4C9C}">
      <dgm:prSet phldrT="[Text]" custT="1">
        <dgm:style>
          <a:lnRef idx="1">
            <a:schemeClr val="accent1"/>
          </a:lnRef>
          <a:fillRef idx="2">
            <a:schemeClr val="accent1"/>
          </a:fillRef>
          <a:effectRef idx="1">
            <a:schemeClr val="accent1"/>
          </a:effectRef>
          <a:fontRef idx="minor">
            <a:schemeClr val="dk1"/>
          </a:fontRef>
        </dgm:style>
      </dgm:prSet>
      <dgm:spPr>
        <a:effectLst/>
      </dgm:spPr>
      <dgm:t>
        <a:bodyPr lIns="36000" tIns="36000" rIns="36000" bIns="36000"/>
        <a:lstStyle/>
        <a:p>
          <a:pPr marL="0" algn="l"/>
          <a:r>
            <a:rPr lang="lt-LT" sz="800" b="1" kern="0" spc="0" baseline="0">
              <a:solidFill>
                <a:schemeClr val="tx1"/>
              </a:solidFill>
              <a:latin typeface="Tahoma"/>
            </a:rPr>
            <a:t>Įsteigta nauja mišraus kapitalo įmonė.</a:t>
          </a:r>
          <a:endParaRPr lang="en-US" sz="800" b="1" kern="0" spc="0" baseline="0">
            <a:solidFill>
              <a:schemeClr val="tx1"/>
            </a:solidFill>
            <a:latin typeface="Tahoma"/>
          </a:endParaRPr>
        </a:p>
      </dgm:t>
    </dgm:pt>
    <dgm:pt modelId="{1333D1E4-D4A2-964D-B7E6-82FE69E7B013}" type="parTrans" cxnId="{F6939F21-5492-9A4B-B318-5638E8165ED5}">
      <dgm:prSet>
        <dgm:style>
          <a:lnRef idx="1">
            <a:schemeClr val="accent1"/>
          </a:lnRef>
          <a:fillRef idx="2">
            <a:schemeClr val="accent1"/>
          </a:fillRef>
          <a:effectRef idx="1">
            <a:schemeClr val="accent1"/>
          </a:effectRef>
          <a:fontRef idx="minor">
            <a:schemeClr val="dk1"/>
          </a:fontRef>
        </dgm:style>
      </dgm:prSet>
      <dgm:spPr>
        <a:effectLst/>
      </dgm:spPr>
      <dgm:t>
        <a:bodyPr/>
        <a:lstStyle/>
        <a:p>
          <a:pPr algn="l"/>
          <a:endParaRPr lang="en-US"/>
        </a:p>
      </dgm:t>
    </dgm:pt>
    <dgm:pt modelId="{3678E6AB-0D76-4E4A-9C21-9355F62E59BC}" type="sibTrans" cxnId="{F6939F21-5492-9A4B-B318-5638E8165ED5}">
      <dgm:prSet/>
      <dgm:spPr/>
      <dgm:t>
        <a:bodyPr/>
        <a:lstStyle/>
        <a:p>
          <a:pPr algn="l"/>
          <a:endParaRPr lang="en-US"/>
        </a:p>
      </dgm:t>
    </dgm:pt>
    <dgm:pt modelId="{856B72BD-D4CE-0B40-9428-F6961A298A74}">
      <dgm:prSet phldrT="[Text]" custT="1">
        <dgm:style>
          <a:lnRef idx="1">
            <a:schemeClr val="accent1"/>
          </a:lnRef>
          <a:fillRef idx="2">
            <a:schemeClr val="accent1"/>
          </a:fillRef>
          <a:effectRef idx="1">
            <a:schemeClr val="accent1"/>
          </a:effectRef>
          <a:fontRef idx="minor">
            <a:schemeClr val="dk1"/>
          </a:fontRef>
        </dgm:style>
      </dgm:prSet>
      <dgm:spPr>
        <a:effectLst/>
      </dgm:spPr>
      <dgm:t>
        <a:bodyPr lIns="36000" tIns="36000" rIns="36000" bIns="36000"/>
        <a:lstStyle/>
        <a:p>
          <a:pPr marL="0" algn="l"/>
          <a:r>
            <a:rPr lang="lt-LT" sz="800" b="1" kern="0" spc="0" baseline="0">
              <a:solidFill>
                <a:schemeClr val="tx1"/>
              </a:solidFill>
              <a:latin typeface="Tahoma"/>
            </a:rPr>
            <a:t>Privataus sektoriaus perimta valdyti viešoji įmonė.</a:t>
          </a:r>
          <a:endParaRPr lang="en-US" sz="800" b="1" kern="0" spc="0" baseline="0">
            <a:solidFill>
              <a:schemeClr val="tx1"/>
            </a:solidFill>
            <a:latin typeface="Tahoma"/>
          </a:endParaRPr>
        </a:p>
      </dgm:t>
    </dgm:pt>
    <dgm:pt modelId="{1ACCA861-FFDD-A048-A625-6981794974F7}" type="parTrans" cxnId="{5193D454-8001-D340-881A-8F083AE093D8}">
      <dgm:prSet>
        <dgm:style>
          <a:lnRef idx="1">
            <a:schemeClr val="accent1"/>
          </a:lnRef>
          <a:fillRef idx="2">
            <a:schemeClr val="accent1"/>
          </a:fillRef>
          <a:effectRef idx="1">
            <a:schemeClr val="accent1"/>
          </a:effectRef>
          <a:fontRef idx="minor">
            <a:schemeClr val="dk1"/>
          </a:fontRef>
        </dgm:style>
      </dgm:prSet>
      <dgm:spPr>
        <a:effectLst/>
      </dgm:spPr>
      <dgm:t>
        <a:bodyPr/>
        <a:lstStyle/>
        <a:p>
          <a:pPr algn="l"/>
          <a:endParaRPr lang="en-US"/>
        </a:p>
      </dgm:t>
    </dgm:pt>
    <dgm:pt modelId="{8F1C8ECC-9545-904A-B86B-64FE6D220EF0}" type="sibTrans" cxnId="{5193D454-8001-D340-881A-8F083AE093D8}">
      <dgm:prSet/>
      <dgm:spPr/>
      <dgm:t>
        <a:bodyPr/>
        <a:lstStyle/>
        <a:p>
          <a:pPr algn="l"/>
          <a:endParaRPr lang="en-US"/>
        </a:p>
      </dgm:t>
    </dgm:pt>
    <dgm:pt modelId="{A95743AF-8C24-EA46-9EEA-A593DC698EE8}" type="pres">
      <dgm:prSet presAssocID="{B471F81D-8BF5-D845-9DF3-E007C84D4770}" presName="diagram" presStyleCnt="0">
        <dgm:presLayoutVars>
          <dgm:chPref val="1"/>
          <dgm:dir/>
          <dgm:animOne val="branch"/>
          <dgm:animLvl val="lvl"/>
          <dgm:resizeHandles val="exact"/>
        </dgm:presLayoutVars>
      </dgm:prSet>
      <dgm:spPr/>
      <dgm:t>
        <a:bodyPr/>
        <a:lstStyle/>
        <a:p>
          <a:endParaRPr lang="en-US"/>
        </a:p>
      </dgm:t>
    </dgm:pt>
    <dgm:pt modelId="{7F64D04D-F8A3-8348-8B5D-3C272F7F62EB}" type="pres">
      <dgm:prSet presAssocID="{81AFD7BF-1CBE-5D4B-A8CF-9BAD6B03F3A4}" presName="root1" presStyleCnt="0"/>
      <dgm:spPr/>
    </dgm:pt>
    <dgm:pt modelId="{E8722200-D0F8-4C48-A3C2-BFB9EEF7754C}" type="pres">
      <dgm:prSet presAssocID="{81AFD7BF-1CBE-5D4B-A8CF-9BAD6B03F3A4}" presName="LevelOneTextNode" presStyleLbl="node0" presStyleIdx="0" presStyleCnt="1">
        <dgm:presLayoutVars>
          <dgm:chPref val="3"/>
        </dgm:presLayoutVars>
      </dgm:prSet>
      <dgm:spPr/>
      <dgm:t>
        <a:bodyPr/>
        <a:lstStyle/>
        <a:p>
          <a:endParaRPr lang="en-US"/>
        </a:p>
      </dgm:t>
    </dgm:pt>
    <dgm:pt modelId="{5B2775F9-F7CB-0745-881C-766ACE92BE19}" type="pres">
      <dgm:prSet presAssocID="{81AFD7BF-1CBE-5D4B-A8CF-9BAD6B03F3A4}" presName="level2hierChild" presStyleCnt="0"/>
      <dgm:spPr/>
    </dgm:pt>
    <dgm:pt modelId="{5CD604C6-FFE6-D74F-96F2-799B2EBFB5A1}" type="pres">
      <dgm:prSet presAssocID="{55A7193D-9230-0A41-BFFE-5B545A05D8EC}" presName="conn2-1" presStyleLbl="parChTrans1D2" presStyleIdx="0" presStyleCnt="2"/>
      <dgm:spPr/>
      <dgm:t>
        <a:bodyPr/>
        <a:lstStyle/>
        <a:p>
          <a:endParaRPr lang="en-US"/>
        </a:p>
      </dgm:t>
    </dgm:pt>
    <dgm:pt modelId="{F6E121CD-F7B5-D94F-BD4F-D1AB964BBBBA}" type="pres">
      <dgm:prSet presAssocID="{55A7193D-9230-0A41-BFFE-5B545A05D8EC}" presName="connTx" presStyleLbl="parChTrans1D2" presStyleIdx="0" presStyleCnt="2"/>
      <dgm:spPr/>
      <dgm:t>
        <a:bodyPr/>
        <a:lstStyle/>
        <a:p>
          <a:endParaRPr lang="en-US"/>
        </a:p>
      </dgm:t>
    </dgm:pt>
    <dgm:pt modelId="{853731D5-74DE-3F46-94A0-5D82F11CDD26}" type="pres">
      <dgm:prSet presAssocID="{669F58EE-67B6-AF4E-92EC-B9285205974C}" presName="root2" presStyleCnt="0"/>
      <dgm:spPr/>
    </dgm:pt>
    <dgm:pt modelId="{4110085E-C14C-DD4D-8C61-B10A92941FA4}" type="pres">
      <dgm:prSet presAssocID="{669F58EE-67B6-AF4E-92EC-B9285205974C}" presName="LevelTwoTextNode" presStyleLbl="node2" presStyleIdx="0" presStyleCnt="2" custScaleX="148148" custScaleY="216646" custLinFactNeighborX="-18653" custLinFactNeighborY="2764">
        <dgm:presLayoutVars>
          <dgm:chPref val="3"/>
        </dgm:presLayoutVars>
      </dgm:prSet>
      <dgm:spPr/>
      <dgm:t>
        <a:bodyPr/>
        <a:lstStyle/>
        <a:p>
          <a:endParaRPr lang="en-US"/>
        </a:p>
      </dgm:t>
    </dgm:pt>
    <dgm:pt modelId="{CF7240DC-80A1-7140-8772-93535153AFE9}" type="pres">
      <dgm:prSet presAssocID="{669F58EE-67B6-AF4E-92EC-B9285205974C}" presName="level3hierChild" presStyleCnt="0"/>
      <dgm:spPr/>
    </dgm:pt>
    <dgm:pt modelId="{2B80F757-4A19-7E43-B553-62281C766567}" type="pres">
      <dgm:prSet presAssocID="{52798902-30FC-944A-BE74-0E01F5067634}" presName="conn2-1" presStyleLbl="parChTrans1D3" presStyleIdx="0" presStyleCnt="4"/>
      <dgm:spPr/>
      <dgm:t>
        <a:bodyPr/>
        <a:lstStyle/>
        <a:p>
          <a:endParaRPr lang="en-US"/>
        </a:p>
      </dgm:t>
    </dgm:pt>
    <dgm:pt modelId="{8821E079-DFD5-D64D-8290-7653418F4DE2}" type="pres">
      <dgm:prSet presAssocID="{52798902-30FC-944A-BE74-0E01F5067634}" presName="connTx" presStyleLbl="parChTrans1D3" presStyleIdx="0" presStyleCnt="4"/>
      <dgm:spPr/>
      <dgm:t>
        <a:bodyPr/>
        <a:lstStyle/>
        <a:p>
          <a:endParaRPr lang="en-US"/>
        </a:p>
      </dgm:t>
    </dgm:pt>
    <dgm:pt modelId="{70DE0E35-6E14-F948-861E-716BE3166FD0}" type="pres">
      <dgm:prSet presAssocID="{08EA0292-2140-DB4C-B48B-5F007DB4A492}" presName="root2" presStyleCnt="0"/>
      <dgm:spPr/>
    </dgm:pt>
    <dgm:pt modelId="{80C5ACC8-5843-E54C-A4D1-1D34B26B3A5B}" type="pres">
      <dgm:prSet presAssocID="{08EA0292-2140-DB4C-B48B-5F007DB4A492}" presName="LevelTwoTextNode" presStyleLbl="node3" presStyleIdx="0" presStyleCnt="4" custScaleX="161371" custScaleY="126586">
        <dgm:presLayoutVars>
          <dgm:chPref val="3"/>
        </dgm:presLayoutVars>
      </dgm:prSet>
      <dgm:spPr/>
      <dgm:t>
        <a:bodyPr/>
        <a:lstStyle/>
        <a:p>
          <a:endParaRPr lang="en-US"/>
        </a:p>
      </dgm:t>
    </dgm:pt>
    <dgm:pt modelId="{DA326CEB-B068-0844-93DA-7DAD2AA1D7F1}" type="pres">
      <dgm:prSet presAssocID="{08EA0292-2140-DB4C-B48B-5F007DB4A492}" presName="level3hierChild" presStyleCnt="0"/>
      <dgm:spPr/>
    </dgm:pt>
    <dgm:pt modelId="{9281AB00-0B17-D64F-AC96-175D0EAC35F5}" type="pres">
      <dgm:prSet presAssocID="{22D6D31C-93A3-D342-97A9-A91AAB65C862}" presName="conn2-1" presStyleLbl="parChTrans1D3" presStyleIdx="1" presStyleCnt="4"/>
      <dgm:spPr/>
      <dgm:t>
        <a:bodyPr/>
        <a:lstStyle/>
        <a:p>
          <a:endParaRPr lang="en-US"/>
        </a:p>
      </dgm:t>
    </dgm:pt>
    <dgm:pt modelId="{535C278A-BF39-DE4E-AADE-1A9264A51A6B}" type="pres">
      <dgm:prSet presAssocID="{22D6D31C-93A3-D342-97A9-A91AAB65C862}" presName="connTx" presStyleLbl="parChTrans1D3" presStyleIdx="1" presStyleCnt="4"/>
      <dgm:spPr/>
      <dgm:t>
        <a:bodyPr/>
        <a:lstStyle/>
        <a:p>
          <a:endParaRPr lang="en-US"/>
        </a:p>
      </dgm:t>
    </dgm:pt>
    <dgm:pt modelId="{54814B72-058B-9047-902B-598DCAC65252}" type="pres">
      <dgm:prSet presAssocID="{BD995ED9-3F67-EA4B-92C4-E5F08EFA554D}" presName="root2" presStyleCnt="0"/>
      <dgm:spPr/>
    </dgm:pt>
    <dgm:pt modelId="{9812CA31-94E5-BD49-9BF5-009309538B6F}" type="pres">
      <dgm:prSet presAssocID="{BD995ED9-3F67-EA4B-92C4-E5F08EFA554D}" presName="LevelTwoTextNode" presStyleLbl="node3" presStyleIdx="1" presStyleCnt="4" custScaleX="161371" custScaleY="97424" custLinFactNeighborY="-1469">
        <dgm:presLayoutVars>
          <dgm:chPref val="3"/>
        </dgm:presLayoutVars>
      </dgm:prSet>
      <dgm:spPr/>
      <dgm:t>
        <a:bodyPr/>
        <a:lstStyle/>
        <a:p>
          <a:endParaRPr lang="en-US"/>
        </a:p>
      </dgm:t>
    </dgm:pt>
    <dgm:pt modelId="{68D76077-CA8B-1243-8DDB-1997818FB92A}" type="pres">
      <dgm:prSet presAssocID="{BD995ED9-3F67-EA4B-92C4-E5F08EFA554D}" presName="level3hierChild" presStyleCnt="0"/>
      <dgm:spPr/>
    </dgm:pt>
    <dgm:pt modelId="{ABD4334A-260F-2D48-A0D3-AD5E62735457}" type="pres">
      <dgm:prSet presAssocID="{ECB7F0D3-6058-9342-8982-E8902DDA73FA}" presName="conn2-1" presStyleLbl="parChTrans1D2" presStyleIdx="1" presStyleCnt="2"/>
      <dgm:spPr/>
      <dgm:t>
        <a:bodyPr/>
        <a:lstStyle/>
        <a:p>
          <a:endParaRPr lang="en-US"/>
        </a:p>
      </dgm:t>
    </dgm:pt>
    <dgm:pt modelId="{517103C4-C928-DB4C-B691-365620959264}" type="pres">
      <dgm:prSet presAssocID="{ECB7F0D3-6058-9342-8982-E8902DDA73FA}" presName="connTx" presStyleLbl="parChTrans1D2" presStyleIdx="1" presStyleCnt="2"/>
      <dgm:spPr/>
      <dgm:t>
        <a:bodyPr/>
        <a:lstStyle/>
        <a:p>
          <a:endParaRPr lang="en-US"/>
        </a:p>
      </dgm:t>
    </dgm:pt>
    <dgm:pt modelId="{175ADA01-60AC-7541-B8CD-38079EDEA2FC}" type="pres">
      <dgm:prSet presAssocID="{7983DDC0-D496-184B-A1EF-8143B37472E9}" presName="root2" presStyleCnt="0"/>
      <dgm:spPr/>
    </dgm:pt>
    <dgm:pt modelId="{EB3A07A1-55CA-E34B-A80C-93999C97D0F4}" type="pres">
      <dgm:prSet presAssocID="{7983DDC0-D496-184B-A1EF-8143B37472E9}" presName="LevelTwoTextNode" presStyleLbl="node2" presStyleIdx="1" presStyleCnt="2" custScaleX="148810" custScaleY="153512" custLinFactNeighborX="-19084" custLinFactNeighborY="12435">
        <dgm:presLayoutVars>
          <dgm:chPref val="3"/>
        </dgm:presLayoutVars>
      </dgm:prSet>
      <dgm:spPr/>
      <dgm:t>
        <a:bodyPr/>
        <a:lstStyle/>
        <a:p>
          <a:endParaRPr lang="en-US"/>
        </a:p>
      </dgm:t>
    </dgm:pt>
    <dgm:pt modelId="{BBEC6346-4C46-124F-A5FD-760D96CF822F}" type="pres">
      <dgm:prSet presAssocID="{7983DDC0-D496-184B-A1EF-8143B37472E9}" presName="level3hierChild" presStyleCnt="0"/>
      <dgm:spPr/>
    </dgm:pt>
    <dgm:pt modelId="{9D92E20F-2C7E-E84A-81B7-B4F1EC016657}" type="pres">
      <dgm:prSet presAssocID="{1333D1E4-D4A2-964D-B7E6-82FE69E7B013}" presName="conn2-1" presStyleLbl="parChTrans1D3" presStyleIdx="2" presStyleCnt="4"/>
      <dgm:spPr/>
      <dgm:t>
        <a:bodyPr/>
        <a:lstStyle/>
        <a:p>
          <a:endParaRPr lang="en-US"/>
        </a:p>
      </dgm:t>
    </dgm:pt>
    <dgm:pt modelId="{2196EC50-D974-0549-B208-183726384124}" type="pres">
      <dgm:prSet presAssocID="{1333D1E4-D4A2-964D-B7E6-82FE69E7B013}" presName="connTx" presStyleLbl="parChTrans1D3" presStyleIdx="2" presStyleCnt="4"/>
      <dgm:spPr/>
      <dgm:t>
        <a:bodyPr/>
        <a:lstStyle/>
        <a:p>
          <a:endParaRPr lang="en-US"/>
        </a:p>
      </dgm:t>
    </dgm:pt>
    <dgm:pt modelId="{E8BDAA4B-4171-FB4A-A74F-19DE2660EE4B}" type="pres">
      <dgm:prSet presAssocID="{34FB8DA7-4B17-9346-AA37-49AE78AB4C9C}" presName="root2" presStyleCnt="0"/>
      <dgm:spPr/>
    </dgm:pt>
    <dgm:pt modelId="{EF36DC30-68EC-444F-822B-9E9002E29F80}" type="pres">
      <dgm:prSet presAssocID="{34FB8DA7-4B17-9346-AA37-49AE78AB4C9C}" presName="LevelTwoTextNode" presStyleLbl="node3" presStyleIdx="2" presStyleCnt="4" custScaleX="161371" custScaleY="78056" custLinFactNeighborX="-755" custLinFactNeighborY="1786">
        <dgm:presLayoutVars>
          <dgm:chPref val="3"/>
        </dgm:presLayoutVars>
      </dgm:prSet>
      <dgm:spPr/>
      <dgm:t>
        <a:bodyPr/>
        <a:lstStyle/>
        <a:p>
          <a:endParaRPr lang="en-US"/>
        </a:p>
      </dgm:t>
    </dgm:pt>
    <dgm:pt modelId="{223A13AB-C12F-BF4B-92C7-633708821173}" type="pres">
      <dgm:prSet presAssocID="{34FB8DA7-4B17-9346-AA37-49AE78AB4C9C}" presName="level3hierChild" presStyleCnt="0"/>
      <dgm:spPr/>
    </dgm:pt>
    <dgm:pt modelId="{24D041BA-862C-C548-BEF5-90BCAFFFC4D8}" type="pres">
      <dgm:prSet presAssocID="{1ACCA861-FFDD-A048-A625-6981794974F7}" presName="conn2-1" presStyleLbl="parChTrans1D3" presStyleIdx="3" presStyleCnt="4"/>
      <dgm:spPr/>
      <dgm:t>
        <a:bodyPr/>
        <a:lstStyle/>
        <a:p>
          <a:endParaRPr lang="en-US"/>
        </a:p>
      </dgm:t>
    </dgm:pt>
    <dgm:pt modelId="{FF279D13-1FA0-5746-9315-F67684B1CCC6}" type="pres">
      <dgm:prSet presAssocID="{1ACCA861-FFDD-A048-A625-6981794974F7}" presName="connTx" presStyleLbl="parChTrans1D3" presStyleIdx="3" presStyleCnt="4"/>
      <dgm:spPr/>
      <dgm:t>
        <a:bodyPr/>
        <a:lstStyle/>
        <a:p>
          <a:endParaRPr lang="en-US"/>
        </a:p>
      </dgm:t>
    </dgm:pt>
    <dgm:pt modelId="{1CBDCCFC-5FA2-0F40-B986-F072E3EBC031}" type="pres">
      <dgm:prSet presAssocID="{856B72BD-D4CE-0B40-9428-F6961A298A74}" presName="root2" presStyleCnt="0"/>
      <dgm:spPr/>
    </dgm:pt>
    <dgm:pt modelId="{5D4F33A3-A0C7-BF46-BC41-675029FA9AE1}" type="pres">
      <dgm:prSet presAssocID="{856B72BD-D4CE-0B40-9428-F6961A298A74}" presName="LevelTwoTextNode" presStyleLbl="node3" presStyleIdx="3" presStyleCnt="4" custScaleX="161371" custScaleY="81365" custLinFactNeighborY="15086">
        <dgm:presLayoutVars>
          <dgm:chPref val="3"/>
        </dgm:presLayoutVars>
      </dgm:prSet>
      <dgm:spPr/>
      <dgm:t>
        <a:bodyPr/>
        <a:lstStyle/>
        <a:p>
          <a:endParaRPr lang="en-US"/>
        </a:p>
      </dgm:t>
    </dgm:pt>
    <dgm:pt modelId="{7D646EB2-B680-B648-8DAA-161AE663B54F}" type="pres">
      <dgm:prSet presAssocID="{856B72BD-D4CE-0B40-9428-F6961A298A74}" presName="level3hierChild" presStyleCnt="0"/>
      <dgm:spPr/>
    </dgm:pt>
  </dgm:ptLst>
  <dgm:cxnLst>
    <dgm:cxn modelId="{F6939F21-5492-9A4B-B318-5638E8165ED5}" srcId="{7983DDC0-D496-184B-A1EF-8143B37472E9}" destId="{34FB8DA7-4B17-9346-AA37-49AE78AB4C9C}" srcOrd="0" destOrd="0" parTransId="{1333D1E4-D4A2-964D-B7E6-82FE69E7B013}" sibTransId="{3678E6AB-0D76-4E4A-9C21-9355F62E59BC}"/>
    <dgm:cxn modelId="{C1D153CA-987B-464B-96D4-F37704EC41CD}" type="presOf" srcId="{7983DDC0-D496-184B-A1EF-8143B37472E9}" destId="{EB3A07A1-55CA-E34B-A80C-93999C97D0F4}" srcOrd="0" destOrd="0" presId="urn:microsoft.com/office/officeart/2005/8/layout/hierarchy2"/>
    <dgm:cxn modelId="{C4F9EDC6-2FF2-AB42-9EC4-8861793A59C3}" srcId="{669F58EE-67B6-AF4E-92EC-B9285205974C}" destId="{BD995ED9-3F67-EA4B-92C4-E5F08EFA554D}" srcOrd="1" destOrd="0" parTransId="{22D6D31C-93A3-D342-97A9-A91AAB65C862}" sibTransId="{B565CC5E-2DD8-024F-A0E3-CAB4EA336483}"/>
    <dgm:cxn modelId="{2DF16164-D97C-4BA2-8613-266AA62F0714}" type="presOf" srcId="{52798902-30FC-944A-BE74-0E01F5067634}" destId="{2B80F757-4A19-7E43-B553-62281C766567}" srcOrd="0" destOrd="0" presId="urn:microsoft.com/office/officeart/2005/8/layout/hierarchy2"/>
    <dgm:cxn modelId="{BDA40432-1A58-6046-BF67-64DB90E177BD}" srcId="{669F58EE-67B6-AF4E-92EC-B9285205974C}" destId="{08EA0292-2140-DB4C-B48B-5F007DB4A492}" srcOrd="0" destOrd="0" parTransId="{52798902-30FC-944A-BE74-0E01F5067634}" sibTransId="{72906EF7-3EF7-5E42-A916-2453992E70C5}"/>
    <dgm:cxn modelId="{98CB2CE3-982C-4E61-BF3C-F986B5D23F09}" type="presOf" srcId="{08EA0292-2140-DB4C-B48B-5F007DB4A492}" destId="{80C5ACC8-5843-E54C-A4D1-1D34B26B3A5B}" srcOrd="0" destOrd="0" presId="urn:microsoft.com/office/officeart/2005/8/layout/hierarchy2"/>
    <dgm:cxn modelId="{3C6772D8-4185-40EC-A0B4-F0C04A1B4031}" type="presOf" srcId="{55A7193D-9230-0A41-BFFE-5B545A05D8EC}" destId="{F6E121CD-F7B5-D94F-BD4F-D1AB964BBBBA}" srcOrd="1" destOrd="0" presId="urn:microsoft.com/office/officeart/2005/8/layout/hierarchy2"/>
    <dgm:cxn modelId="{68FC18EB-D662-4622-A5F1-25B0579FB5BB}" type="presOf" srcId="{ECB7F0D3-6058-9342-8982-E8902DDA73FA}" destId="{517103C4-C928-DB4C-B691-365620959264}" srcOrd="1" destOrd="0" presId="urn:microsoft.com/office/officeart/2005/8/layout/hierarchy2"/>
    <dgm:cxn modelId="{6BE7D436-6840-0441-9245-BC0D8D753D41}" srcId="{B471F81D-8BF5-D845-9DF3-E007C84D4770}" destId="{81AFD7BF-1CBE-5D4B-A8CF-9BAD6B03F3A4}" srcOrd="0" destOrd="0" parTransId="{070A0E85-AAEF-5148-B8FE-599B6CCCBCDB}" sibTransId="{52AE66B7-9E58-DE44-B02D-3C37EED63253}"/>
    <dgm:cxn modelId="{E18A282B-EB46-41F5-B488-455D1DB74DB5}" type="presOf" srcId="{1333D1E4-D4A2-964D-B7E6-82FE69E7B013}" destId="{9D92E20F-2C7E-E84A-81B7-B4F1EC016657}" srcOrd="0" destOrd="0" presId="urn:microsoft.com/office/officeart/2005/8/layout/hierarchy2"/>
    <dgm:cxn modelId="{7FCC5FA5-05F5-42F6-A19D-B7A7D7B90E2D}" type="presOf" srcId="{1ACCA861-FFDD-A048-A625-6981794974F7}" destId="{FF279D13-1FA0-5746-9315-F67684B1CCC6}" srcOrd="1" destOrd="0" presId="urn:microsoft.com/office/officeart/2005/8/layout/hierarchy2"/>
    <dgm:cxn modelId="{7F40781F-6406-4B07-B53C-B19E22AC3236}" type="presOf" srcId="{B471F81D-8BF5-D845-9DF3-E007C84D4770}" destId="{A95743AF-8C24-EA46-9EEA-A593DC698EE8}" srcOrd="0" destOrd="0" presId="urn:microsoft.com/office/officeart/2005/8/layout/hierarchy2"/>
    <dgm:cxn modelId="{AC6F378A-44FD-4D39-85E4-527457BFE8D4}" type="presOf" srcId="{1ACCA861-FFDD-A048-A625-6981794974F7}" destId="{24D041BA-862C-C548-BEF5-90BCAFFFC4D8}" srcOrd="0" destOrd="0" presId="urn:microsoft.com/office/officeart/2005/8/layout/hierarchy2"/>
    <dgm:cxn modelId="{8D649D2C-D93A-9C41-B6AC-48B9356E9E88}" srcId="{81AFD7BF-1CBE-5D4B-A8CF-9BAD6B03F3A4}" destId="{669F58EE-67B6-AF4E-92EC-B9285205974C}" srcOrd="0" destOrd="0" parTransId="{55A7193D-9230-0A41-BFFE-5B545A05D8EC}" sibTransId="{2A0FB84B-5853-014F-A4CD-408C7C308C72}"/>
    <dgm:cxn modelId="{679924EC-EEC5-488E-A31E-3107102ED253}" type="presOf" srcId="{ECB7F0D3-6058-9342-8982-E8902DDA73FA}" destId="{ABD4334A-260F-2D48-A0D3-AD5E62735457}" srcOrd="0" destOrd="0" presId="urn:microsoft.com/office/officeart/2005/8/layout/hierarchy2"/>
    <dgm:cxn modelId="{C007A762-7BBC-4CCC-97EC-3AB112EA08E0}" type="presOf" srcId="{BD995ED9-3F67-EA4B-92C4-E5F08EFA554D}" destId="{9812CA31-94E5-BD49-9BF5-009309538B6F}" srcOrd="0" destOrd="0" presId="urn:microsoft.com/office/officeart/2005/8/layout/hierarchy2"/>
    <dgm:cxn modelId="{B6194EA5-5C2D-4C13-9687-1A02EE5BFCAA}" type="presOf" srcId="{52798902-30FC-944A-BE74-0E01F5067634}" destId="{8821E079-DFD5-D64D-8290-7653418F4DE2}" srcOrd="1" destOrd="0" presId="urn:microsoft.com/office/officeart/2005/8/layout/hierarchy2"/>
    <dgm:cxn modelId="{67162EE3-1D6A-466C-BA13-643678A0160C}" type="presOf" srcId="{34FB8DA7-4B17-9346-AA37-49AE78AB4C9C}" destId="{EF36DC30-68EC-444F-822B-9E9002E29F80}" srcOrd="0" destOrd="0" presId="urn:microsoft.com/office/officeart/2005/8/layout/hierarchy2"/>
    <dgm:cxn modelId="{58ADA52A-78CE-4450-A2E9-58AFD0F1952C}" type="presOf" srcId="{22D6D31C-93A3-D342-97A9-A91AAB65C862}" destId="{535C278A-BF39-DE4E-AADE-1A9264A51A6B}" srcOrd="1" destOrd="0" presId="urn:microsoft.com/office/officeart/2005/8/layout/hierarchy2"/>
    <dgm:cxn modelId="{4E60B9AB-E3E1-4B62-A398-B86BE4E706C3}" type="presOf" srcId="{22D6D31C-93A3-D342-97A9-A91AAB65C862}" destId="{9281AB00-0B17-D64F-AC96-175D0EAC35F5}" srcOrd="0" destOrd="0" presId="urn:microsoft.com/office/officeart/2005/8/layout/hierarchy2"/>
    <dgm:cxn modelId="{00A74EF4-D2F9-4F35-B155-13C47C46D6A2}" type="presOf" srcId="{669F58EE-67B6-AF4E-92EC-B9285205974C}" destId="{4110085E-C14C-DD4D-8C61-B10A92941FA4}" srcOrd="0" destOrd="0" presId="urn:microsoft.com/office/officeart/2005/8/layout/hierarchy2"/>
    <dgm:cxn modelId="{AB58C788-A74A-41ED-A0B4-5DCCFE7F2EC4}" type="presOf" srcId="{856B72BD-D4CE-0B40-9428-F6961A298A74}" destId="{5D4F33A3-A0C7-BF46-BC41-675029FA9AE1}" srcOrd="0" destOrd="0" presId="urn:microsoft.com/office/officeart/2005/8/layout/hierarchy2"/>
    <dgm:cxn modelId="{C13A70B9-854A-EC4F-93C3-7422574C1E67}" srcId="{81AFD7BF-1CBE-5D4B-A8CF-9BAD6B03F3A4}" destId="{7983DDC0-D496-184B-A1EF-8143B37472E9}" srcOrd="1" destOrd="0" parTransId="{ECB7F0D3-6058-9342-8982-E8902DDA73FA}" sibTransId="{B43A09E3-9E5A-4242-8507-6A9EB34D8E95}"/>
    <dgm:cxn modelId="{FF73A119-091D-4186-A030-AF018FB223C0}" type="presOf" srcId="{81AFD7BF-1CBE-5D4B-A8CF-9BAD6B03F3A4}" destId="{E8722200-D0F8-4C48-A3C2-BFB9EEF7754C}" srcOrd="0" destOrd="0" presId="urn:microsoft.com/office/officeart/2005/8/layout/hierarchy2"/>
    <dgm:cxn modelId="{477A3055-4766-4D91-B87A-39D3F82DD3D8}" type="presOf" srcId="{1333D1E4-D4A2-964D-B7E6-82FE69E7B013}" destId="{2196EC50-D974-0549-B208-183726384124}" srcOrd="1" destOrd="0" presId="urn:microsoft.com/office/officeart/2005/8/layout/hierarchy2"/>
    <dgm:cxn modelId="{5193D454-8001-D340-881A-8F083AE093D8}" srcId="{7983DDC0-D496-184B-A1EF-8143B37472E9}" destId="{856B72BD-D4CE-0B40-9428-F6961A298A74}" srcOrd="1" destOrd="0" parTransId="{1ACCA861-FFDD-A048-A625-6981794974F7}" sibTransId="{8F1C8ECC-9545-904A-B86B-64FE6D220EF0}"/>
    <dgm:cxn modelId="{43ED8250-9D36-4ED0-A370-6071A5106FBC}" type="presOf" srcId="{55A7193D-9230-0A41-BFFE-5B545A05D8EC}" destId="{5CD604C6-FFE6-D74F-96F2-799B2EBFB5A1}" srcOrd="0" destOrd="0" presId="urn:microsoft.com/office/officeart/2005/8/layout/hierarchy2"/>
    <dgm:cxn modelId="{C6A7B588-C848-4DD7-A4ED-9A553EE9BDC9}" type="presParOf" srcId="{A95743AF-8C24-EA46-9EEA-A593DC698EE8}" destId="{7F64D04D-F8A3-8348-8B5D-3C272F7F62EB}" srcOrd="0" destOrd="0" presId="urn:microsoft.com/office/officeart/2005/8/layout/hierarchy2"/>
    <dgm:cxn modelId="{7F0E3094-D8F1-4963-99AA-21E38CE8E8E0}" type="presParOf" srcId="{7F64D04D-F8A3-8348-8B5D-3C272F7F62EB}" destId="{E8722200-D0F8-4C48-A3C2-BFB9EEF7754C}" srcOrd="0" destOrd="0" presId="urn:microsoft.com/office/officeart/2005/8/layout/hierarchy2"/>
    <dgm:cxn modelId="{A9E0BA9F-BCC6-45FA-8CFF-05BB108EF039}" type="presParOf" srcId="{7F64D04D-F8A3-8348-8B5D-3C272F7F62EB}" destId="{5B2775F9-F7CB-0745-881C-766ACE92BE19}" srcOrd="1" destOrd="0" presId="urn:microsoft.com/office/officeart/2005/8/layout/hierarchy2"/>
    <dgm:cxn modelId="{C330A2CB-97BA-4B2E-8445-60E60FA316DF}" type="presParOf" srcId="{5B2775F9-F7CB-0745-881C-766ACE92BE19}" destId="{5CD604C6-FFE6-D74F-96F2-799B2EBFB5A1}" srcOrd="0" destOrd="0" presId="urn:microsoft.com/office/officeart/2005/8/layout/hierarchy2"/>
    <dgm:cxn modelId="{E63B7339-20C9-4A29-B3BA-EA512B6BBEF6}" type="presParOf" srcId="{5CD604C6-FFE6-D74F-96F2-799B2EBFB5A1}" destId="{F6E121CD-F7B5-D94F-BD4F-D1AB964BBBBA}" srcOrd="0" destOrd="0" presId="urn:microsoft.com/office/officeart/2005/8/layout/hierarchy2"/>
    <dgm:cxn modelId="{72C6AE78-0DD7-4A21-A592-9AA464E55AE4}" type="presParOf" srcId="{5B2775F9-F7CB-0745-881C-766ACE92BE19}" destId="{853731D5-74DE-3F46-94A0-5D82F11CDD26}" srcOrd="1" destOrd="0" presId="urn:microsoft.com/office/officeart/2005/8/layout/hierarchy2"/>
    <dgm:cxn modelId="{BF680B40-9667-4FD3-A466-7681AF95A5BB}" type="presParOf" srcId="{853731D5-74DE-3F46-94A0-5D82F11CDD26}" destId="{4110085E-C14C-DD4D-8C61-B10A92941FA4}" srcOrd="0" destOrd="0" presId="urn:microsoft.com/office/officeart/2005/8/layout/hierarchy2"/>
    <dgm:cxn modelId="{05BAC886-18CE-4C3A-A8D5-6B3DCBEBE059}" type="presParOf" srcId="{853731D5-74DE-3F46-94A0-5D82F11CDD26}" destId="{CF7240DC-80A1-7140-8772-93535153AFE9}" srcOrd="1" destOrd="0" presId="urn:microsoft.com/office/officeart/2005/8/layout/hierarchy2"/>
    <dgm:cxn modelId="{106B3ED2-8C33-40DF-AB94-35DEA44228A6}" type="presParOf" srcId="{CF7240DC-80A1-7140-8772-93535153AFE9}" destId="{2B80F757-4A19-7E43-B553-62281C766567}" srcOrd="0" destOrd="0" presId="urn:microsoft.com/office/officeart/2005/8/layout/hierarchy2"/>
    <dgm:cxn modelId="{3FB05507-3355-4BD9-975D-EBEF4C2C63AC}" type="presParOf" srcId="{2B80F757-4A19-7E43-B553-62281C766567}" destId="{8821E079-DFD5-D64D-8290-7653418F4DE2}" srcOrd="0" destOrd="0" presId="urn:microsoft.com/office/officeart/2005/8/layout/hierarchy2"/>
    <dgm:cxn modelId="{B0414B60-8BEF-49F0-859E-9AD3CA06467B}" type="presParOf" srcId="{CF7240DC-80A1-7140-8772-93535153AFE9}" destId="{70DE0E35-6E14-F948-861E-716BE3166FD0}" srcOrd="1" destOrd="0" presId="urn:microsoft.com/office/officeart/2005/8/layout/hierarchy2"/>
    <dgm:cxn modelId="{AA298420-C2DD-4FA0-AEA3-82FA70CC4F9F}" type="presParOf" srcId="{70DE0E35-6E14-F948-861E-716BE3166FD0}" destId="{80C5ACC8-5843-E54C-A4D1-1D34B26B3A5B}" srcOrd="0" destOrd="0" presId="urn:microsoft.com/office/officeart/2005/8/layout/hierarchy2"/>
    <dgm:cxn modelId="{8A28EC55-A73C-4379-B169-B063CEF2BFD8}" type="presParOf" srcId="{70DE0E35-6E14-F948-861E-716BE3166FD0}" destId="{DA326CEB-B068-0844-93DA-7DAD2AA1D7F1}" srcOrd="1" destOrd="0" presId="urn:microsoft.com/office/officeart/2005/8/layout/hierarchy2"/>
    <dgm:cxn modelId="{35BB2802-EF36-4660-99C1-CD1DC5F29D5E}" type="presParOf" srcId="{CF7240DC-80A1-7140-8772-93535153AFE9}" destId="{9281AB00-0B17-D64F-AC96-175D0EAC35F5}" srcOrd="2" destOrd="0" presId="urn:microsoft.com/office/officeart/2005/8/layout/hierarchy2"/>
    <dgm:cxn modelId="{A2637DE9-61C1-423B-84EC-F9CFCB04156F}" type="presParOf" srcId="{9281AB00-0B17-D64F-AC96-175D0EAC35F5}" destId="{535C278A-BF39-DE4E-AADE-1A9264A51A6B}" srcOrd="0" destOrd="0" presId="urn:microsoft.com/office/officeart/2005/8/layout/hierarchy2"/>
    <dgm:cxn modelId="{522A5AC6-76CD-4EDA-9F85-553441490343}" type="presParOf" srcId="{CF7240DC-80A1-7140-8772-93535153AFE9}" destId="{54814B72-058B-9047-902B-598DCAC65252}" srcOrd="3" destOrd="0" presId="urn:microsoft.com/office/officeart/2005/8/layout/hierarchy2"/>
    <dgm:cxn modelId="{635589BF-2761-4400-9550-841FE305E016}" type="presParOf" srcId="{54814B72-058B-9047-902B-598DCAC65252}" destId="{9812CA31-94E5-BD49-9BF5-009309538B6F}" srcOrd="0" destOrd="0" presId="urn:microsoft.com/office/officeart/2005/8/layout/hierarchy2"/>
    <dgm:cxn modelId="{F558A423-C700-425C-A2EC-1F97C5BA7472}" type="presParOf" srcId="{54814B72-058B-9047-902B-598DCAC65252}" destId="{68D76077-CA8B-1243-8DDB-1997818FB92A}" srcOrd="1" destOrd="0" presId="urn:microsoft.com/office/officeart/2005/8/layout/hierarchy2"/>
    <dgm:cxn modelId="{D9BED827-6340-47A0-98A6-6C1E4FE16E2B}" type="presParOf" srcId="{5B2775F9-F7CB-0745-881C-766ACE92BE19}" destId="{ABD4334A-260F-2D48-A0D3-AD5E62735457}" srcOrd="2" destOrd="0" presId="urn:microsoft.com/office/officeart/2005/8/layout/hierarchy2"/>
    <dgm:cxn modelId="{03A29FEE-8DC9-49A3-80F6-9545EE8A12F8}" type="presParOf" srcId="{ABD4334A-260F-2D48-A0D3-AD5E62735457}" destId="{517103C4-C928-DB4C-B691-365620959264}" srcOrd="0" destOrd="0" presId="urn:microsoft.com/office/officeart/2005/8/layout/hierarchy2"/>
    <dgm:cxn modelId="{5B2B6003-31B4-4AF8-AC91-CD5AFA7E13DC}" type="presParOf" srcId="{5B2775F9-F7CB-0745-881C-766ACE92BE19}" destId="{175ADA01-60AC-7541-B8CD-38079EDEA2FC}" srcOrd="3" destOrd="0" presId="urn:microsoft.com/office/officeart/2005/8/layout/hierarchy2"/>
    <dgm:cxn modelId="{47C1F6CF-4BB1-4A88-8EB0-3561F3ACDA16}" type="presParOf" srcId="{175ADA01-60AC-7541-B8CD-38079EDEA2FC}" destId="{EB3A07A1-55CA-E34B-A80C-93999C97D0F4}" srcOrd="0" destOrd="0" presId="urn:microsoft.com/office/officeart/2005/8/layout/hierarchy2"/>
    <dgm:cxn modelId="{E284759D-C938-44BE-8A87-41A6AFAF929D}" type="presParOf" srcId="{175ADA01-60AC-7541-B8CD-38079EDEA2FC}" destId="{BBEC6346-4C46-124F-A5FD-760D96CF822F}" srcOrd="1" destOrd="0" presId="urn:microsoft.com/office/officeart/2005/8/layout/hierarchy2"/>
    <dgm:cxn modelId="{EA1CEF55-76AD-498A-B7D7-1971003E0428}" type="presParOf" srcId="{BBEC6346-4C46-124F-A5FD-760D96CF822F}" destId="{9D92E20F-2C7E-E84A-81B7-B4F1EC016657}" srcOrd="0" destOrd="0" presId="urn:microsoft.com/office/officeart/2005/8/layout/hierarchy2"/>
    <dgm:cxn modelId="{A999B374-3660-4D9E-A35E-650A5F391BF7}" type="presParOf" srcId="{9D92E20F-2C7E-E84A-81B7-B4F1EC016657}" destId="{2196EC50-D974-0549-B208-183726384124}" srcOrd="0" destOrd="0" presId="urn:microsoft.com/office/officeart/2005/8/layout/hierarchy2"/>
    <dgm:cxn modelId="{04591E1A-9FC7-459C-AE56-AE81ED585B31}" type="presParOf" srcId="{BBEC6346-4C46-124F-A5FD-760D96CF822F}" destId="{E8BDAA4B-4171-FB4A-A74F-19DE2660EE4B}" srcOrd="1" destOrd="0" presId="urn:microsoft.com/office/officeart/2005/8/layout/hierarchy2"/>
    <dgm:cxn modelId="{33553626-AB74-4227-B732-F36AD1C63D59}" type="presParOf" srcId="{E8BDAA4B-4171-FB4A-A74F-19DE2660EE4B}" destId="{EF36DC30-68EC-444F-822B-9E9002E29F80}" srcOrd="0" destOrd="0" presId="urn:microsoft.com/office/officeart/2005/8/layout/hierarchy2"/>
    <dgm:cxn modelId="{202F88F5-58BA-407B-8DE2-7C6ED5CD9886}" type="presParOf" srcId="{E8BDAA4B-4171-FB4A-A74F-19DE2660EE4B}" destId="{223A13AB-C12F-BF4B-92C7-633708821173}" srcOrd="1" destOrd="0" presId="urn:microsoft.com/office/officeart/2005/8/layout/hierarchy2"/>
    <dgm:cxn modelId="{3C8ACACF-22A3-4692-8EB6-3DB519018C9D}" type="presParOf" srcId="{BBEC6346-4C46-124F-A5FD-760D96CF822F}" destId="{24D041BA-862C-C548-BEF5-90BCAFFFC4D8}" srcOrd="2" destOrd="0" presId="urn:microsoft.com/office/officeart/2005/8/layout/hierarchy2"/>
    <dgm:cxn modelId="{CE2E5572-1D1A-4C0D-8E0D-914BD061B2B0}" type="presParOf" srcId="{24D041BA-862C-C548-BEF5-90BCAFFFC4D8}" destId="{FF279D13-1FA0-5746-9315-F67684B1CCC6}" srcOrd="0" destOrd="0" presId="urn:microsoft.com/office/officeart/2005/8/layout/hierarchy2"/>
    <dgm:cxn modelId="{A48BA3C9-9B93-4B70-B130-0F3837F9CBEF}" type="presParOf" srcId="{BBEC6346-4C46-124F-A5FD-760D96CF822F}" destId="{1CBDCCFC-5FA2-0F40-B986-F072E3EBC031}" srcOrd="3" destOrd="0" presId="urn:microsoft.com/office/officeart/2005/8/layout/hierarchy2"/>
    <dgm:cxn modelId="{A1C2E082-EBC7-4B79-BCEE-37B33E3AEA4D}" type="presParOf" srcId="{1CBDCCFC-5FA2-0F40-B986-F072E3EBC031}" destId="{5D4F33A3-A0C7-BF46-BC41-675029FA9AE1}" srcOrd="0" destOrd="0" presId="urn:microsoft.com/office/officeart/2005/8/layout/hierarchy2"/>
    <dgm:cxn modelId="{0FCA371B-DD2B-4A19-A02E-1C6E6245E8BE}" type="presParOf" srcId="{1CBDCCFC-5FA2-0F40-B986-F072E3EBC031}" destId="{7D646EB2-B680-B648-8DAA-161AE663B54F}" srcOrd="1" destOrd="0" presId="urn:microsoft.com/office/officeart/2005/8/layout/hierarchy2"/>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50B071D-89AD-F449-AAF1-1EDA5E7C3743}" type="doc">
      <dgm:prSet loTypeId="urn:microsoft.com/office/officeart/2005/8/layout/bProcess3" loCatId="process" qsTypeId="urn:microsoft.com/office/officeart/2005/8/quickstyle/simple4" qsCatId="simple" csTypeId="urn:microsoft.com/office/officeart/2005/8/colors/accent1_2" csCatId="accent1" phldr="1"/>
      <dgm:spPr/>
      <dgm:t>
        <a:bodyPr/>
        <a:lstStyle/>
        <a:p>
          <a:endParaRPr lang="en-US"/>
        </a:p>
      </dgm:t>
    </dgm:pt>
    <dgm:pt modelId="{DC4647AF-E89C-E04B-B6AA-ACBDFA8D1900}">
      <dgm:prSet phldrT="[Text]">
        <dgm:style>
          <a:lnRef idx="1">
            <a:schemeClr val="accent1"/>
          </a:lnRef>
          <a:fillRef idx="2">
            <a:schemeClr val="accent1"/>
          </a:fillRef>
          <a:effectRef idx="1">
            <a:schemeClr val="accent1"/>
          </a:effectRef>
          <a:fontRef idx="minor">
            <a:schemeClr val="dk1"/>
          </a:fontRef>
        </dgm:style>
      </dgm:prSet>
      <dgm:spPr>
        <a:effectLst/>
      </dgm:spPr>
      <dgm:t>
        <a:bodyPr/>
        <a:lstStyle/>
        <a:p>
          <a:r>
            <a:rPr lang="en-US">
              <a:latin typeface="Tahoma"/>
              <a:cs typeface="Tahoma"/>
            </a:rPr>
            <a:t>Projekto apibrėžimas</a:t>
          </a:r>
        </a:p>
      </dgm:t>
    </dgm:pt>
    <dgm:pt modelId="{EB02B9E6-F5CB-154A-9BCD-4B8F5C41A028}" type="parTrans" cxnId="{0C9D91F9-7156-C74F-A6ED-32F87BBE3093}">
      <dgm:prSet/>
      <dgm:spPr/>
      <dgm:t>
        <a:bodyPr/>
        <a:lstStyle/>
        <a:p>
          <a:endParaRPr lang="en-US"/>
        </a:p>
      </dgm:t>
    </dgm:pt>
    <dgm:pt modelId="{E5C7E647-6864-B74C-9352-3E23F53901CF}" type="sibTrans" cxnId="{0C9D91F9-7156-C74F-A6ED-32F87BBE3093}">
      <dgm:prSet>
        <dgm:style>
          <a:lnRef idx="1">
            <a:schemeClr val="accent1"/>
          </a:lnRef>
          <a:fillRef idx="2">
            <a:schemeClr val="accent1"/>
          </a:fillRef>
          <a:effectRef idx="1">
            <a:schemeClr val="accent1"/>
          </a:effectRef>
          <a:fontRef idx="minor">
            <a:schemeClr val="dk1"/>
          </a:fontRef>
        </dgm:style>
      </dgm:prSet>
      <dgm:spPr>
        <a:ln>
          <a:tailEnd type="triangle"/>
        </a:ln>
        <a:effectLst/>
      </dgm:spPr>
      <dgm:t>
        <a:bodyPr/>
        <a:lstStyle/>
        <a:p>
          <a:endParaRPr lang="en-US" b="0">
            <a:latin typeface="Tahoma"/>
            <a:cs typeface="Tahoma"/>
          </a:endParaRPr>
        </a:p>
      </dgm:t>
    </dgm:pt>
    <dgm:pt modelId="{E067AAAE-9833-D442-8728-2072DCA0142D}">
      <dgm:prSet phldrT="[Text]">
        <dgm:style>
          <a:lnRef idx="1">
            <a:schemeClr val="accent1"/>
          </a:lnRef>
          <a:fillRef idx="2">
            <a:schemeClr val="accent1"/>
          </a:fillRef>
          <a:effectRef idx="1">
            <a:schemeClr val="accent1"/>
          </a:effectRef>
          <a:fontRef idx="minor">
            <a:schemeClr val="dk1"/>
          </a:fontRef>
        </dgm:style>
      </dgm:prSet>
      <dgm:spPr>
        <a:effectLst/>
      </dgm:spPr>
      <dgm:t>
        <a:bodyPr/>
        <a:lstStyle/>
        <a:p>
          <a:r>
            <a:rPr lang="en-US" b="0">
              <a:latin typeface="Tahoma"/>
              <a:cs typeface="Tahoma"/>
            </a:rPr>
            <a:t>Galimybių studija</a:t>
          </a:r>
        </a:p>
      </dgm:t>
    </dgm:pt>
    <dgm:pt modelId="{C50CC45E-6461-D644-845D-2AAB8EAE94D7}" type="parTrans" cxnId="{FFFAD5CC-D470-4E4D-B293-67C3942DA25A}">
      <dgm:prSet/>
      <dgm:spPr/>
      <dgm:t>
        <a:bodyPr/>
        <a:lstStyle/>
        <a:p>
          <a:endParaRPr lang="en-US"/>
        </a:p>
      </dgm:t>
    </dgm:pt>
    <dgm:pt modelId="{634FBC10-D29B-D642-8F0E-61392BCAB742}" type="sibTrans" cxnId="{FFFAD5CC-D470-4E4D-B293-67C3942DA25A}">
      <dgm:prSet>
        <dgm:style>
          <a:lnRef idx="1">
            <a:schemeClr val="accent1"/>
          </a:lnRef>
          <a:fillRef idx="2">
            <a:schemeClr val="accent1"/>
          </a:fillRef>
          <a:effectRef idx="1">
            <a:schemeClr val="accent1"/>
          </a:effectRef>
          <a:fontRef idx="minor">
            <a:schemeClr val="dk1"/>
          </a:fontRef>
        </dgm:style>
      </dgm:prSet>
      <dgm:spPr>
        <a:ln>
          <a:tailEnd type="triangle"/>
        </a:ln>
        <a:effectLst/>
      </dgm:spPr>
      <dgm:t>
        <a:bodyPr/>
        <a:lstStyle/>
        <a:p>
          <a:endParaRPr lang="en-US" b="0">
            <a:latin typeface="Tahoma"/>
            <a:cs typeface="Tahoma"/>
          </a:endParaRPr>
        </a:p>
      </dgm:t>
    </dgm:pt>
    <dgm:pt modelId="{F540C68C-B249-764A-895E-C42073B4B276}">
      <dgm:prSet phldrT="[Text]">
        <dgm:style>
          <a:lnRef idx="1">
            <a:schemeClr val="accent1"/>
          </a:lnRef>
          <a:fillRef idx="2">
            <a:schemeClr val="accent1"/>
          </a:fillRef>
          <a:effectRef idx="1">
            <a:schemeClr val="accent1"/>
          </a:effectRef>
          <a:fontRef idx="minor">
            <a:schemeClr val="dk1"/>
          </a:fontRef>
        </dgm:style>
      </dgm:prSet>
      <dgm:spPr>
        <a:effectLst/>
      </dgm:spPr>
      <dgm:t>
        <a:bodyPr/>
        <a:lstStyle/>
        <a:p>
          <a:r>
            <a:rPr lang="en-US" b="0">
              <a:latin typeface="Tahoma"/>
              <a:cs typeface="Tahoma"/>
            </a:rPr>
            <a:t>Verslo projekto modelis</a:t>
          </a:r>
        </a:p>
      </dgm:t>
    </dgm:pt>
    <dgm:pt modelId="{93338931-8254-3549-A27E-6610AC608A4D}" type="parTrans" cxnId="{C2F11C6E-2646-DA4B-A8FB-AACD50C95940}">
      <dgm:prSet/>
      <dgm:spPr/>
      <dgm:t>
        <a:bodyPr/>
        <a:lstStyle/>
        <a:p>
          <a:endParaRPr lang="en-US"/>
        </a:p>
      </dgm:t>
    </dgm:pt>
    <dgm:pt modelId="{E403B4D2-C108-5140-804A-9E66192E14B4}" type="sibTrans" cxnId="{C2F11C6E-2646-DA4B-A8FB-AACD50C95940}">
      <dgm:prSet>
        <dgm:style>
          <a:lnRef idx="1">
            <a:schemeClr val="accent1"/>
          </a:lnRef>
          <a:fillRef idx="2">
            <a:schemeClr val="accent1"/>
          </a:fillRef>
          <a:effectRef idx="1">
            <a:schemeClr val="accent1"/>
          </a:effectRef>
          <a:fontRef idx="minor">
            <a:schemeClr val="dk1"/>
          </a:fontRef>
        </dgm:style>
      </dgm:prSet>
      <dgm:spPr>
        <a:ln>
          <a:tailEnd type="triangle"/>
        </a:ln>
        <a:effectLst/>
      </dgm:spPr>
      <dgm:t>
        <a:bodyPr/>
        <a:lstStyle/>
        <a:p>
          <a:endParaRPr lang="en-US" b="0">
            <a:latin typeface="Tahoma"/>
            <a:cs typeface="Tahoma"/>
          </a:endParaRPr>
        </a:p>
      </dgm:t>
    </dgm:pt>
    <dgm:pt modelId="{C53C6C2E-00A0-4243-A99B-B258D3A0CBAB}">
      <dgm:prSet phldrT="[Text]">
        <dgm:style>
          <a:lnRef idx="1">
            <a:schemeClr val="accent1"/>
          </a:lnRef>
          <a:fillRef idx="2">
            <a:schemeClr val="accent1"/>
          </a:fillRef>
          <a:effectRef idx="1">
            <a:schemeClr val="accent1"/>
          </a:effectRef>
          <a:fontRef idx="minor">
            <a:schemeClr val="dk1"/>
          </a:fontRef>
        </dgm:style>
      </dgm:prSet>
      <dgm:spPr>
        <a:effectLst/>
      </dgm:spPr>
      <dgm:t>
        <a:bodyPr/>
        <a:lstStyle/>
        <a:p>
          <a:r>
            <a:rPr lang="en-US">
              <a:latin typeface="Tahoma"/>
              <a:cs typeface="Tahoma"/>
            </a:rPr>
            <a:t>Projekto patvirtinimas</a:t>
          </a:r>
        </a:p>
      </dgm:t>
    </dgm:pt>
    <dgm:pt modelId="{846AE056-2EC1-CA4D-8652-E714D4DAEC40}" type="parTrans" cxnId="{6A48A878-300D-7242-A59B-431165C57CBF}">
      <dgm:prSet/>
      <dgm:spPr/>
      <dgm:t>
        <a:bodyPr/>
        <a:lstStyle/>
        <a:p>
          <a:endParaRPr lang="en-US"/>
        </a:p>
      </dgm:t>
    </dgm:pt>
    <dgm:pt modelId="{5D59322F-0B9B-3744-9A06-E7C97EC6B452}" type="sibTrans" cxnId="{6A48A878-300D-7242-A59B-431165C57CBF}">
      <dgm:prSet>
        <dgm:style>
          <a:lnRef idx="1">
            <a:schemeClr val="accent1"/>
          </a:lnRef>
          <a:fillRef idx="2">
            <a:schemeClr val="accent1"/>
          </a:fillRef>
          <a:effectRef idx="1">
            <a:schemeClr val="accent1"/>
          </a:effectRef>
          <a:fontRef idx="minor">
            <a:schemeClr val="dk1"/>
          </a:fontRef>
        </dgm:style>
      </dgm:prSet>
      <dgm:spPr>
        <a:ln>
          <a:tailEnd type="triangle"/>
        </a:ln>
        <a:effectLst/>
      </dgm:spPr>
      <dgm:t>
        <a:bodyPr/>
        <a:lstStyle/>
        <a:p>
          <a:endParaRPr lang="en-US" b="0">
            <a:latin typeface="Tahoma"/>
            <a:cs typeface="Tahoma"/>
          </a:endParaRPr>
        </a:p>
      </dgm:t>
    </dgm:pt>
    <dgm:pt modelId="{E4501C9F-2FB8-4B45-A5E0-62147B81246D}">
      <dgm:prSet>
        <dgm:style>
          <a:lnRef idx="1">
            <a:schemeClr val="accent1"/>
          </a:lnRef>
          <a:fillRef idx="2">
            <a:schemeClr val="accent1"/>
          </a:fillRef>
          <a:effectRef idx="1">
            <a:schemeClr val="accent1"/>
          </a:effectRef>
          <a:fontRef idx="minor">
            <a:schemeClr val="dk1"/>
          </a:fontRef>
        </dgm:style>
      </dgm:prSet>
      <dgm:spPr>
        <a:effectLst/>
      </dgm:spPr>
      <dgm:t>
        <a:bodyPr/>
        <a:lstStyle/>
        <a:p>
          <a:r>
            <a:rPr lang="en-US">
              <a:latin typeface="Tahoma"/>
              <a:cs typeface="Tahoma"/>
            </a:rPr>
            <a:t>Kvietimas teikti</a:t>
          </a:r>
        </a:p>
        <a:p>
          <a:r>
            <a:rPr lang="en-US">
              <a:latin typeface="Tahoma"/>
              <a:cs typeface="Tahoma"/>
            </a:rPr>
            <a:t>kvalifikacinius</a:t>
          </a:r>
        </a:p>
        <a:p>
          <a:r>
            <a:rPr lang="en-US">
              <a:latin typeface="Tahoma"/>
              <a:cs typeface="Tahoma"/>
            </a:rPr>
            <a:t>pasiūlymus</a:t>
          </a:r>
        </a:p>
      </dgm:t>
    </dgm:pt>
    <dgm:pt modelId="{33D0226E-4861-5548-9F9B-6227CDD5825C}" type="parTrans" cxnId="{F9F024B7-9233-8C4A-8FEE-1807222D97EC}">
      <dgm:prSet/>
      <dgm:spPr/>
      <dgm:t>
        <a:bodyPr/>
        <a:lstStyle/>
        <a:p>
          <a:endParaRPr lang="en-US"/>
        </a:p>
      </dgm:t>
    </dgm:pt>
    <dgm:pt modelId="{AAF75F6D-66E9-AD44-9920-311F7E31227A}" type="sibTrans" cxnId="{F9F024B7-9233-8C4A-8FEE-1807222D97EC}">
      <dgm:prSet>
        <dgm:style>
          <a:lnRef idx="1">
            <a:schemeClr val="accent1"/>
          </a:lnRef>
          <a:fillRef idx="2">
            <a:schemeClr val="accent1"/>
          </a:fillRef>
          <a:effectRef idx="1">
            <a:schemeClr val="accent1"/>
          </a:effectRef>
          <a:fontRef idx="minor">
            <a:schemeClr val="dk1"/>
          </a:fontRef>
        </dgm:style>
      </dgm:prSet>
      <dgm:spPr>
        <a:ln>
          <a:tailEnd type="triangle"/>
        </a:ln>
        <a:effectLst/>
      </dgm:spPr>
      <dgm:t>
        <a:bodyPr/>
        <a:lstStyle/>
        <a:p>
          <a:endParaRPr lang="en-US" b="0">
            <a:latin typeface="Tahoma"/>
            <a:cs typeface="Tahoma"/>
          </a:endParaRPr>
        </a:p>
      </dgm:t>
    </dgm:pt>
    <dgm:pt modelId="{A89A275B-FC2B-7740-9A3F-3F4165E375CF}">
      <dgm:prSet>
        <dgm:style>
          <a:lnRef idx="1">
            <a:schemeClr val="accent1"/>
          </a:lnRef>
          <a:fillRef idx="2">
            <a:schemeClr val="accent1"/>
          </a:fillRef>
          <a:effectRef idx="1">
            <a:schemeClr val="accent1"/>
          </a:effectRef>
          <a:fontRef idx="minor">
            <a:schemeClr val="dk1"/>
          </a:fontRef>
        </dgm:style>
      </dgm:prSet>
      <dgm:spPr>
        <a:effectLst/>
      </dgm:spPr>
      <dgm:t>
        <a:bodyPr/>
        <a:lstStyle/>
        <a:p>
          <a:r>
            <a:rPr lang="en-US" b="0">
              <a:latin typeface="Tahoma"/>
              <a:cs typeface="Tahoma"/>
            </a:rPr>
            <a:t>Geriausių teikėjų atrinkimas</a:t>
          </a:r>
        </a:p>
      </dgm:t>
    </dgm:pt>
    <dgm:pt modelId="{4D149236-81C7-E349-B9F8-05DF1F77CD2F}" type="parTrans" cxnId="{309AD492-A8C5-B34B-A7E1-85F089F7F2FA}">
      <dgm:prSet/>
      <dgm:spPr/>
      <dgm:t>
        <a:bodyPr/>
        <a:lstStyle/>
        <a:p>
          <a:endParaRPr lang="en-US"/>
        </a:p>
      </dgm:t>
    </dgm:pt>
    <dgm:pt modelId="{30EAB0B5-877C-2946-8156-4E5C1B9DB371}" type="sibTrans" cxnId="{309AD492-A8C5-B34B-A7E1-85F089F7F2FA}">
      <dgm:prSet>
        <dgm:style>
          <a:lnRef idx="1">
            <a:schemeClr val="accent1"/>
          </a:lnRef>
          <a:fillRef idx="2">
            <a:schemeClr val="accent1"/>
          </a:fillRef>
          <a:effectRef idx="1">
            <a:schemeClr val="accent1"/>
          </a:effectRef>
          <a:fontRef idx="minor">
            <a:schemeClr val="dk1"/>
          </a:fontRef>
        </dgm:style>
      </dgm:prSet>
      <dgm:spPr>
        <a:ln>
          <a:tailEnd type="triangle"/>
        </a:ln>
        <a:effectLst/>
      </dgm:spPr>
      <dgm:t>
        <a:bodyPr/>
        <a:lstStyle/>
        <a:p>
          <a:endParaRPr lang="en-US" b="0">
            <a:latin typeface="Tahoma"/>
            <a:cs typeface="Tahoma"/>
          </a:endParaRPr>
        </a:p>
      </dgm:t>
    </dgm:pt>
    <dgm:pt modelId="{D4821F37-3555-AA49-95CD-6B99540A0D96}">
      <dgm:prSet>
        <dgm:style>
          <a:lnRef idx="1">
            <a:schemeClr val="accent1"/>
          </a:lnRef>
          <a:fillRef idx="2">
            <a:schemeClr val="accent1"/>
          </a:fillRef>
          <a:effectRef idx="1">
            <a:schemeClr val="accent1"/>
          </a:effectRef>
          <a:fontRef idx="minor">
            <a:schemeClr val="dk1"/>
          </a:fontRef>
        </dgm:style>
      </dgm:prSet>
      <dgm:spPr>
        <a:effectLst/>
      </dgm:spPr>
      <dgm:t>
        <a:bodyPr/>
        <a:lstStyle/>
        <a:p>
          <a:r>
            <a:rPr lang="en-US" b="0">
              <a:latin typeface="Tahoma"/>
              <a:cs typeface="Tahoma"/>
            </a:rPr>
            <a:t>Kvietimas teikti pasiūlymus arba  Informacinio memorandumo ruošimas</a:t>
          </a:r>
        </a:p>
      </dgm:t>
    </dgm:pt>
    <dgm:pt modelId="{1ED5260A-03CA-8241-BF6E-09495B7B33F7}" type="parTrans" cxnId="{169C5C3B-935F-4347-9A15-97C77D3E95A8}">
      <dgm:prSet/>
      <dgm:spPr/>
      <dgm:t>
        <a:bodyPr/>
        <a:lstStyle/>
        <a:p>
          <a:endParaRPr lang="en-US"/>
        </a:p>
      </dgm:t>
    </dgm:pt>
    <dgm:pt modelId="{F3015D98-9895-1242-B3A3-02B1E13F7EC3}" type="sibTrans" cxnId="{169C5C3B-935F-4347-9A15-97C77D3E95A8}">
      <dgm:prSet>
        <dgm:style>
          <a:lnRef idx="1">
            <a:schemeClr val="accent1"/>
          </a:lnRef>
          <a:fillRef idx="2">
            <a:schemeClr val="accent1"/>
          </a:fillRef>
          <a:effectRef idx="1">
            <a:schemeClr val="accent1"/>
          </a:effectRef>
          <a:fontRef idx="minor">
            <a:schemeClr val="dk1"/>
          </a:fontRef>
        </dgm:style>
      </dgm:prSet>
      <dgm:spPr>
        <a:ln>
          <a:tailEnd type="triangle"/>
        </a:ln>
        <a:effectLst/>
      </dgm:spPr>
      <dgm:t>
        <a:bodyPr/>
        <a:lstStyle/>
        <a:p>
          <a:endParaRPr lang="en-US" b="0">
            <a:latin typeface="Tahoma"/>
            <a:cs typeface="Tahoma"/>
          </a:endParaRPr>
        </a:p>
      </dgm:t>
    </dgm:pt>
    <dgm:pt modelId="{E8DB95F1-4626-7640-A8A4-8CEBF5737816}">
      <dgm:prSet>
        <dgm:style>
          <a:lnRef idx="1">
            <a:schemeClr val="accent1"/>
          </a:lnRef>
          <a:fillRef idx="2">
            <a:schemeClr val="accent1"/>
          </a:fillRef>
          <a:effectRef idx="1">
            <a:schemeClr val="accent1"/>
          </a:effectRef>
          <a:fontRef idx="minor">
            <a:schemeClr val="dk1"/>
          </a:fontRef>
        </dgm:style>
      </dgm:prSet>
      <dgm:spPr>
        <a:effectLst/>
      </dgm:spPr>
      <dgm:t>
        <a:bodyPr/>
        <a:lstStyle/>
        <a:p>
          <a:r>
            <a:rPr lang="en-US">
              <a:latin typeface="Tahoma"/>
              <a:cs typeface="Tahoma"/>
            </a:rPr>
            <a:t>Pasiūlymų pateikimas</a:t>
          </a:r>
        </a:p>
      </dgm:t>
    </dgm:pt>
    <dgm:pt modelId="{372763C6-CDA5-904D-9CA2-5D040BC774FE}" type="parTrans" cxnId="{24FDB07F-4406-4F40-BB61-5F78A8752726}">
      <dgm:prSet/>
      <dgm:spPr/>
      <dgm:t>
        <a:bodyPr/>
        <a:lstStyle/>
        <a:p>
          <a:endParaRPr lang="en-US"/>
        </a:p>
      </dgm:t>
    </dgm:pt>
    <dgm:pt modelId="{C41FF1AB-6507-2042-9D21-78BA3A1DDDF2}" type="sibTrans" cxnId="{24FDB07F-4406-4F40-BB61-5F78A8752726}">
      <dgm:prSet>
        <dgm:style>
          <a:lnRef idx="1">
            <a:schemeClr val="accent1"/>
          </a:lnRef>
          <a:fillRef idx="2">
            <a:schemeClr val="accent1"/>
          </a:fillRef>
          <a:effectRef idx="1">
            <a:schemeClr val="accent1"/>
          </a:effectRef>
          <a:fontRef idx="minor">
            <a:schemeClr val="dk1"/>
          </a:fontRef>
        </dgm:style>
      </dgm:prSet>
      <dgm:spPr>
        <a:ln>
          <a:tailEnd type="triangle"/>
        </a:ln>
        <a:effectLst/>
      </dgm:spPr>
      <dgm:t>
        <a:bodyPr/>
        <a:lstStyle/>
        <a:p>
          <a:endParaRPr lang="en-US" b="0">
            <a:latin typeface="Tahoma"/>
            <a:cs typeface="Tahoma"/>
          </a:endParaRPr>
        </a:p>
      </dgm:t>
    </dgm:pt>
    <dgm:pt modelId="{1D3332F4-150A-224E-9EB2-7F752C637FF3}">
      <dgm:prSet>
        <dgm:style>
          <a:lnRef idx="1">
            <a:schemeClr val="accent1"/>
          </a:lnRef>
          <a:fillRef idx="2">
            <a:schemeClr val="accent1"/>
          </a:fillRef>
          <a:effectRef idx="1">
            <a:schemeClr val="accent1"/>
          </a:effectRef>
          <a:fontRef idx="minor">
            <a:schemeClr val="dk1"/>
          </a:fontRef>
        </dgm:style>
      </dgm:prSet>
      <dgm:spPr>
        <a:effectLst/>
      </dgm:spPr>
      <dgm:t>
        <a:bodyPr/>
        <a:lstStyle/>
        <a:p>
          <a:r>
            <a:rPr lang="en-US">
              <a:latin typeface="Tahoma"/>
              <a:cs typeface="Tahoma"/>
            </a:rPr>
            <a:t>Pasiūlymų vertinimas</a:t>
          </a:r>
        </a:p>
      </dgm:t>
    </dgm:pt>
    <dgm:pt modelId="{819D40F4-EA4A-AD4C-B09B-B7807F9CCFC2}" type="parTrans" cxnId="{E1CF6801-02E5-394C-812D-AED0303E9D57}">
      <dgm:prSet/>
      <dgm:spPr/>
      <dgm:t>
        <a:bodyPr/>
        <a:lstStyle/>
        <a:p>
          <a:endParaRPr lang="en-US"/>
        </a:p>
      </dgm:t>
    </dgm:pt>
    <dgm:pt modelId="{BCF79C0C-3C0B-7441-97BD-5A7C6EFDAA60}" type="sibTrans" cxnId="{E1CF6801-02E5-394C-812D-AED0303E9D57}">
      <dgm:prSet>
        <dgm:style>
          <a:lnRef idx="1">
            <a:schemeClr val="accent1"/>
          </a:lnRef>
          <a:fillRef idx="2">
            <a:schemeClr val="accent1"/>
          </a:fillRef>
          <a:effectRef idx="1">
            <a:schemeClr val="accent1"/>
          </a:effectRef>
          <a:fontRef idx="minor">
            <a:schemeClr val="dk1"/>
          </a:fontRef>
        </dgm:style>
      </dgm:prSet>
      <dgm:spPr>
        <a:ln>
          <a:tailEnd type="triangle"/>
        </a:ln>
        <a:effectLst/>
      </dgm:spPr>
      <dgm:t>
        <a:bodyPr/>
        <a:lstStyle/>
        <a:p>
          <a:endParaRPr lang="en-US" b="0">
            <a:latin typeface="Tahoma"/>
            <a:cs typeface="Tahoma"/>
          </a:endParaRPr>
        </a:p>
      </dgm:t>
    </dgm:pt>
    <dgm:pt modelId="{F73338AE-B274-7244-9DB8-6CB030EF047D}">
      <dgm:prSet>
        <dgm:style>
          <a:lnRef idx="1">
            <a:schemeClr val="accent1"/>
          </a:lnRef>
          <a:fillRef idx="2">
            <a:schemeClr val="accent1"/>
          </a:fillRef>
          <a:effectRef idx="1">
            <a:schemeClr val="accent1"/>
          </a:effectRef>
          <a:fontRef idx="minor">
            <a:schemeClr val="dk1"/>
          </a:fontRef>
        </dgm:style>
      </dgm:prSet>
      <dgm:spPr>
        <a:effectLst/>
      </dgm:spPr>
      <dgm:t>
        <a:bodyPr/>
        <a:lstStyle/>
        <a:p>
          <a:r>
            <a:rPr lang="en-US" b="0">
              <a:latin typeface="Tahoma"/>
              <a:cs typeface="Tahoma"/>
            </a:rPr>
            <a:t>Tiekėjo atrinkimas</a:t>
          </a:r>
        </a:p>
      </dgm:t>
    </dgm:pt>
    <dgm:pt modelId="{6E05D960-88CE-BE4E-8DD6-82EB6B6DEAD7}" type="parTrans" cxnId="{1E1BD57F-627F-6243-8337-F567562F49D0}">
      <dgm:prSet/>
      <dgm:spPr/>
      <dgm:t>
        <a:bodyPr/>
        <a:lstStyle/>
        <a:p>
          <a:endParaRPr lang="en-US"/>
        </a:p>
      </dgm:t>
    </dgm:pt>
    <dgm:pt modelId="{0EA32426-B735-AB4C-A63F-32C1F804D899}" type="sibTrans" cxnId="{1E1BD57F-627F-6243-8337-F567562F49D0}">
      <dgm:prSet>
        <dgm:style>
          <a:lnRef idx="1">
            <a:schemeClr val="accent1"/>
          </a:lnRef>
          <a:fillRef idx="2">
            <a:schemeClr val="accent1"/>
          </a:fillRef>
          <a:effectRef idx="1">
            <a:schemeClr val="accent1"/>
          </a:effectRef>
          <a:fontRef idx="minor">
            <a:schemeClr val="dk1"/>
          </a:fontRef>
        </dgm:style>
      </dgm:prSet>
      <dgm:spPr>
        <a:ln>
          <a:tailEnd type="triangle"/>
        </a:ln>
        <a:effectLst/>
      </dgm:spPr>
      <dgm:t>
        <a:bodyPr/>
        <a:lstStyle/>
        <a:p>
          <a:endParaRPr lang="en-US" b="0">
            <a:latin typeface="Tahoma"/>
            <a:cs typeface="Tahoma"/>
          </a:endParaRPr>
        </a:p>
      </dgm:t>
    </dgm:pt>
    <dgm:pt modelId="{B1D0C9D1-28B4-9D49-8A88-796AA07F69E1}">
      <dgm:prSet>
        <dgm:style>
          <a:lnRef idx="1">
            <a:schemeClr val="accent1"/>
          </a:lnRef>
          <a:fillRef idx="2">
            <a:schemeClr val="accent1"/>
          </a:fillRef>
          <a:effectRef idx="1">
            <a:schemeClr val="accent1"/>
          </a:effectRef>
          <a:fontRef idx="minor">
            <a:schemeClr val="dk1"/>
          </a:fontRef>
        </dgm:style>
      </dgm:prSet>
      <dgm:spPr>
        <a:effectLst/>
      </dgm:spPr>
      <dgm:t>
        <a:bodyPr/>
        <a:lstStyle/>
        <a:p>
          <a:r>
            <a:rPr lang="en-US" b="0">
              <a:latin typeface="Tahoma"/>
              <a:cs typeface="Tahoma"/>
            </a:rPr>
            <a:t>Derybos arba Galutinio</a:t>
          </a:r>
        </a:p>
        <a:p>
          <a:r>
            <a:rPr lang="en-US" b="0">
              <a:latin typeface="Tahoma"/>
              <a:cs typeface="Tahoma"/>
            </a:rPr>
            <a:t>modelio paruošimas ir </a:t>
          </a:r>
        </a:p>
        <a:p>
          <a:r>
            <a:rPr lang="en-US" b="0">
              <a:latin typeface="Tahoma"/>
              <a:cs typeface="Tahoma"/>
            </a:rPr>
            <a:t>sutarties suderinimas</a:t>
          </a:r>
        </a:p>
      </dgm:t>
    </dgm:pt>
    <dgm:pt modelId="{4DAB5771-3028-8D4A-8883-F6E04DDA41E2}" type="parTrans" cxnId="{BB64B457-82B0-0A4E-AF57-6D9458EF420E}">
      <dgm:prSet/>
      <dgm:spPr/>
      <dgm:t>
        <a:bodyPr/>
        <a:lstStyle/>
        <a:p>
          <a:endParaRPr lang="en-US"/>
        </a:p>
      </dgm:t>
    </dgm:pt>
    <dgm:pt modelId="{030ED5B3-D481-B54B-B4EF-B735C5BB6DEF}" type="sibTrans" cxnId="{BB64B457-82B0-0A4E-AF57-6D9458EF420E}">
      <dgm:prSet>
        <dgm:style>
          <a:lnRef idx="1">
            <a:schemeClr val="accent1"/>
          </a:lnRef>
          <a:fillRef idx="2">
            <a:schemeClr val="accent1"/>
          </a:fillRef>
          <a:effectRef idx="1">
            <a:schemeClr val="accent1"/>
          </a:effectRef>
          <a:fontRef idx="minor">
            <a:schemeClr val="dk1"/>
          </a:fontRef>
        </dgm:style>
      </dgm:prSet>
      <dgm:spPr>
        <a:ln>
          <a:tailEnd type="triangle"/>
        </a:ln>
        <a:effectLst/>
      </dgm:spPr>
      <dgm:t>
        <a:bodyPr/>
        <a:lstStyle/>
        <a:p>
          <a:endParaRPr lang="en-US" b="0">
            <a:latin typeface="Tahoma"/>
            <a:cs typeface="Tahoma"/>
          </a:endParaRPr>
        </a:p>
      </dgm:t>
    </dgm:pt>
    <dgm:pt modelId="{488AE20D-C363-3D4A-8C75-5851C4A8BE99}">
      <dgm:prSet>
        <dgm:style>
          <a:lnRef idx="1">
            <a:schemeClr val="accent1"/>
          </a:lnRef>
          <a:fillRef idx="2">
            <a:schemeClr val="accent1"/>
          </a:fillRef>
          <a:effectRef idx="1">
            <a:schemeClr val="accent1"/>
          </a:effectRef>
          <a:fontRef idx="minor">
            <a:schemeClr val="dk1"/>
          </a:fontRef>
        </dgm:style>
      </dgm:prSet>
      <dgm:spPr>
        <a:effectLst/>
      </dgm:spPr>
      <dgm:t>
        <a:bodyPr/>
        <a:lstStyle/>
        <a:p>
          <a:r>
            <a:rPr lang="en-US">
              <a:latin typeface="Tahoma"/>
              <a:cs typeface="Tahoma"/>
            </a:rPr>
            <a:t>Sutarties</a:t>
          </a:r>
        </a:p>
        <a:p>
          <a:r>
            <a:rPr lang="en-US">
              <a:latin typeface="Tahoma"/>
              <a:cs typeface="Tahoma"/>
            </a:rPr>
            <a:t>pasirašymas</a:t>
          </a:r>
        </a:p>
      </dgm:t>
    </dgm:pt>
    <dgm:pt modelId="{1284776C-659C-9A4F-83DD-95161E8498C6}" type="parTrans" cxnId="{8F4AD014-836F-7A45-84FF-4AF43A3BCD65}">
      <dgm:prSet/>
      <dgm:spPr/>
      <dgm:t>
        <a:bodyPr/>
        <a:lstStyle/>
        <a:p>
          <a:endParaRPr lang="en-US"/>
        </a:p>
      </dgm:t>
    </dgm:pt>
    <dgm:pt modelId="{00681657-9E05-4546-9CF1-1FA416B5B34D}" type="sibTrans" cxnId="{8F4AD014-836F-7A45-84FF-4AF43A3BCD65}">
      <dgm:prSet/>
      <dgm:spPr/>
      <dgm:t>
        <a:bodyPr/>
        <a:lstStyle/>
        <a:p>
          <a:endParaRPr lang="en-US"/>
        </a:p>
      </dgm:t>
    </dgm:pt>
    <dgm:pt modelId="{D509F8AE-E3D3-A645-B5E7-17E808026A09}" type="pres">
      <dgm:prSet presAssocID="{C50B071D-89AD-F449-AAF1-1EDA5E7C3743}" presName="Name0" presStyleCnt="0">
        <dgm:presLayoutVars>
          <dgm:dir/>
          <dgm:resizeHandles val="exact"/>
        </dgm:presLayoutVars>
      </dgm:prSet>
      <dgm:spPr/>
      <dgm:t>
        <a:bodyPr/>
        <a:lstStyle/>
        <a:p>
          <a:endParaRPr lang="en-US"/>
        </a:p>
      </dgm:t>
    </dgm:pt>
    <dgm:pt modelId="{884D901A-0538-4A47-A9E6-CC17C7A62065}" type="pres">
      <dgm:prSet presAssocID="{DC4647AF-E89C-E04B-B6AA-ACBDFA8D1900}" presName="node" presStyleLbl="node1" presStyleIdx="0" presStyleCnt="12" custScaleY="46743" custLinFactNeighborX="5068">
        <dgm:presLayoutVars>
          <dgm:bulletEnabled val="1"/>
        </dgm:presLayoutVars>
      </dgm:prSet>
      <dgm:spPr/>
      <dgm:t>
        <a:bodyPr/>
        <a:lstStyle/>
        <a:p>
          <a:endParaRPr lang="en-US"/>
        </a:p>
      </dgm:t>
    </dgm:pt>
    <dgm:pt modelId="{A8EB9D9D-27AA-1C49-B109-CA283D42205C}" type="pres">
      <dgm:prSet presAssocID="{E5C7E647-6864-B74C-9352-3E23F53901CF}" presName="sibTrans" presStyleLbl="sibTrans1D1" presStyleIdx="0" presStyleCnt="11"/>
      <dgm:spPr/>
      <dgm:t>
        <a:bodyPr/>
        <a:lstStyle/>
        <a:p>
          <a:endParaRPr lang="en-US"/>
        </a:p>
      </dgm:t>
    </dgm:pt>
    <dgm:pt modelId="{25F5A870-BD26-B94C-9FC0-4BD97FEA4E1F}" type="pres">
      <dgm:prSet presAssocID="{E5C7E647-6864-B74C-9352-3E23F53901CF}" presName="connectorText" presStyleLbl="sibTrans1D1" presStyleIdx="0" presStyleCnt="11"/>
      <dgm:spPr/>
      <dgm:t>
        <a:bodyPr/>
        <a:lstStyle/>
        <a:p>
          <a:endParaRPr lang="en-US"/>
        </a:p>
      </dgm:t>
    </dgm:pt>
    <dgm:pt modelId="{823958CF-EA45-D642-A31D-18AC3C06C5AD}" type="pres">
      <dgm:prSet presAssocID="{E067AAAE-9833-D442-8728-2072DCA0142D}" presName="node" presStyleLbl="node1" presStyleIdx="1" presStyleCnt="12" custScaleY="46743" custLinFactNeighborX="1448">
        <dgm:presLayoutVars>
          <dgm:bulletEnabled val="1"/>
        </dgm:presLayoutVars>
      </dgm:prSet>
      <dgm:spPr/>
      <dgm:t>
        <a:bodyPr/>
        <a:lstStyle/>
        <a:p>
          <a:endParaRPr lang="en-US"/>
        </a:p>
      </dgm:t>
    </dgm:pt>
    <dgm:pt modelId="{5D88E219-2C95-C44A-A732-227C08CDD465}" type="pres">
      <dgm:prSet presAssocID="{634FBC10-D29B-D642-8F0E-61392BCAB742}" presName="sibTrans" presStyleLbl="sibTrans1D1" presStyleIdx="1" presStyleCnt="11"/>
      <dgm:spPr/>
      <dgm:t>
        <a:bodyPr/>
        <a:lstStyle/>
        <a:p>
          <a:endParaRPr lang="en-US"/>
        </a:p>
      </dgm:t>
    </dgm:pt>
    <dgm:pt modelId="{FBF3D55C-3BC6-6E4E-9DA4-6F095F06AB71}" type="pres">
      <dgm:prSet presAssocID="{634FBC10-D29B-D642-8F0E-61392BCAB742}" presName="connectorText" presStyleLbl="sibTrans1D1" presStyleIdx="1" presStyleCnt="11"/>
      <dgm:spPr/>
      <dgm:t>
        <a:bodyPr/>
        <a:lstStyle/>
        <a:p>
          <a:endParaRPr lang="en-US"/>
        </a:p>
      </dgm:t>
    </dgm:pt>
    <dgm:pt modelId="{F46869AF-D11D-B342-BF40-AEA97F6412EA}" type="pres">
      <dgm:prSet presAssocID="{F540C68C-B249-764A-895E-C42073B4B276}" presName="node" presStyleLbl="node1" presStyleIdx="2" presStyleCnt="12" custScaleY="46743">
        <dgm:presLayoutVars>
          <dgm:bulletEnabled val="1"/>
        </dgm:presLayoutVars>
      </dgm:prSet>
      <dgm:spPr/>
      <dgm:t>
        <a:bodyPr/>
        <a:lstStyle/>
        <a:p>
          <a:endParaRPr lang="en-US"/>
        </a:p>
      </dgm:t>
    </dgm:pt>
    <dgm:pt modelId="{03A1AF57-B38B-1248-B521-0AA50A05759F}" type="pres">
      <dgm:prSet presAssocID="{E403B4D2-C108-5140-804A-9E66192E14B4}" presName="sibTrans" presStyleLbl="sibTrans1D1" presStyleIdx="2" presStyleCnt="11"/>
      <dgm:spPr/>
      <dgm:t>
        <a:bodyPr/>
        <a:lstStyle/>
        <a:p>
          <a:endParaRPr lang="en-US"/>
        </a:p>
      </dgm:t>
    </dgm:pt>
    <dgm:pt modelId="{AA28668C-0EFA-2041-BE83-00FF31561009}" type="pres">
      <dgm:prSet presAssocID="{E403B4D2-C108-5140-804A-9E66192E14B4}" presName="connectorText" presStyleLbl="sibTrans1D1" presStyleIdx="2" presStyleCnt="11"/>
      <dgm:spPr/>
      <dgm:t>
        <a:bodyPr/>
        <a:lstStyle/>
        <a:p>
          <a:endParaRPr lang="en-US"/>
        </a:p>
      </dgm:t>
    </dgm:pt>
    <dgm:pt modelId="{25882027-B4CA-F04C-B900-F93F84366989}" type="pres">
      <dgm:prSet presAssocID="{C53C6C2E-00A0-4243-A99B-B258D3A0CBAB}" presName="node" presStyleLbl="node1" presStyleIdx="3" presStyleCnt="12" custScaleY="46743">
        <dgm:presLayoutVars>
          <dgm:bulletEnabled val="1"/>
        </dgm:presLayoutVars>
      </dgm:prSet>
      <dgm:spPr/>
      <dgm:t>
        <a:bodyPr/>
        <a:lstStyle/>
        <a:p>
          <a:endParaRPr lang="en-US"/>
        </a:p>
      </dgm:t>
    </dgm:pt>
    <dgm:pt modelId="{1D250B81-A8D8-2C4C-A3C8-67A0658B42CC}" type="pres">
      <dgm:prSet presAssocID="{5D59322F-0B9B-3744-9A06-E7C97EC6B452}" presName="sibTrans" presStyleLbl="sibTrans1D1" presStyleIdx="3" presStyleCnt="11"/>
      <dgm:spPr/>
      <dgm:t>
        <a:bodyPr/>
        <a:lstStyle/>
        <a:p>
          <a:endParaRPr lang="en-US"/>
        </a:p>
      </dgm:t>
    </dgm:pt>
    <dgm:pt modelId="{2778ECBC-F7F4-094D-8635-64821D56E07D}" type="pres">
      <dgm:prSet presAssocID="{5D59322F-0B9B-3744-9A06-E7C97EC6B452}" presName="connectorText" presStyleLbl="sibTrans1D1" presStyleIdx="3" presStyleCnt="11"/>
      <dgm:spPr/>
      <dgm:t>
        <a:bodyPr/>
        <a:lstStyle/>
        <a:p>
          <a:endParaRPr lang="en-US"/>
        </a:p>
      </dgm:t>
    </dgm:pt>
    <dgm:pt modelId="{039BDBC9-065B-D146-AAC8-33732360BD42}" type="pres">
      <dgm:prSet presAssocID="{E4501C9F-2FB8-4B45-A5E0-62147B81246D}" presName="node" presStyleLbl="node1" presStyleIdx="4" presStyleCnt="12" custLinFactNeighborX="4251">
        <dgm:presLayoutVars>
          <dgm:bulletEnabled val="1"/>
        </dgm:presLayoutVars>
      </dgm:prSet>
      <dgm:spPr/>
      <dgm:t>
        <a:bodyPr/>
        <a:lstStyle/>
        <a:p>
          <a:endParaRPr lang="en-US"/>
        </a:p>
      </dgm:t>
    </dgm:pt>
    <dgm:pt modelId="{187F719D-495E-1742-88F7-1EC1B09FB309}" type="pres">
      <dgm:prSet presAssocID="{AAF75F6D-66E9-AD44-9920-311F7E31227A}" presName="sibTrans" presStyleLbl="sibTrans1D1" presStyleIdx="4" presStyleCnt="11"/>
      <dgm:spPr/>
      <dgm:t>
        <a:bodyPr/>
        <a:lstStyle/>
        <a:p>
          <a:endParaRPr lang="en-US"/>
        </a:p>
      </dgm:t>
    </dgm:pt>
    <dgm:pt modelId="{C1B7210B-F41A-9042-B2EE-C33A299584B7}" type="pres">
      <dgm:prSet presAssocID="{AAF75F6D-66E9-AD44-9920-311F7E31227A}" presName="connectorText" presStyleLbl="sibTrans1D1" presStyleIdx="4" presStyleCnt="11"/>
      <dgm:spPr/>
      <dgm:t>
        <a:bodyPr/>
        <a:lstStyle/>
        <a:p>
          <a:endParaRPr lang="en-US"/>
        </a:p>
      </dgm:t>
    </dgm:pt>
    <dgm:pt modelId="{13B7B213-7CCE-224B-84D3-B59FA67BFD41}" type="pres">
      <dgm:prSet presAssocID="{A89A275B-FC2B-7740-9A3F-3F4165E375CF}" presName="node" presStyleLbl="node1" presStyleIdx="5" presStyleCnt="12" custLinFactNeighborX="1448">
        <dgm:presLayoutVars>
          <dgm:bulletEnabled val="1"/>
        </dgm:presLayoutVars>
      </dgm:prSet>
      <dgm:spPr/>
      <dgm:t>
        <a:bodyPr/>
        <a:lstStyle/>
        <a:p>
          <a:endParaRPr lang="en-US"/>
        </a:p>
      </dgm:t>
    </dgm:pt>
    <dgm:pt modelId="{DC97561A-7BFB-A24F-ABF0-BE25DD87A4C8}" type="pres">
      <dgm:prSet presAssocID="{30EAB0B5-877C-2946-8156-4E5C1B9DB371}" presName="sibTrans" presStyleLbl="sibTrans1D1" presStyleIdx="5" presStyleCnt="11"/>
      <dgm:spPr/>
      <dgm:t>
        <a:bodyPr/>
        <a:lstStyle/>
        <a:p>
          <a:endParaRPr lang="en-US"/>
        </a:p>
      </dgm:t>
    </dgm:pt>
    <dgm:pt modelId="{931485C2-D38A-7C4D-8191-000505A7B5CA}" type="pres">
      <dgm:prSet presAssocID="{30EAB0B5-877C-2946-8156-4E5C1B9DB371}" presName="connectorText" presStyleLbl="sibTrans1D1" presStyleIdx="5" presStyleCnt="11"/>
      <dgm:spPr/>
      <dgm:t>
        <a:bodyPr/>
        <a:lstStyle/>
        <a:p>
          <a:endParaRPr lang="en-US"/>
        </a:p>
      </dgm:t>
    </dgm:pt>
    <dgm:pt modelId="{676E9B0D-E7AA-EB4C-AEA9-C2BB4FEBF276}" type="pres">
      <dgm:prSet presAssocID="{D4821F37-3555-AA49-95CD-6B99540A0D96}" presName="node" presStyleLbl="node1" presStyleIdx="6" presStyleCnt="12">
        <dgm:presLayoutVars>
          <dgm:bulletEnabled val="1"/>
        </dgm:presLayoutVars>
      </dgm:prSet>
      <dgm:spPr/>
      <dgm:t>
        <a:bodyPr/>
        <a:lstStyle/>
        <a:p>
          <a:endParaRPr lang="en-US"/>
        </a:p>
      </dgm:t>
    </dgm:pt>
    <dgm:pt modelId="{1644CDA5-0198-DE45-ABB8-BB633DD2DF2F}" type="pres">
      <dgm:prSet presAssocID="{F3015D98-9895-1242-B3A3-02B1E13F7EC3}" presName="sibTrans" presStyleLbl="sibTrans1D1" presStyleIdx="6" presStyleCnt="11"/>
      <dgm:spPr/>
      <dgm:t>
        <a:bodyPr/>
        <a:lstStyle/>
        <a:p>
          <a:endParaRPr lang="en-US"/>
        </a:p>
      </dgm:t>
    </dgm:pt>
    <dgm:pt modelId="{B7F32C27-48C2-634A-B339-3F1BDF34A7DA}" type="pres">
      <dgm:prSet presAssocID="{F3015D98-9895-1242-B3A3-02B1E13F7EC3}" presName="connectorText" presStyleLbl="sibTrans1D1" presStyleIdx="6" presStyleCnt="11"/>
      <dgm:spPr/>
      <dgm:t>
        <a:bodyPr/>
        <a:lstStyle/>
        <a:p>
          <a:endParaRPr lang="en-US"/>
        </a:p>
      </dgm:t>
    </dgm:pt>
    <dgm:pt modelId="{1234042B-F35F-7748-B5DE-D381D97099C0}" type="pres">
      <dgm:prSet presAssocID="{E8DB95F1-4626-7640-A8A4-8CEBF5737816}" presName="node" presStyleLbl="node1" presStyleIdx="7" presStyleCnt="12">
        <dgm:presLayoutVars>
          <dgm:bulletEnabled val="1"/>
        </dgm:presLayoutVars>
      </dgm:prSet>
      <dgm:spPr/>
      <dgm:t>
        <a:bodyPr/>
        <a:lstStyle/>
        <a:p>
          <a:endParaRPr lang="en-US"/>
        </a:p>
      </dgm:t>
    </dgm:pt>
    <dgm:pt modelId="{881708B6-2DA7-DD4F-9535-AD86798A0609}" type="pres">
      <dgm:prSet presAssocID="{C41FF1AB-6507-2042-9D21-78BA3A1DDDF2}" presName="sibTrans" presStyleLbl="sibTrans1D1" presStyleIdx="7" presStyleCnt="11"/>
      <dgm:spPr/>
      <dgm:t>
        <a:bodyPr/>
        <a:lstStyle/>
        <a:p>
          <a:endParaRPr lang="en-US"/>
        </a:p>
      </dgm:t>
    </dgm:pt>
    <dgm:pt modelId="{28489306-48A8-D745-8C90-99311B9BCFBA}" type="pres">
      <dgm:prSet presAssocID="{C41FF1AB-6507-2042-9D21-78BA3A1DDDF2}" presName="connectorText" presStyleLbl="sibTrans1D1" presStyleIdx="7" presStyleCnt="11"/>
      <dgm:spPr/>
      <dgm:t>
        <a:bodyPr/>
        <a:lstStyle/>
        <a:p>
          <a:endParaRPr lang="en-US"/>
        </a:p>
      </dgm:t>
    </dgm:pt>
    <dgm:pt modelId="{393780BA-B481-B145-909C-810C5C66E34F}" type="pres">
      <dgm:prSet presAssocID="{1D3332F4-150A-224E-9EB2-7F752C637FF3}" presName="node" presStyleLbl="node1" presStyleIdx="8" presStyleCnt="12" custLinFactNeighborX="4344">
        <dgm:presLayoutVars>
          <dgm:bulletEnabled val="1"/>
        </dgm:presLayoutVars>
      </dgm:prSet>
      <dgm:spPr/>
      <dgm:t>
        <a:bodyPr/>
        <a:lstStyle/>
        <a:p>
          <a:endParaRPr lang="en-US"/>
        </a:p>
      </dgm:t>
    </dgm:pt>
    <dgm:pt modelId="{239E72E5-F8E4-DB4A-BB80-907ED93A6BB3}" type="pres">
      <dgm:prSet presAssocID="{BCF79C0C-3C0B-7441-97BD-5A7C6EFDAA60}" presName="sibTrans" presStyleLbl="sibTrans1D1" presStyleIdx="8" presStyleCnt="11"/>
      <dgm:spPr/>
      <dgm:t>
        <a:bodyPr/>
        <a:lstStyle/>
        <a:p>
          <a:endParaRPr lang="en-US"/>
        </a:p>
      </dgm:t>
    </dgm:pt>
    <dgm:pt modelId="{AA584CC2-1E3D-964D-B863-6E641FDC02E3}" type="pres">
      <dgm:prSet presAssocID="{BCF79C0C-3C0B-7441-97BD-5A7C6EFDAA60}" presName="connectorText" presStyleLbl="sibTrans1D1" presStyleIdx="8" presStyleCnt="11"/>
      <dgm:spPr/>
      <dgm:t>
        <a:bodyPr/>
        <a:lstStyle/>
        <a:p>
          <a:endParaRPr lang="en-US"/>
        </a:p>
      </dgm:t>
    </dgm:pt>
    <dgm:pt modelId="{940F3742-CD38-E942-A7D0-E4599590806B}" type="pres">
      <dgm:prSet presAssocID="{F73338AE-B274-7244-9DB8-6CB030EF047D}" presName="node" presStyleLbl="node1" presStyleIdx="9" presStyleCnt="12" custLinFactNeighborX="1448">
        <dgm:presLayoutVars>
          <dgm:bulletEnabled val="1"/>
        </dgm:presLayoutVars>
      </dgm:prSet>
      <dgm:spPr/>
      <dgm:t>
        <a:bodyPr/>
        <a:lstStyle/>
        <a:p>
          <a:endParaRPr lang="en-US"/>
        </a:p>
      </dgm:t>
    </dgm:pt>
    <dgm:pt modelId="{DEE0D05B-92EA-6348-8081-7FBC9E35BA99}" type="pres">
      <dgm:prSet presAssocID="{0EA32426-B735-AB4C-A63F-32C1F804D899}" presName="sibTrans" presStyleLbl="sibTrans1D1" presStyleIdx="9" presStyleCnt="11"/>
      <dgm:spPr/>
      <dgm:t>
        <a:bodyPr/>
        <a:lstStyle/>
        <a:p>
          <a:endParaRPr lang="en-US"/>
        </a:p>
      </dgm:t>
    </dgm:pt>
    <dgm:pt modelId="{5B215F08-E698-E645-B2CF-4231BD89AD53}" type="pres">
      <dgm:prSet presAssocID="{0EA32426-B735-AB4C-A63F-32C1F804D899}" presName="connectorText" presStyleLbl="sibTrans1D1" presStyleIdx="9" presStyleCnt="11"/>
      <dgm:spPr/>
      <dgm:t>
        <a:bodyPr/>
        <a:lstStyle/>
        <a:p>
          <a:endParaRPr lang="en-US"/>
        </a:p>
      </dgm:t>
    </dgm:pt>
    <dgm:pt modelId="{6C9A81F2-9AD0-2440-8BE5-E57BDA36AF82}" type="pres">
      <dgm:prSet presAssocID="{B1D0C9D1-28B4-9D49-8A88-796AA07F69E1}" presName="node" presStyleLbl="node1" presStyleIdx="10" presStyleCnt="12">
        <dgm:presLayoutVars>
          <dgm:bulletEnabled val="1"/>
        </dgm:presLayoutVars>
      </dgm:prSet>
      <dgm:spPr/>
      <dgm:t>
        <a:bodyPr/>
        <a:lstStyle/>
        <a:p>
          <a:endParaRPr lang="en-US"/>
        </a:p>
      </dgm:t>
    </dgm:pt>
    <dgm:pt modelId="{D81AF843-47E2-E741-A493-80BC7B2929EB}" type="pres">
      <dgm:prSet presAssocID="{030ED5B3-D481-B54B-B4EF-B735C5BB6DEF}" presName="sibTrans" presStyleLbl="sibTrans1D1" presStyleIdx="10" presStyleCnt="11"/>
      <dgm:spPr/>
      <dgm:t>
        <a:bodyPr/>
        <a:lstStyle/>
        <a:p>
          <a:endParaRPr lang="en-US"/>
        </a:p>
      </dgm:t>
    </dgm:pt>
    <dgm:pt modelId="{AC35DFE7-E91F-0F46-908B-A77E22F1B564}" type="pres">
      <dgm:prSet presAssocID="{030ED5B3-D481-B54B-B4EF-B735C5BB6DEF}" presName="connectorText" presStyleLbl="sibTrans1D1" presStyleIdx="10" presStyleCnt="11"/>
      <dgm:spPr/>
      <dgm:t>
        <a:bodyPr/>
        <a:lstStyle/>
        <a:p>
          <a:endParaRPr lang="en-US"/>
        </a:p>
      </dgm:t>
    </dgm:pt>
    <dgm:pt modelId="{3927A305-5CA6-6B49-83EA-10E832F33419}" type="pres">
      <dgm:prSet presAssocID="{488AE20D-C363-3D4A-8C75-5851C4A8BE99}" presName="node" presStyleLbl="node1" presStyleIdx="11" presStyleCnt="12">
        <dgm:presLayoutVars>
          <dgm:bulletEnabled val="1"/>
        </dgm:presLayoutVars>
      </dgm:prSet>
      <dgm:spPr/>
      <dgm:t>
        <a:bodyPr/>
        <a:lstStyle/>
        <a:p>
          <a:endParaRPr lang="en-US"/>
        </a:p>
      </dgm:t>
    </dgm:pt>
  </dgm:ptLst>
  <dgm:cxnLst>
    <dgm:cxn modelId="{2F65D85B-8D4B-400F-9EC7-8562FCF375ED}" type="presOf" srcId="{C41FF1AB-6507-2042-9D21-78BA3A1DDDF2}" destId="{28489306-48A8-D745-8C90-99311B9BCFBA}" srcOrd="1" destOrd="0" presId="urn:microsoft.com/office/officeart/2005/8/layout/bProcess3"/>
    <dgm:cxn modelId="{03A24DC0-76F0-48FD-9432-70CC9D42A1B8}" type="presOf" srcId="{F540C68C-B249-764A-895E-C42073B4B276}" destId="{F46869AF-D11D-B342-BF40-AEA97F6412EA}" srcOrd="0" destOrd="0" presId="urn:microsoft.com/office/officeart/2005/8/layout/bProcess3"/>
    <dgm:cxn modelId="{FC258EFE-EDDC-4CDA-93B3-DF20CFFAD90E}" type="presOf" srcId="{E8DB95F1-4626-7640-A8A4-8CEBF5737816}" destId="{1234042B-F35F-7748-B5DE-D381D97099C0}" srcOrd="0" destOrd="0" presId="urn:microsoft.com/office/officeart/2005/8/layout/bProcess3"/>
    <dgm:cxn modelId="{C487AAF7-D249-46C2-9C9C-92690799E8B9}" type="presOf" srcId="{F73338AE-B274-7244-9DB8-6CB030EF047D}" destId="{940F3742-CD38-E942-A7D0-E4599590806B}" srcOrd="0" destOrd="0" presId="urn:microsoft.com/office/officeart/2005/8/layout/bProcess3"/>
    <dgm:cxn modelId="{472D6CF5-98F0-4493-9813-266BC3E17BC7}" type="presOf" srcId="{F3015D98-9895-1242-B3A3-02B1E13F7EC3}" destId="{1644CDA5-0198-DE45-ABB8-BB633DD2DF2F}" srcOrd="0" destOrd="0" presId="urn:microsoft.com/office/officeart/2005/8/layout/bProcess3"/>
    <dgm:cxn modelId="{1E1BD57F-627F-6243-8337-F567562F49D0}" srcId="{C50B071D-89AD-F449-AAF1-1EDA5E7C3743}" destId="{F73338AE-B274-7244-9DB8-6CB030EF047D}" srcOrd="9" destOrd="0" parTransId="{6E05D960-88CE-BE4E-8DD6-82EB6B6DEAD7}" sibTransId="{0EA32426-B735-AB4C-A63F-32C1F804D899}"/>
    <dgm:cxn modelId="{115D6822-A578-4730-902A-E033CF23C746}" type="presOf" srcId="{BCF79C0C-3C0B-7441-97BD-5A7C6EFDAA60}" destId="{AA584CC2-1E3D-964D-B863-6E641FDC02E3}" srcOrd="1" destOrd="0" presId="urn:microsoft.com/office/officeart/2005/8/layout/bProcess3"/>
    <dgm:cxn modelId="{412D1448-8B8F-4AF4-91DC-C4E41E8AAE6C}" type="presOf" srcId="{030ED5B3-D481-B54B-B4EF-B735C5BB6DEF}" destId="{D81AF843-47E2-E741-A493-80BC7B2929EB}" srcOrd="0" destOrd="0" presId="urn:microsoft.com/office/officeart/2005/8/layout/bProcess3"/>
    <dgm:cxn modelId="{E34892BB-3D52-4507-8B51-A570ACC66443}" type="presOf" srcId="{030ED5B3-D481-B54B-B4EF-B735C5BB6DEF}" destId="{AC35DFE7-E91F-0F46-908B-A77E22F1B564}" srcOrd="1" destOrd="0" presId="urn:microsoft.com/office/officeart/2005/8/layout/bProcess3"/>
    <dgm:cxn modelId="{2038DE89-A264-4F70-9071-2DA43334613A}" type="presOf" srcId="{E4501C9F-2FB8-4B45-A5E0-62147B81246D}" destId="{039BDBC9-065B-D146-AAC8-33732360BD42}" srcOrd="0" destOrd="0" presId="urn:microsoft.com/office/officeart/2005/8/layout/bProcess3"/>
    <dgm:cxn modelId="{1E426408-4215-4503-B4DA-97C5F257EB5E}" type="presOf" srcId="{DC4647AF-E89C-E04B-B6AA-ACBDFA8D1900}" destId="{884D901A-0538-4A47-A9E6-CC17C7A62065}" srcOrd="0" destOrd="0" presId="urn:microsoft.com/office/officeart/2005/8/layout/bProcess3"/>
    <dgm:cxn modelId="{8F4AD014-836F-7A45-84FF-4AF43A3BCD65}" srcId="{C50B071D-89AD-F449-AAF1-1EDA5E7C3743}" destId="{488AE20D-C363-3D4A-8C75-5851C4A8BE99}" srcOrd="11" destOrd="0" parTransId="{1284776C-659C-9A4F-83DD-95161E8498C6}" sibTransId="{00681657-9E05-4546-9CF1-1FA416B5B34D}"/>
    <dgm:cxn modelId="{1B0245D0-F0AC-47C7-B0B2-13D6AA050E1C}" type="presOf" srcId="{0EA32426-B735-AB4C-A63F-32C1F804D899}" destId="{DEE0D05B-92EA-6348-8081-7FBC9E35BA99}" srcOrd="0" destOrd="0" presId="urn:microsoft.com/office/officeart/2005/8/layout/bProcess3"/>
    <dgm:cxn modelId="{454ABDFD-336D-43B7-80F2-E13E2D31178E}" type="presOf" srcId="{634FBC10-D29B-D642-8F0E-61392BCAB742}" destId="{FBF3D55C-3BC6-6E4E-9DA4-6F095F06AB71}" srcOrd="1" destOrd="0" presId="urn:microsoft.com/office/officeart/2005/8/layout/bProcess3"/>
    <dgm:cxn modelId="{F0A0E29F-CA1B-468D-87D5-E39B95866393}" type="presOf" srcId="{E5C7E647-6864-B74C-9352-3E23F53901CF}" destId="{A8EB9D9D-27AA-1C49-B109-CA283D42205C}" srcOrd="0" destOrd="0" presId="urn:microsoft.com/office/officeart/2005/8/layout/bProcess3"/>
    <dgm:cxn modelId="{98E63E34-E331-4B05-8D2E-0E93E37EFB91}" type="presOf" srcId="{E403B4D2-C108-5140-804A-9E66192E14B4}" destId="{03A1AF57-B38B-1248-B521-0AA50A05759F}" srcOrd="0" destOrd="0" presId="urn:microsoft.com/office/officeart/2005/8/layout/bProcess3"/>
    <dgm:cxn modelId="{F9F024B7-9233-8C4A-8FEE-1807222D97EC}" srcId="{C50B071D-89AD-F449-AAF1-1EDA5E7C3743}" destId="{E4501C9F-2FB8-4B45-A5E0-62147B81246D}" srcOrd="4" destOrd="0" parTransId="{33D0226E-4861-5548-9F9B-6227CDD5825C}" sibTransId="{AAF75F6D-66E9-AD44-9920-311F7E31227A}"/>
    <dgm:cxn modelId="{AD28F640-A415-43B4-A9B2-7A2667FBF3B5}" type="presOf" srcId="{B1D0C9D1-28B4-9D49-8A88-796AA07F69E1}" destId="{6C9A81F2-9AD0-2440-8BE5-E57BDA36AF82}" srcOrd="0" destOrd="0" presId="urn:microsoft.com/office/officeart/2005/8/layout/bProcess3"/>
    <dgm:cxn modelId="{2AB06348-A451-4EC3-B963-243678943F24}" type="presOf" srcId="{A89A275B-FC2B-7740-9A3F-3F4165E375CF}" destId="{13B7B213-7CCE-224B-84D3-B59FA67BFD41}" srcOrd="0" destOrd="0" presId="urn:microsoft.com/office/officeart/2005/8/layout/bProcess3"/>
    <dgm:cxn modelId="{49E02718-77BB-447E-B3EF-FFFDBE1093C7}" type="presOf" srcId="{AAF75F6D-66E9-AD44-9920-311F7E31227A}" destId="{C1B7210B-F41A-9042-B2EE-C33A299584B7}" srcOrd="1" destOrd="0" presId="urn:microsoft.com/office/officeart/2005/8/layout/bProcess3"/>
    <dgm:cxn modelId="{169C5C3B-935F-4347-9A15-97C77D3E95A8}" srcId="{C50B071D-89AD-F449-AAF1-1EDA5E7C3743}" destId="{D4821F37-3555-AA49-95CD-6B99540A0D96}" srcOrd="6" destOrd="0" parTransId="{1ED5260A-03CA-8241-BF6E-09495B7B33F7}" sibTransId="{F3015D98-9895-1242-B3A3-02B1E13F7EC3}"/>
    <dgm:cxn modelId="{7C143ABD-2801-435E-A3B3-413C7CD2118F}" type="presOf" srcId="{1D3332F4-150A-224E-9EB2-7F752C637FF3}" destId="{393780BA-B481-B145-909C-810C5C66E34F}" srcOrd="0" destOrd="0" presId="urn:microsoft.com/office/officeart/2005/8/layout/bProcess3"/>
    <dgm:cxn modelId="{BCE5A42B-A69F-46FD-946B-0D60AEECAD9E}" type="presOf" srcId="{D4821F37-3555-AA49-95CD-6B99540A0D96}" destId="{676E9B0D-E7AA-EB4C-AEA9-C2BB4FEBF276}" srcOrd="0" destOrd="0" presId="urn:microsoft.com/office/officeart/2005/8/layout/bProcess3"/>
    <dgm:cxn modelId="{E1CF6801-02E5-394C-812D-AED0303E9D57}" srcId="{C50B071D-89AD-F449-AAF1-1EDA5E7C3743}" destId="{1D3332F4-150A-224E-9EB2-7F752C637FF3}" srcOrd="8" destOrd="0" parTransId="{819D40F4-EA4A-AD4C-B09B-B7807F9CCFC2}" sibTransId="{BCF79C0C-3C0B-7441-97BD-5A7C6EFDAA60}"/>
    <dgm:cxn modelId="{309AD492-A8C5-B34B-A7E1-85F089F7F2FA}" srcId="{C50B071D-89AD-F449-AAF1-1EDA5E7C3743}" destId="{A89A275B-FC2B-7740-9A3F-3F4165E375CF}" srcOrd="5" destOrd="0" parTransId="{4D149236-81C7-E349-B9F8-05DF1F77CD2F}" sibTransId="{30EAB0B5-877C-2946-8156-4E5C1B9DB371}"/>
    <dgm:cxn modelId="{CA645FB8-523B-4935-A743-E5456CD7F74E}" type="presOf" srcId="{30EAB0B5-877C-2946-8156-4E5C1B9DB371}" destId="{931485C2-D38A-7C4D-8191-000505A7B5CA}" srcOrd="1" destOrd="0" presId="urn:microsoft.com/office/officeart/2005/8/layout/bProcess3"/>
    <dgm:cxn modelId="{18D2D166-AA60-4A06-994A-4987CDF4E28E}" type="presOf" srcId="{C53C6C2E-00A0-4243-A99B-B258D3A0CBAB}" destId="{25882027-B4CA-F04C-B900-F93F84366989}" srcOrd="0" destOrd="0" presId="urn:microsoft.com/office/officeart/2005/8/layout/bProcess3"/>
    <dgm:cxn modelId="{CDEFC038-DB38-43B3-96CD-FD99E222314E}" type="presOf" srcId="{F3015D98-9895-1242-B3A3-02B1E13F7EC3}" destId="{B7F32C27-48C2-634A-B339-3F1BDF34A7DA}" srcOrd="1" destOrd="0" presId="urn:microsoft.com/office/officeart/2005/8/layout/bProcess3"/>
    <dgm:cxn modelId="{399099AA-CC4C-4936-8633-76C13441B745}" type="presOf" srcId="{E067AAAE-9833-D442-8728-2072DCA0142D}" destId="{823958CF-EA45-D642-A31D-18AC3C06C5AD}" srcOrd="0" destOrd="0" presId="urn:microsoft.com/office/officeart/2005/8/layout/bProcess3"/>
    <dgm:cxn modelId="{750F04A9-4FD8-4FCF-8CA6-F3586B7690DC}" type="presOf" srcId="{0EA32426-B735-AB4C-A63F-32C1F804D899}" destId="{5B215F08-E698-E645-B2CF-4231BD89AD53}" srcOrd="1" destOrd="0" presId="urn:microsoft.com/office/officeart/2005/8/layout/bProcess3"/>
    <dgm:cxn modelId="{24FDB07F-4406-4F40-BB61-5F78A8752726}" srcId="{C50B071D-89AD-F449-AAF1-1EDA5E7C3743}" destId="{E8DB95F1-4626-7640-A8A4-8CEBF5737816}" srcOrd="7" destOrd="0" parTransId="{372763C6-CDA5-904D-9CA2-5D040BC774FE}" sibTransId="{C41FF1AB-6507-2042-9D21-78BA3A1DDDF2}"/>
    <dgm:cxn modelId="{FAC5937D-C905-447A-97EC-0345128524BB}" type="presOf" srcId="{5D59322F-0B9B-3744-9A06-E7C97EC6B452}" destId="{1D250B81-A8D8-2C4C-A3C8-67A0658B42CC}" srcOrd="0" destOrd="0" presId="urn:microsoft.com/office/officeart/2005/8/layout/bProcess3"/>
    <dgm:cxn modelId="{C52030AE-9B40-462C-976F-110B91F5B64D}" type="presOf" srcId="{C41FF1AB-6507-2042-9D21-78BA3A1DDDF2}" destId="{881708B6-2DA7-DD4F-9535-AD86798A0609}" srcOrd="0" destOrd="0" presId="urn:microsoft.com/office/officeart/2005/8/layout/bProcess3"/>
    <dgm:cxn modelId="{C2F11C6E-2646-DA4B-A8FB-AACD50C95940}" srcId="{C50B071D-89AD-F449-AAF1-1EDA5E7C3743}" destId="{F540C68C-B249-764A-895E-C42073B4B276}" srcOrd="2" destOrd="0" parTransId="{93338931-8254-3549-A27E-6610AC608A4D}" sibTransId="{E403B4D2-C108-5140-804A-9E66192E14B4}"/>
    <dgm:cxn modelId="{9C02B395-C8C7-4E9D-B09E-67B82A402304}" type="presOf" srcId="{E403B4D2-C108-5140-804A-9E66192E14B4}" destId="{AA28668C-0EFA-2041-BE83-00FF31561009}" srcOrd="1" destOrd="0" presId="urn:microsoft.com/office/officeart/2005/8/layout/bProcess3"/>
    <dgm:cxn modelId="{0F47FA20-67B5-4726-B7AB-ADAA6D49AA6B}" type="presOf" srcId="{BCF79C0C-3C0B-7441-97BD-5A7C6EFDAA60}" destId="{239E72E5-F8E4-DB4A-BB80-907ED93A6BB3}" srcOrd="0" destOrd="0" presId="urn:microsoft.com/office/officeart/2005/8/layout/bProcess3"/>
    <dgm:cxn modelId="{E3E6475C-9BDA-470D-8003-286A9822DA27}" type="presOf" srcId="{30EAB0B5-877C-2946-8156-4E5C1B9DB371}" destId="{DC97561A-7BFB-A24F-ABF0-BE25DD87A4C8}" srcOrd="0" destOrd="0" presId="urn:microsoft.com/office/officeart/2005/8/layout/bProcess3"/>
    <dgm:cxn modelId="{D00A4043-1C50-46AB-AEFC-6C6FBA8BAD8F}" type="presOf" srcId="{634FBC10-D29B-D642-8F0E-61392BCAB742}" destId="{5D88E219-2C95-C44A-A732-227C08CDD465}" srcOrd="0" destOrd="0" presId="urn:microsoft.com/office/officeart/2005/8/layout/bProcess3"/>
    <dgm:cxn modelId="{8C073131-9432-41F3-B5DE-A1CD095A5754}" type="presOf" srcId="{C50B071D-89AD-F449-AAF1-1EDA5E7C3743}" destId="{D509F8AE-E3D3-A645-B5E7-17E808026A09}" srcOrd="0" destOrd="0" presId="urn:microsoft.com/office/officeart/2005/8/layout/bProcess3"/>
    <dgm:cxn modelId="{6A48A878-300D-7242-A59B-431165C57CBF}" srcId="{C50B071D-89AD-F449-AAF1-1EDA5E7C3743}" destId="{C53C6C2E-00A0-4243-A99B-B258D3A0CBAB}" srcOrd="3" destOrd="0" parTransId="{846AE056-2EC1-CA4D-8652-E714D4DAEC40}" sibTransId="{5D59322F-0B9B-3744-9A06-E7C97EC6B452}"/>
    <dgm:cxn modelId="{E40D0FE9-57EE-4B9E-8485-F1A55A770F75}" type="presOf" srcId="{5D59322F-0B9B-3744-9A06-E7C97EC6B452}" destId="{2778ECBC-F7F4-094D-8635-64821D56E07D}" srcOrd="1" destOrd="0" presId="urn:microsoft.com/office/officeart/2005/8/layout/bProcess3"/>
    <dgm:cxn modelId="{817E15F2-5125-4792-9C48-7AABEEC17D8D}" type="presOf" srcId="{488AE20D-C363-3D4A-8C75-5851C4A8BE99}" destId="{3927A305-5CA6-6B49-83EA-10E832F33419}" srcOrd="0" destOrd="0" presId="urn:microsoft.com/office/officeart/2005/8/layout/bProcess3"/>
    <dgm:cxn modelId="{FFFAD5CC-D470-4E4D-B293-67C3942DA25A}" srcId="{C50B071D-89AD-F449-AAF1-1EDA5E7C3743}" destId="{E067AAAE-9833-D442-8728-2072DCA0142D}" srcOrd="1" destOrd="0" parTransId="{C50CC45E-6461-D644-845D-2AAB8EAE94D7}" sibTransId="{634FBC10-D29B-D642-8F0E-61392BCAB742}"/>
    <dgm:cxn modelId="{0D0DA218-0A96-4DE8-8ADB-D990EA93A27E}" type="presOf" srcId="{E5C7E647-6864-B74C-9352-3E23F53901CF}" destId="{25F5A870-BD26-B94C-9FC0-4BD97FEA4E1F}" srcOrd="1" destOrd="0" presId="urn:microsoft.com/office/officeart/2005/8/layout/bProcess3"/>
    <dgm:cxn modelId="{0C9D91F9-7156-C74F-A6ED-32F87BBE3093}" srcId="{C50B071D-89AD-F449-AAF1-1EDA5E7C3743}" destId="{DC4647AF-E89C-E04B-B6AA-ACBDFA8D1900}" srcOrd="0" destOrd="0" parTransId="{EB02B9E6-F5CB-154A-9BCD-4B8F5C41A028}" sibTransId="{E5C7E647-6864-B74C-9352-3E23F53901CF}"/>
    <dgm:cxn modelId="{BB64B457-82B0-0A4E-AF57-6D9458EF420E}" srcId="{C50B071D-89AD-F449-AAF1-1EDA5E7C3743}" destId="{B1D0C9D1-28B4-9D49-8A88-796AA07F69E1}" srcOrd="10" destOrd="0" parTransId="{4DAB5771-3028-8D4A-8883-F6E04DDA41E2}" sibTransId="{030ED5B3-D481-B54B-B4EF-B735C5BB6DEF}"/>
    <dgm:cxn modelId="{AAC631B2-F9DC-4B21-BCF6-93A001AF9773}" type="presOf" srcId="{AAF75F6D-66E9-AD44-9920-311F7E31227A}" destId="{187F719D-495E-1742-88F7-1EC1B09FB309}" srcOrd="0" destOrd="0" presId="urn:microsoft.com/office/officeart/2005/8/layout/bProcess3"/>
    <dgm:cxn modelId="{6276DB92-DC68-4B22-A9FE-7048414CCC39}" type="presParOf" srcId="{D509F8AE-E3D3-A645-B5E7-17E808026A09}" destId="{884D901A-0538-4A47-A9E6-CC17C7A62065}" srcOrd="0" destOrd="0" presId="urn:microsoft.com/office/officeart/2005/8/layout/bProcess3"/>
    <dgm:cxn modelId="{3F084A27-DF81-4E95-A06F-176F1060EAAE}" type="presParOf" srcId="{D509F8AE-E3D3-A645-B5E7-17E808026A09}" destId="{A8EB9D9D-27AA-1C49-B109-CA283D42205C}" srcOrd="1" destOrd="0" presId="urn:microsoft.com/office/officeart/2005/8/layout/bProcess3"/>
    <dgm:cxn modelId="{EDECFE28-1CD4-4E0E-A021-45581CA49A8F}" type="presParOf" srcId="{A8EB9D9D-27AA-1C49-B109-CA283D42205C}" destId="{25F5A870-BD26-B94C-9FC0-4BD97FEA4E1F}" srcOrd="0" destOrd="0" presId="urn:microsoft.com/office/officeart/2005/8/layout/bProcess3"/>
    <dgm:cxn modelId="{C9A07005-7165-4ABE-BF4F-A2B7E07B79DA}" type="presParOf" srcId="{D509F8AE-E3D3-A645-B5E7-17E808026A09}" destId="{823958CF-EA45-D642-A31D-18AC3C06C5AD}" srcOrd="2" destOrd="0" presId="urn:microsoft.com/office/officeart/2005/8/layout/bProcess3"/>
    <dgm:cxn modelId="{47F48B1E-8757-4712-AA28-85A279D2B78B}" type="presParOf" srcId="{D509F8AE-E3D3-A645-B5E7-17E808026A09}" destId="{5D88E219-2C95-C44A-A732-227C08CDD465}" srcOrd="3" destOrd="0" presId="urn:microsoft.com/office/officeart/2005/8/layout/bProcess3"/>
    <dgm:cxn modelId="{4A641CEC-B606-4FEB-93C2-4D1D62DA0ABE}" type="presParOf" srcId="{5D88E219-2C95-C44A-A732-227C08CDD465}" destId="{FBF3D55C-3BC6-6E4E-9DA4-6F095F06AB71}" srcOrd="0" destOrd="0" presId="urn:microsoft.com/office/officeart/2005/8/layout/bProcess3"/>
    <dgm:cxn modelId="{2AD3802F-5018-429A-A91C-D2AB950E267F}" type="presParOf" srcId="{D509F8AE-E3D3-A645-B5E7-17E808026A09}" destId="{F46869AF-D11D-B342-BF40-AEA97F6412EA}" srcOrd="4" destOrd="0" presId="urn:microsoft.com/office/officeart/2005/8/layout/bProcess3"/>
    <dgm:cxn modelId="{2BC56C8C-628A-44CB-9B85-DB8F34095649}" type="presParOf" srcId="{D509F8AE-E3D3-A645-B5E7-17E808026A09}" destId="{03A1AF57-B38B-1248-B521-0AA50A05759F}" srcOrd="5" destOrd="0" presId="urn:microsoft.com/office/officeart/2005/8/layout/bProcess3"/>
    <dgm:cxn modelId="{D53318D4-077D-4099-B869-8C9A34BC27DB}" type="presParOf" srcId="{03A1AF57-B38B-1248-B521-0AA50A05759F}" destId="{AA28668C-0EFA-2041-BE83-00FF31561009}" srcOrd="0" destOrd="0" presId="urn:microsoft.com/office/officeart/2005/8/layout/bProcess3"/>
    <dgm:cxn modelId="{1D8375DE-FBEF-4599-A30D-2CC733AA6208}" type="presParOf" srcId="{D509F8AE-E3D3-A645-B5E7-17E808026A09}" destId="{25882027-B4CA-F04C-B900-F93F84366989}" srcOrd="6" destOrd="0" presId="urn:microsoft.com/office/officeart/2005/8/layout/bProcess3"/>
    <dgm:cxn modelId="{9B579CB1-A692-4B74-B917-D6FA346AF053}" type="presParOf" srcId="{D509F8AE-E3D3-A645-B5E7-17E808026A09}" destId="{1D250B81-A8D8-2C4C-A3C8-67A0658B42CC}" srcOrd="7" destOrd="0" presId="urn:microsoft.com/office/officeart/2005/8/layout/bProcess3"/>
    <dgm:cxn modelId="{B3046F1D-97A1-4813-A8F1-95C457C9CCE2}" type="presParOf" srcId="{1D250B81-A8D8-2C4C-A3C8-67A0658B42CC}" destId="{2778ECBC-F7F4-094D-8635-64821D56E07D}" srcOrd="0" destOrd="0" presId="urn:microsoft.com/office/officeart/2005/8/layout/bProcess3"/>
    <dgm:cxn modelId="{87C0FC07-B7D6-4177-9B52-11D5D7C9BD0D}" type="presParOf" srcId="{D509F8AE-E3D3-A645-B5E7-17E808026A09}" destId="{039BDBC9-065B-D146-AAC8-33732360BD42}" srcOrd="8" destOrd="0" presId="urn:microsoft.com/office/officeart/2005/8/layout/bProcess3"/>
    <dgm:cxn modelId="{A07303AA-22CD-4A39-89E1-6B595D426DAE}" type="presParOf" srcId="{D509F8AE-E3D3-A645-B5E7-17E808026A09}" destId="{187F719D-495E-1742-88F7-1EC1B09FB309}" srcOrd="9" destOrd="0" presId="urn:microsoft.com/office/officeart/2005/8/layout/bProcess3"/>
    <dgm:cxn modelId="{5222B3D9-70A2-4475-A0C3-7CDDC70F0C89}" type="presParOf" srcId="{187F719D-495E-1742-88F7-1EC1B09FB309}" destId="{C1B7210B-F41A-9042-B2EE-C33A299584B7}" srcOrd="0" destOrd="0" presId="urn:microsoft.com/office/officeart/2005/8/layout/bProcess3"/>
    <dgm:cxn modelId="{D69C5CF4-78A3-445E-B99F-A2D374A6A9E6}" type="presParOf" srcId="{D509F8AE-E3D3-A645-B5E7-17E808026A09}" destId="{13B7B213-7CCE-224B-84D3-B59FA67BFD41}" srcOrd="10" destOrd="0" presId="urn:microsoft.com/office/officeart/2005/8/layout/bProcess3"/>
    <dgm:cxn modelId="{60E490C9-CAFF-417B-BB2D-F772CEFDB34D}" type="presParOf" srcId="{D509F8AE-E3D3-A645-B5E7-17E808026A09}" destId="{DC97561A-7BFB-A24F-ABF0-BE25DD87A4C8}" srcOrd="11" destOrd="0" presId="urn:microsoft.com/office/officeart/2005/8/layout/bProcess3"/>
    <dgm:cxn modelId="{27B80F13-58A1-4610-9F37-C6B3F071D5FC}" type="presParOf" srcId="{DC97561A-7BFB-A24F-ABF0-BE25DD87A4C8}" destId="{931485C2-D38A-7C4D-8191-000505A7B5CA}" srcOrd="0" destOrd="0" presId="urn:microsoft.com/office/officeart/2005/8/layout/bProcess3"/>
    <dgm:cxn modelId="{F1505FC6-943E-4B0F-8676-216C9571EA7B}" type="presParOf" srcId="{D509F8AE-E3D3-A645-B5E7-17E808026A09}" destId="{676E9B0D-E7AA-EB4C-AEA9-C2BB4FEBF276}" srcOrd="12" destOrd="0" presId="urn:microsoft.com/office/officeart/2005/8/layout/bProcess3"/>
    <dgm:cxn modelId="{09F2CF1D-5BF6-47B2-A8F5-B66B0EBA4FBF}" type="presParOf" srcId="{D509F8AE-E3D3-A645-B5E7-17E808026A09}" destId="{1644CDA5-0198-DE45-ABB8-BB633DD2DF2F}" srcOrd="13" destOrd="0" presId="urn:microsoft.com/office/officeart/2005/8/layout/bProcess3"/>
    <dgm:cxn modelId="{6F5BDCA8-8A73-4377-BB45-37F7E94E3BF4}" type="presParOf" srcId="{1644CDA5-0198-DE45-ABB8-BB633DD2DF2F}" destId="{B7F32C27-48C2-634A-B339-3F1BDF34A7DA}" srcOrd="0" destOrd="0" presId="urn:microsoft.com/office/officeart/2005/8/layout/bProcess3"/>
    <dgm:cxn modelId="{E78B22D5-3E41-4A78-A08F-2ADAEB70E19E}" type="presParOf" srcId="{D509F8AE-E3D3-A645-B5E7-17E808026A09}" destId="{1234042B-F35F-7748-B5DE-D381D97099C0}" srcOrd="14" destOrd="0" presId="urn:microsoft.com/office/officeart/2005/8/layout/bProcess3"/>
    <dgm:cxn modelId="{62DF93F2-6E95-4C05-AA7B-16AABAE581F5}" type="presParOf" srcId="{D509F8AE-E3D3-A645-B5E7-17E808026A09}" destId="{881708B6-2DA7-DD4F-9535-AD86798A0609}" srcOrd="15" destOrd="0" presId="urn:microsoft.com/office/officeart/2005/8/layout/bProcess3"/>
    <dgm:cxn modelId="{7BB8DDDD-1380-4829-85B9-7A0301C54F0E}" type="presParOf" srcId="{881708B6-2DA7-DD4F-9535-AD86798A0609}" destId="{28489306-48A8-D745-8C90-99311B9BCFBA}" srcOrd="0" destOrd="0" presId="urn:microsoft.com/office/officeart/2005/8/layout/bProcess3"/>
    <dgm:cxn modelId="{DDD54845-4E2C-48B4-9CA2-3CBD9F542903}" type="presParOf" srcId="{D509F8AE-E3D3-A645-B5E7-17E808026A09}" destId="{393780BA-B481-B145-909C-810C5C66E34F}" srcOrd="16" destOrd="0" presId="urn:microsoft.com/office/officeart/2005/8/layout/bProcess3"/>
    <dgm:cxn modelId="{1C8873D0-922C-4439-80D2-B951B26DE797}" type="presParOf" srcId="{D509F8AE-E3D3-A645-B5E7-17E808026A09}" destId="{239E72E5-F8E4-DB4A-BB80-907ED93A6BB3}" srcOrd="17" destOrd="0" presId="urn:microsoft.com/office/officeart/2005/8/layout/bProcess3"/>
    <dgm:cxn modelId="{33408CFE-44CA-4AA1-B9AF-BE826829314D}" type="presParOf" srcId="{239E72E5-F8E4-DB4A-BB80-907ED93A6BB3}" destId="{AA584CC2-1E3D-964D-B863-6E641FDC02E3}" srcOrd="0" destOrd="0" presId="urn:microsoft.com/office/officeart/2005/8/layout/bProcess3"/>
    <dgm:cxn modelId="{314A742A-4535-41B0-BB34-5ADD9DA37252}" type="presParOf" srcId="{D509F8AE-E3D3-A645-B5E7-17E808026A09}" destId="{940F3742-CD38-E942-A7D0-E4599590806B}" srcOrd="18" destOrd="0" presId="urn:microsoft.com/office/officeart/2005/8/layout/bProcess3"/>
    <dgm:cxn modelId="{E368C34C-46B8-4813-9663-14CD516CE77D}" type="presParOf" srcId="{D509F8AE-E3D3-A645-B5E7-17E808026A09}" destId="{DEE0D05B-92EA-6348-8081-7FBC9E35BA99}" srcOrd="19" destOrd="0" presId="urn:microsoft.com/office/officeart/2005/8/layout/bProcess3"/>
    <dgm:cxn modelId="{025BD18E-D3AA-49A0-A0E0-2D7ED58DA301}" type="presParOf" srcId="{DEE0D05B-92EA-6348-8081-7FBC9E35BA99}" destId="{5B215F08-E698-E645-B2CF-4231BD89AD53}" srcOrd="0" destOrd="0" presId="urn:microsoft.com/office/officeart/2005/8/layout/bProcess3"/>
    <dgm:cxn modelId="{BEFB1EA2-485E-49F2-87CD-FA0E3F6514DA}" type="presParOf" srcId="{D509F8AE-E3D3-A645-B5E7-17E808026A09}" destId="{6C9A81F2-9AD0-2440-8BE5-E57BDA36AF82}" srcOrd="20" destOrd="0" presId="urn:microsoft.com/office/officeart/2005/8/layout/bProcess3"/>
    <dgm:cxn modelId="{85382E53-D423-4CAC-88BD-9B154BE0D5C0}" type="presParOf" srcId="{D509F8AE-E3D3-A645-B5E7-17E808026A09}" destId="{D81AF843-47E2-E741-A493-80BC7B2929EB}" srcOrd="21" destOrd="0" presId="urn:microsoft.com/office/officeart/2005/8/layout/bProcess3"/>
    <dgm:cxn modelId="{F5B2408D-4C74-4536-B84B-CF9B6147F835}" type="presParOf" srcId="{D81AF843-47E2-E741-A493-80BC7B2929EB}" destId="{AC35DFE7-E91F-0F46-908B-A77E22F1B564}" srcOrd="0" destOrd="0" presId="urn:microsoft.com/office/officeart/2005/8/layout/bProcess3"/>
    <dgm:cxn modelId="{8B184B15-CC0F-44A1-8973-09570C27723F}" type="presParOf" srcId="{D509F8AE-E3D3-A645-B5E7-17E808026A09}" destId="{3927A305-5CA6-6B49-83EA-10E832F33419}" srcOrd="22" destOrd="0" presId="urn:microsoft.com/office/officeart/2005/8/layout/bProcess3"/>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471F81D-8BF5-D845-9DF3-E007C84D4770}" type="doc">
      <dgm:prSet loTypeId="urn:microsoft.com/office/officeart/2005/8/layout/radial5" loCatId="relationship" qsTypeId="urn:microsoft.com/office/officeart/2005/8/quickstyle/simple3" qsCatId="simple" csTypeId="urn:microsoft.com/office/officeart/2005/8/colors/accent1_2" csCatId="accent1" phldr="1"/>
      <dgm:spPr/>
      <dgm:t>
        <a:bodyPr/>
        <a:lstStyle/>
        <a:p>
          <a:endParaRPr lang="en-US"/>
        </a:p>
      </dgm:t>
    </dgm:pt>
    <dgm:pt modelId="{53822A79-0DE5-7140-BAF3-7DD3D80EABF4}">
      <dgm:prSet phldrT="[Text]" custT="1">
        <dgm:style>
          <a:lnRef idx="1">
            <a:schemeClr val="accent3"/>
          </a:lnRef>
          <a:fillRef idx="2">
            <a:schemeClr val="accent3"/>
          </a:fillRef>
          <a:effectRef idx="1">
            <a:schemeClr val="accent3"/>
          </a:effectRef>
          <a:fontRef idx="minor">
            <a:schemeClr val="dk1"/>
          </a:fontRef>
        </dgm:style>
      </dgm:prSet>
      <dgm:spPr>
        <a:effectLst/>
      </dgm:spPr>
      <dgm:t>
        <a:bodyPr lIns="36000" tIns="36000" rIns="36000" bIns="36000"/>
        <a:lstStyle/>
        <a:p>
          <a:r>
            <a:rPr lang="en-US" sz="900" b="1" baseline="0">
              <a:latin typeface="Tahoma"/>
            </a:rPr>
            <a:t>Lietuvos virtualus universitetas</a:t>
          </a:r>
        </a:p>
      </dgm:t>
    </dgm:pt>
    <dgm:pt modelId="{8B9D36C1-95DB-3D4E-8971-207736E8A46C}" type="parTrans" cxnId="{6CC7937F-F491-C84B-87A5-D7FA93193989}">
      <dgm:prSet/>
      <dgm:spPr/>
      <dgm:t>
        <a:bodyPr/>
        <a:lstStyle/>
        <a:p>
          <a:endParaRPr lang="en-US"/>
        </a:p>
      </dgm:t>
    </dgm:pt>
    <dgm:pt modelId="{DC5094A3-9336-EB4F-B713-C16514B87FDA}" type="sibTrans" cxnId="{6CC7937F-F491-C84B-87A5-D7FA93193989}">
      <dgm:prSet/>
      <dgm:spPr/>
      <dgm:t>
        <a:bodyPr/>
        <a:lstStyle/>
        <a:p>
          <a:endParaRPr lang="en-US"/>
        </a:p>
      </dgm:t>
    </dgm:pt>
    <dgm:pt modelId="{7EAC163A-C0C2-D945-AEC4-3F97D5227FCB}">
      <dgm:prSet phldrT="[Text]" custT="1">
        <dgm:style>
          <a:lnRef idx="1">
            <a:schemeClr val="accent1"/>
          </a:lnRef>
          <a:fillRef idx="2">
            <a:schemeClr val="accent1"/>
          </a:fillRef>
          <a:effectRef idx="1">
            <a:schemeClr val="accent1"/>
          </a:effectRef>
          <a:fontRef idx="minor">
            <a:schemeClr val="dk1"/>
          </a:fontRef>
        </dgm:style>
      </dgm:prSet>
      <dgm:spPr>
        <a:effectLst/>
      </dgm:spPr>
      <dgm:t>
        <a:bodyPr lIns="36000" tIns="36000" rIns="36000" bIns="36000"/>
        <a:lstStyle/>
        <a:p>
          <a:r>
            <a:rPr lang="en-US" sz="800" baseline="0">
              <a:latin typeface="Tahoma"/>
            </a:rPr>
            <a:t>Lietuvos e.mokymosi infrastruktūros plėtra</a:t>
          </a:r>
        </a:p>
      </dgm:t>
    </dgm:pt>
    <dgm:pt modelId="{F1D122AD-8183-9F49-948D-9C1B237A4F61}" type="parTrans" cxnId="{A3472E36-BDB2-7D4D-B956-5FDD760FE8FB}">
      <dgm:prSet>
        <dgm:style>
          <a:lnRef idx="1">
            <a:schemeClr val="accent3"/>
          </a:lnRef>
          <a:fillRef idx="2">
            <a:schemeClr val="accent3"/>
          </a:fillRef>
          <a:effectRef idx="1">
            <a:schemeClr val="accent3"/>
          </a:effectRef>
          <a:fontRef idx="minor">
            <a:schemeClr val="dk1"/>
          </a:fontRef>
        </dgm:style>
      </dgm:prSet>
      <dgm:spPr>
        <a:effectLst/>
      </dgm:spPr>
      <dgm:t>
        <a:bodyPr/>
        <a:lstStyle/>
        <a:p>
          <a:endParaRPr lang="en-US"/>
        </a:p>
      </dgm:t>
    </dgm:pt>
    <dgm:pt modelId="{E430AE17-1030-4342-B7E0-3A427150C806}" type="sibTrans" cxnId="{A3472E36-BDB2-7D4D-B956-5FDD760FE8FB}">
      <dgm:prSet/>
      <dgm:spPr>
        <a:effectLst/>
      </dgm:spPr>
      <dgm:t>
        <a:bodyPr/>
        <a:lstStyle/>
        <a:p>
          <a:endParaRPr lang="en-US"/>
        </a:p>
      </dgm:t>
    </dgm:pt>
    <dgm:pt modelId="{3D4600F2-3FA6-A04A-80EB-D5C5C1462C9E}">
      <dgm:prSet phldrT="[Text]" custT="1">
        <dgm:style>
          <a:lnRef idx="1">
            <a:schemeClr val="accent1"/>
          </a:lnRef>
          <a:fillRef idx="2">
            <a:schemeClr val="accent1"/>
          </a:fillRef>
          <a:effectRef idx="1">
            <a:schemeClr val="accent1"/>
          </a:effectRef>
          <a:fontRef idx="minor">
            <a:schemeClr val="dk1"/>
          </a:fontRef>
        </dgm:style>
      </dgm:prSet>
      <dgm:spPr>
        <a:effectLst/>
      </dgm:spPr>
      <dgm:t>
        <a:bodyPr lIns="36000" tIns="36000" rIns="36000" bIns="36000"/>
        <a:lstStyle/>
        <a:p>
          <a:r>
            <a:rPr lang="en-US" sz="800" baseline="0">
              <a:latin typeface="Tahoma"/>
            </a:rPr>
            <a:t>Lietuvos mokslo ir studijų planavimo, valdymo ir savitarnos infrastruktūros plėtra</a:t>
          </a:r>
        </a:p>
      </dgm:t>
    </dgm:pt>
    <dgm:pt modelId="{D53EB59E-17ED-D545-B5B8-3AA6D0A2E628}" type="parTrans" cxnId="{BDD347A0-63A6-9046-9A1A-E4A0D3F816EE}">
      <dgm:prSet>
        <dgm:style>
          <a:lnRef idx="1">
            <a:schemeClr val="accent3"/>
          </a:lnRef>
          <a:fillRef idx="2">
            <a:schemeClr val="accent3"/>
          </a:fillRef>
          <a:effectRef idx="1">
            <a:schemeClr val="accent3"/>
          </a:effectRef>
          <a:fontRef idx="minor">
            <a:schemeClr val="dk1"/>
          </a:fontRef>
        </dgm:style>
      </dgm:prSet>
      <dgm:spPr>
        <a:effectLst/>
      </dgm:spPr>
      <dgm:t>
        <a:bodyPr/>
        <a:lstStyle/>
        <a:p>
          <a:endParaRPr lang="en-US"/>
        </a:p>
      </dgm:t>
    </dgm:pt>
    <dgm:pt modelId="{48CD36B3-4A51-D649-A36C-7A1BDBC975AE}" type="sibTrans" cxnId="{BDD347A0-63A6-9046-9A1A-E4A0D3F816EE}">
      <dgm:prSet/>
      <dgm:spPr>
        <a:effectLst/>
      </dgm:spPr>
      <dgm:t>
        <a:bodyPr/>
        <a:lstStyle/>
        <a:p>
          <a:endParaRPr lang="en-US"/>
        </a:p>
      </dgm:t>
    </dgm:pt>
    <dgm:pt modelId="{1A5FA4B5-57DC-F94E-AF61-2499547FE105}">
      <dgm:prSet phldrT="[Text]" custT="1">
        <dgm:style>
          <a:lnRef idx="1">
            <a:schemeClr val="accent1"/>
          </a:lnRef>
          <a:fillRef idx="2">
            <a:schemeClr val="accent1"/>
          </a:fillRef>
          <a:effectRef idx="1">
            <a:schemeClr val="accent1"/>
          </a:effectRef>
          <a:fontRef idx="minor">
            <a:schemeClr val="dk1"/>
          </a:fontRef>
        </dgm:style>
      </dgm:prSet>
      <dgm:spPr>
        <a:effectLst/>
      </dgm:spPr>
      <dgm:t>
        <a:bodyPr lIns="36000" tIns="36000" rIns="36000" bIns="36000"/>
        <a:lstStyle/>
        <a:p>
          <a:r>
            <a:rPr lang="en-US" sz="800" baseline="0">
              <a:latin typeface="Tahoma"/>
            </a:rPr>
            <a:t>Lietuvos mokslo ir studijų integruotos informacinės erdvės plėtra</a:t>
          </a:r>
        </a:p>
      </dgm:t>
    </dgm:pt>
    <dgm:pt modelId="{7D3A711E-79A6-C848-A5BF-BF00E113A8B6}" type="parTrans" cxnId="{EAC0E0F1-4453-9344-9CC4-4B515962488B}">
      <dgm:prSet>
        <dgm:style>
          <a:lnRef idx="1">
            <a:schemeClr val="accent3"/>
          </a:lnRef>
          <a:fillRef idx="2">
            <a:schemeClr val="accent3"/>
          </a:fillRef>
          <a:effectRef idx="1">
            <a:schemeClr val="accent3"/>
          </a:effectRef>
          <a:fontRef idx="minor">
            <a:schemeClr val="dk1"/>
          </a:fontRef>
        </dgm:style>
      </dgm:prSet>
      <dgm:spPr>
        <a:effectLst/>
      </dgm:spPr>
      <dgm:t>
        <a:bodyPr/>
        <a:lstStyle/>
        <a:p>
          <a:endParaRPr lang="en-US"/>
        </a:p>
      </dgm:t>
    </dgm:pt>
    <dgm:pt modelId="{D5FECD02-8DB4-AA4F-8DF7-3E3FA529CE78}" type="sibTrans" cxnId="{EAC0E0F1-4453-9344-9CC4-4B515962488B}">
      <dgm:prSet/>
      <dgm:spPr>
        <a:effectLst/>
      </dgm:spPr>
      <dgm:t>
        <a:bodyPr/>
        <a:lstStyle/>
        <a:p>
          <a:endParaRPr lang="en-US"/>
        </a:p>
      </dgm:t>
    </dgm:pt>
    <dgm:pt modelId="{DAF1AA08-7079-B446-A9F3-6DA305C40E5F}">
      <dgm:prSet phldrT="[Text]" custT="1">
        <dgm:style>
          <a:lnRef idx="1">
            <a:schemeClr val="accent1"/>
          </a:lnRef>
          <a:fillRef idx="2">
            <a:schemeClr val="accent1"/>
          </a:fillRef>
          <a:effectRef idx="1">
            <a:schemeClr val="accent1"/>
          </a:effectRef>
          <a:fontRef idx="minor">
            <a:schemeClr val="dk1"/>
          </a:fontRef>
        </dgm:style>
      </dgm:prSet>
      <dgm:spPr>
        <a:effectLst/>
      </dgm:spPr>
      <dgm:t>
        <a:bodyPr lIns="36000" tIns="36000" rIns="36000" bIns="36000"/>
        <a:lstStyle/>
        <a:p>
          <a:r>
            <a:rPr lang="en-US" sz="800" baseline="0">
              <a:latin typeface="Tahoma"/>
            </a:rPr>
            <a:t>E. mokymosi procesų skatinimas virtualioje erdvėje</a:t>
          </a:r>
        </a:p>
      </dgm:t>
    </dgm:pt>
    <dgm:pt modelId="{73E31FAA-0535-5C42-8EF8-AF68DA454EB4}" type="parTrans" cxnId="{78B040BB-53F0-4E4B-8598-D1C9F07D95D9}">
      <dgm:prSet>
        <dgm:style>
          <a:lnRef idx="1">
            <a:schemeClr val="accent3"/>
          </a:lnRef>
          <a:fillRef idx="2">
            <a:schemeClr val="accent3"/>
          </a:fillRef>
          <a:effectRef idx="1">
            <a:schemeClr val="accent3"/>
          </a:effectRef>
          <a:fontRef idx="minor">
            <a:schemeClr val="dk1"/>
          </a:fontRef>
        </dgm:style>
      </dgm:prSet>
      <dgm:spPr>
        <a:effectLst/>
      </dgm:spPr>
      <dgm:t>
        <a:bodyPr/>
        <a:lstStyle/>
        <a:p>
          <a:endParaRPr lang="en-US"/>
        </a:p>
      </dgm:t>
    </dgm:pt>
    <dgm:pt modelId="{C3FF4EAA-A1CE-4648-BA6F-19E79BED0326}" type="sibTrans" cxnId="{78B040BB-53F0-4E4B-8598-D1C9F07D95D9}">
      <dgm:prSet/>
      <dgm:spPr>
        <a:effectLst/>
      </dgm:spPr>
      <dgm:t>
        <a:bodyPr/>
        <a:lstStyle/>
        <a:p>
          <a:endParaRPr lang="en-US"/>
        </a:p>
      </dgm:t>
    </dgm:pt>
    <dgm:pt modelId="{CAC53D8C-4890-D544-94FC-8769F48AC2B3}" type="pres">
      <dgm:prSet presAssocID="{B471F81D-8BF5-D845-9DF3-E007C84D4770}" presName="Name0" presStyleCnt="0">
        <dgm:presLayoutVars>
          <dgm:chMax val="1"/>
          <dgm:dir/>
          <dgm:animLvl val="ctr"/>
          <dgm:resizeHandles val="exact"/>
        </dgm:presLayoutVars>
      </dgm:prSet>
      <dgm:spPr/>
      <dgm:t>
        <a:bodyPr/>
        <a:lstStyle/>
        <a:p>
          <a:endParaRPr lang="en-US"/>
        </a:p>
      </dgm:t>
    </dgm:pt>
    <dgm:pt modelId="{28D0CD31-B8C9-7B4E-884E-2988411F10DF}" type="pres">
      <dgm:prSet presAssocID="{53822A79-0DE5-7140-BAF3-7DD3D80EABF4}" presName="centerShape" presStyleLbl="node0" presStyleIdx="0" presStyleCnt="1"/>
      <dgm:spPr/>
      <dgm:t>
        <a:bodyPr/>
        <a:lstStyle/>
        <a:p>
          <a:endParaRPr lang="en-US"/>
        </a:p>
      </dgm:t>
    </dgm:pt>
    <dgm:pt modelId="{9DBEBB6F-B88F-1B41-BCD3-22A02622738A}" type="pres">
      <dgm:prSet presAssocID="{F1D122AD-8183-9F49-948D-9C1B237A4F61}" presName="parTrans" presStyleLbl="sibTrans2D1" presStyleIdx="0" presStyleCnt="4" custScaleX="145482" custScaleY="142417"/>
      <dgm:spPr/>
      <dgm:t>
        <a:bodyPr/>
        <a:lstStyle/>
        <a:p>
          <a:endParaRPr lang="en-US"/>
        </a:p>
      </dgm:t>
    </dgm:pt>
    <dgm:pt modelId="{2457C711-69E2-6943-92C4-CC50356D374E}" type="pres">
      <dgm:prSet presAssocID="{F1D122AD-8183-9F49-948D-9C1B237A4F61}" presName="connectorText" presStyleLbl="sibTrans2D1" presStyleIdx="0" presStyleCnt="4"/>
      <dgm:spPr/>
      <dgm:t>
        <a:bodyPr/>
        <a:lstStyle/>
        <a:p>
          <a:endParaRPr lang="en-US"/>
        </a:p>
      </dgm:t>
    </dgm:pt>
    <dgm:pt modelId="{E8BFBFF4-37C1-4041-B6B1-A13FBABFC623}" type="pres">
      <dgm:prSet presAssocID="{7EAC163A-C0C2-D945-AEC4-3F97D5227FCB}" presName="node" presStyleLbl="node1" presStyleIdx="0" presStyleCnt="4" custRadScaleRad="95476">
        <dgm:presLayoutVars>
          <dgm:bulletEnabled val="1"/>
        </dgm:presLayoutVars>
      </dgm:prSet>
      <dgm:spPr/>
      <dgm:t>
        <a:bodyPr/>
        <a:lstStyle/>
        <a:p>
          <a:endParaRPr lang="en-US"/>
        </a:p>
      </dgm:t>
    </dgm:pt>
    <dgm:pt modelId="{906BD3EC-6649-C34E-8B50-187253D1ED00}" type="pres">
      <dgm:prSet presAssocID="{D53EB59E-17ED-D545-B5B8-3AA6D0A2E628}" presName="parTrans" presStyleLbl="sibTrans2D1" presStyleIdx="1" presStyleCnt="4" custScaleX="145482" custScaleY="142417"/>
      <dgm:spPr/>
      <dgm:t>
        <a:bodyPr/>
        <a:lstStyle/>
        <a:p>
          <a:endParaRPr lang="en-US"/>
        </a:p>
      </dgm:t>
    </dgm:pt>
    <dgm:pt modelId="{9FDE7276-A130-C145-87A3-0FAC8594DA58}" type="pres">
      <dgm:prSet presAssocID="{D53EB59E-17ED-D545-B5B8-3AA6D0A2E628}" presName="connectorText" presStyleLbl="sibTrans2D1" presStyleIdx="1" presStyleCnt="4"/>
      <dgm:spPr/>
      <dgm:t>
        <a:bodyPr/>
        <a:lstStyle/>
        <a:p>
          <a:endParaRPr lang="en-US"/>
        </a:p>
      </dgm:t>
    </dgm:pt>
    <dgm:pt modelId="{4C47102B-53CB-2449-83E3-A06FA9188C64}" type="pres">
      <dgm:prSet presAssocID="{3D4600F2-3FA6-A04A-80EB-D5C5C1462C9E}" presName="node" presStyleLbl="node1" presStyleIdx="1" presStyleCnt="4">
        <dgm:presLayoutVars>
          <dgm:bulletEnabled val="1"/>
        </dgm:presLayoutVars>
      </dgm:prSet>
      <dgm:spPr/>
      <dgm:t>
        <a:bodyPr/>
        <a:lstStyle/>
        <a:p>
          <a:endParaRPr lang="en-US"/>
        </a:p>
      </dgm:t>
    </dgm:pt>
    <dgm:pt modelId="{F46A7AB4-F223-CA41-9EED-6468FA4569F9}" type="pres">
      <dgm:prSet presAssocID="{7D3A711E-79A6-C848-A5BF-BF00E113A8B6}" presName="parTrans" presStyleLbl="sibTrans2D1" presStyleIdx="2" presStyleCnt="4" custScaleX="145482" custScaleY="142417"/>
      <dgm:spPr/>
      <dgm:t>
        <a:bodyPr/>
        <a:lstStyle/>
        <a:p>
          <a:endParaRPr lang="en-US"/>
        </a:p>
      </dgm:t>
    </dgm:pt>
    <dgm:pt modelId="{16A77A81-6099-FE4A-81B5-DBF9C181975D}" type="pres">
      <dgm:prSet presAssocID="{7D3A711E-79A6-C848-A5BF-BF00E113A8B6}" presName="connectorText" presStyleLbl="sibTrans2D1" presStyleIdx="2" presStyleCnt="4"/>
      <dgm:spPr/>
      <dgm:t>
        <a:bodyPr/>
        <a:lstStyle/>
        <a:p>
          <a:endParaRPr lang="en-US"/>
        </a:p>
      </dgm:t>
    </dgm:pt>
    <dgm:pt modelId="{3032DC41-9B16-6347-956F-C402855B407B}" type="pres">
      <dgm:prSet presAssocID="{1A5FA4B5-57DC-F94E-AF61-2499547FE105}" presName="node" presStyleLbl="node1" presStyleIdx="2" presStyleCnt="4">
        <dgm:presLayoutVars>
          <dgm:bulletEnabled val="1"/>
        </dgm:presLayoutVars>
      </dgm:prSet>
      <dgm:spPr/>
      <dgm:t>
        <a:bodyPr/>
        <a:lstStyle/>
        <a:p>
          <a:endParaRPr lang="en-US"/>
        </a:p>
      </dgm:t>
    </dgm:pt>
    <dgm:pt modelId="{B4469012-29BD-474E-B1A0-4FCEA41FDA3A}" type="pres">
      <dgm:prSet presAssocID="{73E31FAA-0535-5C42-8EF8-AF68DA454EB4}" presName="parTrans" presStyleLbl="sibTrans2D1" presStyleIdx="3" presStyleCnt="4" custScaleX="145482" custScaleY="142417"/>
      <dgm:spPr/>
      <dgm:t>
        <a:bodyPr/>
        <a:lstStyle/>
        <a:p>
          <a:endParaRPr lang="en-US"/>
        </a:p>
      </dgm:t>
    </dgm:pt>
    <dgm:pt modelId="{524F880A-AAF5-994E-9B4B-1F587D2A41E8}" type="pres">
      <dgm:prSet presAssocID="{73E31FAA-0535-5C42-8EF8-AF68DA454EB4}" presName="connectorText" presStyleLbl="sibTrans2D1" presStyleIdx="3" presStyleCnt="4"/>
      <dgm:spPr/>
      <dgm:t>
        <a:bodyPr/>
        <a:lstStyle/>
        <a:p>
          <a:endParaRPr lang="en-US"/>
        </a:p>
      </dgm:t>
    </dgm:pt>
    <dgm:pt modelId="{C6BD89BB-C0E7-F648-872E-18D5390D1A7C}" type="pres">
      <dgm:prSet presAssocID="{DAF1AA08-7079-B446-A9F3-6DA305C40E5F}" presName="node" presStyleLbl="node1" presStyleIdx="3" presStyleCnt="4">
        <dgm:presLayoutVars>
          <dgm:bulletEnabled val="1"/>
        </dgm:presLayoutVars>
      </dgm:prSet>
      <dgm:spPr/>
      <dgm:t>
        <a:bodyPr/>
        <a:lstStyle/>
        <a:p>
          <a:endParaRPr lang="en-US"/>
        </a:p>
      </dgm:t>
    </dgm:pt>
  </dgm:ptLst>
  <dgm:cxnLst>
    <dgm:cxn modelId="{19D1983B-253B-46CA-A3F0-BFEC30345A52}" type="presOf" srcId="{F1D122AD-8183-9F49-948D-9C1B237A4F61}" destId="{9DBEBB6F-B88F-1B41-BCD3-22A02622738A}" srcOrd="0" destOrd="0" presId="urn:microsoft.com/office/officeart/2005/8/layout/radial5"/>
    <dgm:cxn modelId="{80E7113F-089C-4737-BF7A-A031C2DDDB00}" type="presOf" srcId="{F1D122AD-8183-9F49-948D-9C1B237A4F61}" destId="{2457C711-69E2-6943-92C4-CC50356D374E}" srcOrd="1" destOrd="0" presId="urn:microsoft.com/office/officeart/2005/8/layout/radial5"/>
    <dgm:cxn modelId="{EAC0E0F1-4453-9344-9CC4-4B515962488B}" srcId="{53822A79-0DE5-7140-BAF3-7DD3D80EABF4}" destId="{1A5FA4B5-57DC-F94E-AF61-2499547FE105}" srcOrd="2" destOrd="0" parTransId="{7D3A711E-79A6-C848-A5BF-BF00E113A8B6}" sibTransId="{D5FECD02-8DB4-AA4F-8DF7-3E3FA529CE78}"/>
    <dgm:cxn modelId="{9FDB0A16-364D-43D0-9311-189D5BDF1BA4}" type="presOf" srcId="{D53EB59E-17ED-D545-B5B8-3AA6D0A2E628}" destId="{9FDE7276-A130-C145-87A3-0FAC8594DA58}" srcOrd="1" destOrd="0" presId="urn:microsoft.com/office/officeart/2005/8/layout/radial5"/>
    <dgm:cxn modelId="{D3F52F23-B7DB-4586-829E-0E58D0B1A0EA}" type="presOf" srcId="{7EAC163A-C0C2-D945-AEC4-3F97D5227FCB}" destId="{E8BFBFF4-37C1-4041-B6B1-A13FBABFC623}" srcOrd="0" destOrd="0" presId="urn:microsoft.com/office/officeart/2005/8/layout/radial5"/>
    <dgm:cxn modelId="{9A094E2F-6666-4D16-82BE-B5EB275662B6}" type="presOf" srcId="{53822A79-0DE5-7140-BAF3-7DD3D80EABF4}" destId="{28D0CD31-B8C9-7B4E-884E-2988411F10DF}" srcOrd="0" destOrd="0" presId="urn:microsoft.com/office/officeart/2005/8/layout/radial5"/>
    <dgm:cxn modelId="{78B040BB-53F0-4E4B-8598-D1C9F07D95D9}" srcId="{53822A79-0DE5-7140-BAF3-7DD3D80EABF4}" destId="{DAF1AA08-7079-B446-A9F3-6DA305C40E5F}" srcOrd="3" destOrd="0" parTransId="{73E31FAA-0535-5C42-8EF8-AF68DA454EB4}" sibTransId="{C3FF4EAA-A1CE-4648-BA6F-19E79BED0326}"/>
    <dgm:cxn modelId="{F218668C-6A86-45DE-AEEE-EDABEFE8B9C2}" type="presOf" srcId="{7D3A711E-79A6-C848-A5BF-BF00E113A8B6}" destId="{16A77A81-6099-FE4A-81B5-DBF9C181975D}" srcOrd="1" destOrd="0" presId="urn:microsoft.com/office/officeart/2005/8/layout/radial5"/>
    <dgm:cxn modelId="{A3472E36-BDB2-7D4D-B956-5FDD760FE8FB}" srcId="{53822A79-0DE5-7140-BAF3-7DD3D80EABF4}" destId="{7EAC163A-C0C2-D945-AEC4-3F97D5227FCB}" srcOrd="0" destOrd="0" parTransId="{F1D122AD-8183-9F49-948D-9C1B237A4F61}" sibTransId="{E430AE17-1030-4342-B7E0-3A427150C806}"/>
    <dgm:cxn modelId="{5DC18DA4-03D8-42D2-B0D6-A1F88708F79C}" type="presOf" srcId="{73E31FAA-0535-5C42-8EF8-AF68DA454EB4}" destId="{B4469012-29BD-474E-B1A0-4FCEA41FDA3A}" srcOrd="0" destOrd="0" presId="urn:microsoft.com/office/officeart/2005/8/layout/radial5"/>
    <dgm:cxn modelId="{69F9EE2C-21EA-44AA-B9F4-ABE246ACB4CC}" type="presOf" srcId="{DAF1AA08-7079-B446-A9F3-6DA305C40E5F}" destId="{C6BD89BB-C0E7-F648-872E-18D5390D1A7C}" srcOrd="0" destOrd="0" presId="urn:microsoft.com/office/officeart/2005/8/layout/radial5"/>
    <dgm:cxn modelId="{C2D641A1-105F-4734-9682-5923DF7F194E}" type="presOf" srcId="{D53EB59E-17ED-D545-B5B8-3AA6D0A2E628}" destId="{906BD3EC-6649-C34E-8B50-187253D1ED00}" srcOrd="0" destOrd="0" presId="urn:microsoft.com/office/officeart/2005/8/layout/radial5"/>
    <dgm:cxn modelId="{6CC7937F-F491-C84B-87A5-D7FA93193989}" srcId="{B471F81D-8BF5-D845-9DF3-E007C84D4770}" destId="{53822A79-0DE5-7140-BAF3-7DD3D80EABF4}" srcOrd="0" destOrd="0" parTransId="{8B9D36C1-95DB-3D4E-8971-207736E8A46C}" sibTransId="{DC5094A3-9336-EB4F-B713-C16514B87FDA}"/>
    <dgm:cxn modelId="{A3E8352C-B3D9-45FB-84BB-89E11859D331}" type="presOf" srcId="{73E31FAA-0535-5C42-8EF8-AF68DA454EB4}" destId="{524F880A-AAF5-994E-9B4B-1F587D2A41E8}" srcOrd="1" destOrd="0" presId="urn:microsoft.com/office/officeart/2005/8/layout/radial5"/>
    <dgm:cxn modelId="{EE096FE8-3750-482C-9625-DAD95903BE8A}" type="presOf" srcId="{1A5FA4B5-57DC-F94E-AF61-2499547FE105}" destId="{3032DC41-9B16-6347-956F-C402855B407B}" srcOrd="0" destOrd="0" presId="urn:microsoft.com/office/officeart/2005/8/layout/radial5"/>
    <dgm:cxn modelId="{BDD347A0-63A6-9046-9A1A-E4A0D3F816EE}" srcId="{53822A79-0DE5-7140-BAF3-7DD3D80EABF4}" destId="{3D4600F2-3FA6-A04A-80EB-D5C5C1462C9E}" srcOrd="1" destOrd="0" parTransId="{D53EB59E-17ED-D545-B5B8-3AA6D0A2E628}" sibTransId="{48CD36B3-4A51-D649-A36C-7A1BDBC975AE}"/>
    <dgm:cxn modelId="{DB45C556-E078-425A-892C-3AEBD54505B4}" type="presOf" srcId="{7D3A711E-79A6-C848-A5BF-BF00E113A8B6}" destId="{F46A7AB4-F223-CA41-9EED-6468FA4569F9}" srcOrd="0" destOrd="0" presId="urn:microsoft.com/office/officeart/2005/8/layout/radial5"/>
    <dgm:cxn modelId="{125266CE-6674-4109-B46B-10ADCEFD7A13}" type="presOf" srcId="{3D4600F2-3FA6-A04A-80EB-D5C5C1462C9E}" destId="{4C47102B-53CB-2449-83E3-A06FA9188C64}" srcOrd="0" destOrd="0" presId="urn:microsoft.com/office/officeart/2005/8/layout/radial5"/>
    <dgm:cxn modelId="{3B050165-65EB-4948-A9C7-8DD4EE79E2AF}" type="presOf" srcId="{B471F81D-8BF5-D845-9DF3-E007C84D4770}" destId="{CAC53D8C-4890-D544-94FC-8769F48AC2B3}" srcOrd="0" destOrd="0" presId="urn:microsoft.com/office/officeart/2005/8/layout/radial5"/>
    <dgm:cxn modelId="{B1EB48C1-AA5A-472E-B9C2-C722AEAF1940}" type="presParOf" srcId="{CAC53D8C-4890-D544-94FC-8769F48AC2B3}" destId="{28D0CD31-B8C9-7B4E-884E-2988411F10DF}" srcOrd="0" destOrd="0" presId="urn:microsoft.com/office/officeart/2005/8/layout/radial5"/>
    <dgm:cxn modelId="{C29EB877-637D-4C09-A0AA-689498CFD8CF}" type="presParOf" srcId="{CAC53D8C-4890-D544-94FC-8769F48AC2B3}" destId="{9DBEBB6F-B88F-1B41-BCD3-22A02622738A}" srcOrd="1" destOrd="0" presId="urn:microsoft.com/office/officeart/2005/8/layout/radial5"/>
    <dgm:cxn modelId="{90A2D47D-D299-46D0-A8FF-15E6D67ED88F}" type="presParOf" srcId="{9DBEBB6F-B88F-1B41-BCD3-22A02622738A}" destId="{2457C711-69E2-6943-92C4-CC50356D374E}" srcOrd="0" destOrd="0" presId="urn:microsoft.com/office/officeart/2005/8/layout/radial5"/>
    <dgm:cxn modelId="{CFA235C5-DD56-4D4C-A6AA-321CD678BC4E}" type="presParOf" srcId="{CAC53D8C-4890-D544-94FC-8769F48AC2B3}" destId="{E8BFBFF4-37C1-4041-B6B1-A13FBABFC623}" srcOrd="2" destOrd="0" presId="urn:microsoft.com/office/officeart/2005/8/layout/radial5"/>
    <dgm:cxn modelId="{5BF5EB4F-67CB-41AD-B190-4A09BDFED008}" type="presParOf" srcId="{CAC53D8C-4890-D544-94FC-8769F48AC2B3}" destId="{906BD3EC-6649-C34E-8B50-187253D1ED00}" srcOrd="3" destOrd="0" presId="urn:microsoft.com/office/officeart/2005/8/layout/radial5"/>
    <dgm:cxn modelId="{F413883C-0E8E-4FCB-B86F-C1CECA3DC349}" type="presParOf" srcId="{906BD3EC-6649-C34E-8B50-187253D1ED00}" destId="{9FDE7276-A130-C145-87A3-0FAC8594DA58}" srcOrd="0" destOrd="0" presId="urn:microsoft.com/office/officeart/2005/8/layout/radial5"/>
    <dgm:cxn modelId="{697FFEBB-0902-4AAC-A5A7-8445A02E8FFF}" type="presParOf" srcId="{CAC53D8C-4890-D544-94FC-8769F48AC2B3}" destId="{4C47102B-53CB-2449-83E3-A06FA9188C64}" srcOrd="4" destOrd="0" presId="urn:microsoft.com/office/officeart/2005/8/layout/radial5"/>
    <dgm:cxn modelId="{9DB9CD59-912E-4CA5-AB0C-3D63BA9F74AB}" type="presParOf" srcId="{CAC53D8C-4890-D544-94FC-8769F48AC2B3}" destId="{F46A7AB4-F223-CA41-9EED-6468FA4569F9}" srcOrd="5" destOrd="0" presId="urn:microsoft.com/office/officeart/2005/8/layout/radial5"/>
    <dgm:cxn modelId="{96D37B79-9911-4D31-AB72-47977965E57B}" type="presParOf" srcId="{F46A7AB4-F223-CA41-9EED-6468FA4569F9}" destId="{16A77A81-6099-FE4A-81B5-DBF9C181975D}" srcOrd="0" destOrd="0" presId="urn:microsoft.com/office/officeart/2005/8/layout/radial5"/>
    <dgm:cxn modelId="{1A86F11F-60CD-4348-B3C5-1CB4F1FEC8CE}" type="presParOf" srcId="{CAC53D8C-4890-D544-94FC-8769F48AC2B3}" destId="{3032DC41-9B16-6347-956F-C402855B407B}" srcOrd="6" destOrd="0" presId="urn:microsoft.com/office/officeart/2005/8/layout/radial5"/>
    <dgm:cxn modelId="{16704A18-B5DD-44B4-954D-D96674360FB4}" type="presParOf" srcId="{CAC53D8C-4890-D544-94FC-8769F48AC2B3}" destId="{B4469012-29BD-474E-B1A0-4FCEA41FDA3A}" srcOrd="7" destOrd="0" presId="urn:microsoft.com/office/officeart/2005/8/layout/radial5"/>
    <dgm:cxn modelId="{5FDDEABD-F9E0-4F62-B863-8F104A497E29}" type="presParOf" srcId="{B4469012-29BD-474E-B1A0-4FCEA41FDA3A}" destId="{524F880A-AAF5-994E-9B4B-1F587D2A41E8}" srcOrd="0" destOrd="0" presId="urn:microsoft.com/office/officeart/2005/8/layout/radial5"/>
    <dgm:cxn modelId="{031F0DD3-5E27-4919-B0DB-555949DD5CA8}" type="presParOf" srcId="{CAC53D8C-4890-D544-94FC-8769F48AC2B3}" destId="{C6BD89BB-C0E7-F648-872E-18D5390D1A7C}" srcOrd="8" destOrd="0" presId="urn:microsoft.com/office/officeart/2005/8/layout/radial5"/>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434A93D-EBA5-4B0B-8469-CA4771F02FCE}">
      <dsp:nvSpPr>
        <dsp:cNvPr id="0" name=""/>
        <dsp:cNvSpPr/>
      </dsp:nvSpPr>
      <dsp:spPr>
        <a:xfrm rot="5400000">
          <a:off x="-174162" y="176215"/>
          <a:ext cx="1161082" cy="81275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lt-LT" sz="700" b="1" kern="1200">
              <a:latin typeface="Tahoma" pitchFamily="34" charset="0"/>
              <a:cs typeface="Tahoma" pitchFamily="34" charset="0"/>
            </a:rPr>
            <a:t>Viešojo sektoriaus rizikos</a:t>
          </a:r>
          <a:endParaRPr lang="en-US" sz="700" b="1" kern="1200">
            <a:latin typeface="Tahoma" pitchFamily="34" charset="0"/>
            <a:cs typeface="Tahoma" pitchFamily="34" charset="0"/>
          </a:endParaRPr>
        </a:p>
      </dsp:txBody>
      <dsp:txXfrm rot="5400000">
        <a:off x="-174162" y="176215"/>
        <a:ext cx="1161082" cy="812757"/>
      </dsp:txXfrm>
    </dsp:sp>
    <dsp:sp modelId="{2B62B66C-0596-42D6-870E-84B22C74AA4E}">
      <dsp:nvSpPr>
        <dsp:cNvPr id="0" name=""/>
        <dsp:cNvSpPr/>
      </dsp:nvSpPr>
      <dsp:spPr>
        <a:xfrm rot="5400000">
          <a:off x="1676852" y="-862041"/>
          <a:ext cx="754703" cy="248289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lt-LT" sz="800" kern="1200">
              <a:latin typeface="Tahoma" pitchFamily="34" charset="0"/>
              <a:cs typeface="Tahoma" pitchFamily="34" charset="0"/>
            </a:rPr>
            <a:t>Diskriminacinė teisinė rizika</a:t>
          </a:r>
          <a:endParaRPr lang="en-US" sz="800" kern="1200">
            <a:latin typeface="Tahoma" pitchFamily="34" charset="0"/>
            <a:cs typeface="Tahoma" pitchFamily="34" charset="0"/>
          </a:endParaRPr>
        </a:p>
        <a:p>
          <a:pPr marL="57150" lvl="1" indent="-57150" algn="l" defTabSz="355600">
            <a:lnSpc>
              <a:spcPct val="90000"/>
            </a:lnSpc>
            <a:spcBef>
              <a:spcPct val="0"/>
            </a:spcBef>
            <a:spcAft>
              <a:spcPct val="15000"/>
            </a:spcAft>
            <a:buChar char="••"/>
          </a:pPr>
          <a:r>
            <a:rPr lang="lt-LT" sz="800" kern="1200">
              <a:latin typeface="Tahoma" pitchFamily="34" charset="0"/>
              <a:cs typeface="Tahoma" pitchFamily="34" charset="0"/>
            </a:rPr>
            <a:t>Bendrojo plavimo leidimų gavimas</a:t>
          </a:r>
          <a:endParaRPr lang="en-US" sz="800" kern="1200">
            <a:latin typeface="Tahoma" pitchFamily="34" charset="0"/>
            <a:cs typeface="Tahoma" pitchFamily="34" charset="0"/>
          </a:endParaRPr>
        </a:p>
        <a:p>
          <a:pPr marL="57150" lvl="1" indent="-57150" algn="l" defTabSz="355600">
            <a:lnSpc>
              <a:spcPct val="90000"/>
            </a:lnSpc>
            <a:spcBef>
              <a:spcPct val="0"/>
            </a:spcBef>
            <a:spcAft>
              <a:spcPct val="15000"/>
            </a:spcAft>
            <a:buChar char="••"/>
          </a:pPr>
          <a:r>
            <a:rPr lang="lt-LT" sz="800" kern="1200">
              <a:latin typeface="Tahoma" pitchFamily="34" charset="0"/>
              <a:cs typeface="Tahoma" pitchFamily="34" charset="0"/>
            </a:rPr>
            <a:t>Vykdomos veiklos standartų nustatymas</a:t>
          </a:r>
          <a:endParaRPr lang="en-US" sz="800" kern="1200">
            <a:latin typeface="Tahoma" pitchFamily="34" charset="0"/>
            <a:cs typeface="Tahoma" pitchFamily="34" charset="0"/>
          </a:endParaRPr>
        </a:p>
      </dsp:txBody>
      <dsp:txXfrm rot="5400000">
        <a:off x="1676852" y="-862041"/>
        <a:ext cx="754703" cy="2482892"/>
      </dsp:txXfrm>
    </dsp:sp>
    <dsp:sp modelId="{AF889C1C-B335-43FD-B1CA-E71677E34D70}">
      <dsp:nvSpPr>
        <dsp:cNvPr id="0" name=""/>
        <dsp:cNvSpPr/>
      </dsp:nvSpPr>
      <dsp:spPr>
        <a:xfrm rot="5400000">
          <a:off x="-174162" y="1193821"/>
          <a:ext cx="1161082" cy="81275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lt-LT" sz="700" b="1" kern="1200">
              <a:latin typeface="Tahoma" pitchFamily="34" charset="0"/>
              <a:cs typeface="Tahoma" pitchFamily="34" charset="0"/>
            </a:rPr>
            <a:t>Bendrosios rizikos</a:t>
          </a:r>
          <a:endParaRPr lang="en-US" sz="700" b="1" kern="1200">
            <a:latin typeface="Tahoma" pitchFamily="34" charset="0"/>
            <a:cs typeface="Tahoma" pitchFamily="34" charset="0"/>
          </a:endParaRPr>
        </a:p>
      </dsp:txBody>
      <dsp:txXfrm rot="5400000">
        <a:off x="-174162" y="1193821"/>
        <a:ext cx="1161082" cy="812757"/>
      </dsp:txXfrm>
    </dsp:sp>
    <dsp:sp modelId="{91D2B603-27AE-4E03-846F-5AF3E94D40B1}">
      <dsp:nvSpPr>
        <dsp:cNvPr id="0" name=""/>
        <dsp:cNvSpPr/>
      </dsp:nvSpPr>
      <dsp:spPr>
        <a:xfrm rot="5400000">
          <a:off x="1676852" y="155564"/>
          <a:ext cx="754703" cy="248289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US" sz="800" kern="1200">
              <a:latin typeface="Tahoma" pitchFamily="34" charset="0"/>
              <a:cs typeface="Tahoma" pitchFamily="34" charset="0"/>
            </a:rPr>
            <a:t>Paklausos (apimties) rizika</a:t>
          </a:r>
        </a:p>
        <a:p>
          <a:pPr marL="57150" lvl="1" indent="-57150" algn="l" defTabSz="355600">
            <a:lnSpc>
              <a:spcPct val="90000"/>
            </a:lnSpc>
            <a:spcBef>
              <a:spcPct val="0"/>
            </a:spcBef>
            <a:spcAft>
              <a:spcPct val="15000"/>
            </a:spcAft>
            <a:buChar char="••"/>
          </a:pPr>
          <a:r>
            <a:rPr lang="en-US" sz="800" kern="1200">
              <a:latin typeface="Tahoma" pitchFamily="34" charset="0"/>
              <a:cs typeface="Tahoma" pitchFamily="34" charset="0"/>
            </a:rPr>
            <a:t>Infliacijos rizika</a:t>
          </a:r>
        </a:p>
        <a:p>
          <a:pPr marL="57150" lvl="1" indent="-57150" algn="l" defTabSz="355600">
            <a:lnSpc>
              <a:spcPct val="90000"/>
            </a:lnSpc>
            <a:spcBef>
              <a:spcPct val="0"/>
            </a:spcBef>
            <a:spcAft>
              <a:spcPct val="15000"/>
            </a:spcAft>
            <a:buChar char="••"/>
          </a:pPr>
          <a:r>
            <a:rPr lang="lt-LT" sz="800" kern="1200">
              <a:latin typeface="Tahoma" pitchFamily="34" charset="0"/>
              <a:cs typeface="Tahoma" pitchFamily="34" charset="0"/>
            </a:rPr>
            <a:t>Bendra teisinė rizika</a:t>
          </a:r>
          <a:endParaRPr lang="en-US" sz="800" kern="1200">
            <a:latin typeface="Tahoma" pitchFamily="34" charset="0"/>
            <a:cs typeface="Tahoma" pitchFamily="34" charset="0"/>
          </a:endParaRPr>
        </a:p>
        <a:p>
          <a:pPr marL="57150" lvl="1" indent="-57150" algn="l" defTabSz="355600">
            <a:lnSpc>
              <a:spcPct val="90000"/>
            </a:lnSpc>
            <a:spcBef>
              <a:spcPct val="0"/>
            </a:spcBef>
            <a:spcAft>
              <a:spcPct val="15000"/>
            </a:spcAft>
            <a:buChar char="••"/>
          </a:pPr>
          <a:r>
            <a:rPr lang="lt-LT" sz="800" kern="1200">
              <a:latin typeface="Tahoma" pitchFamily="34" charset="0"/>
              <a:cs typeface="Tahoma" pitchFamily="34" charset="0"/>
            </a:rPr>
            <a:t>Neįveikiamos aplinkybės (</a:t>
          </a:r>
          <a:r>
            <a:rPr lang="lt-LT" sz="800" i="1" kern="1200">
              <a:latin typeface="Tahoma" pitchFamily="34" charset="0"/>
              <a:cs typeface="Tahoma" pitchFamily="34" charset="0"/>
            </a:rPr>
            <a:t>pranc. force majeure</a:t>
          </a:r>
          <a:r>
            <a:rPr lang="lt-LT" sz="800" kern="1200">
              <a:latin typeface="Tahoma" pitchFamily="34" charset="0"/>
              <a:cs typeface="Tahoma" pitchFamily="34" charset="0"/>
            </a:rPr>
            <a:t>)</a:t>
          </a:r>
          <a:endParaRPr lang="en-US" sz="800" kern="1200">
            <a:latin typeface="Tahoma" pitchFamily="34" charset="0"/>
            <a:cs typeface="Tahoma" pitchFamily="34" charset="0"/>
          </a:endParaRPr>
        </a:p>
      </dsp:txBody>
      <dsp:txXfrm rot="5400000">
        <a:off x="1676852" y="155564"/>
        <a:ext cx="754703" cy="2482892"/>
      </dsp:txXfrm>
    </dsp:sp>
    <dsp:sp modelId="{97B7DFEA-AB7D-45D5-A004-7D802E5DF231}">
      <dsp:nvSpPr>
        <dsp:cNvPr id="0" name=""/>
        <dsp:cNvSpPr/>
      </dsp:nvSpPr>
      <dsp:spPr>
        <a:xfrm rot="5400000">
          <a:off x="-174162" y="2211427"/>
          <a:ext cx="1161082" cy="812757"/>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dsp:spPr>
      <dsp:style>
        <a:lnRef idx="1">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lt-LT" sz="700" b="1" kern="1200">
              <a:latin typeface="Tahoma" pitchFamily="34" charset="0"/>
              <a:cs typeface="Tahoma" pitchFamily="34" charset="0"/>
            </a:rPr>
            <a:t>Privataus sektoriaus </a:t>
          </a:r>
          <a:endParaRPr lang="en-US" sz="700" b="1" kern="1200">
            <a:latin typeface="Tahoma" pitchFamily="34" charset="0"/>
            <a:cs typeface="Tahoma" pitchFamily="34" charset="0"/>
          </a:endParaRPr>
        </a:p>
        <a:p>
          <a:pPr lvl="0" algn="ctr" defTabSz="311150">
            <a:lnSpc>
              <a:spcPct val="90000"/>
            </a:lnSpc>
            <a:spcBef>
              <a:spcPct val="0"/>
            </a:spcBef>
            <a:spcAft>
              <a:spcPct val="35000"/>
            </a:spcAft>
          </a:pPr>
          <a:r>
            <a:rPr lang="lt-LT" sz="700" b="1" kern="1200">
              <a:latin typeface="Tahoma" pitchFamily="34" charset="0"/>
              <a:cs typeface="Tahoma" pitchFamily="34" charset="0"/>
            </a:rPr>
            <a:t>rizikos</a:t>
          </a:r>
          <a:endParaRPr lang="en-US" sz="700" b="1" kern="1200">
            <a:latin typeface="Tahoma" pitchFamily="34" charset="0"/>
            <a:cs typeface="Tahoma" pitchFamily="34" charset="0"/>
          </a:endParaRPr>
        </a:p>
      </dsp:txBody>
      <dsp:txXfrm rot="5400000">
        <a:off x="-174162" y="2211427"/>
        <a:ext cx="1161082" cy="812757"/>
      </dsp:txXfrm>
    </dsp:sp>
    <dsp:sp modelId="{383D1480-C425-4DF2-8B52-2A2479AACDF1}">
      <dsp:nvSpPr>
        <dsp:cNvPr id="0" name=""/>
        <dsp:cNvSpPr/>
      </dsp:nvSpPr>
      <dsp:spPr>
        <a:xfrm rot="5400000">
          <a:off x="1676852" y="1173170"/>
          <a:ext cx="754703" cy="2482892"/>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en-US" sz="600" kern="1200">
              <a:latin typeface="Tahoma" pitchFamily="34" charset="0"/>
              <a:cs typeface="Tahoma" pitchFamily="34" charset="0"/>
            </a:rPr>
            <a:t>Detalaus planavimo leidim</a:t>
          </a:r>
          <a:r>
            <a:rPr lang="lt-LT" sz="600" kern="1200">
              <a:latin typeface="Tahoma" pitchFamily="34" charset="0"/>
              <a:cs typeface="Tahoma" pitchFamily="34" charset="0"/>
            </a:rPr>
            <a:t>ų </a:t>
          </a:r>
          <a:r>
            <a:rPr lang="en-US" sz="600" kern="1200">
              <a:latin typeface="Tahoma" pitchFamily="34" charset="0"/>
              <a:cs typeface="Tahoma" pitchFamily="34" charset="0"/>
            </a:rPr>
            <a:t>gavimas</a:t>
          </a:r>
        </a:p>
        <a:p>
          <a:pPr marL="57150" lvl="1" indent="-57150" algn="l" defTabSz="266700">
            <a:lnSpc>
              <a:spcPct val="90000"/>
            </a:lnSpc>
            <a:spcBef>
              <a:spcPct val="0"/>
            </a:spcBef>
            <a:spcAft>
              <a:spcPct val="15000"/>
            </a:spcAft>
            <a:buChar char="••"/>
          </a:pPr>
          <a:r>
            <a:rPr lang="lt-LT" sz="600" kern="1200">
              <a:latin typeface="Tahoma" pitchFamily="34" charset="0"/>
              <a:cs typeface="Tahoma" pitchFamily="34" charset="0"/>
            </a:rPr>
            <a:t>Projektavimas</a:t>
          </a:r>
          <a:endParaRPr lang="en-US" sz="600" kern="1200">
            <a:latin typeface="Tahoma" pitchFamily="34" charset="0"/>
            <a:cs typeface="Tahoma" pitchFamily="34" charset="0"/>
          </a:endParaRPr>
        </a:p>
        <a:p>
          <a:pPr marL="57150" lvl="1" indent="-57150" algn="l" defTabSz="266700">
            <a:lnSpc>
              <a:spcPct val="90000"/>
            </a:lnSpc>
            <a:spcBef>
              <a:spcPct val="0"/>
            </a:spcBef>
            <a:spcAft>
              <a:spcPct val="15000"/>
            </a:spcAft>
            <a:buChar char="••"/>
          </a:pPr>
          <a:r>
            <a:rPr lang="lt-LT" sz="600" kern="1200">
              <a:latin typeface="Tahoma" pitchFamily="34" charset="0"/>
              <a:cs typeface="Tahoma" pitchFamily="34" charset="0"/>
            </a:rPr>
            <a:t>Kūrimas</a:t>
          </a:r>
          <a:endParaRPr lang="en-US" sz="600" kern="1200">
            <a:latin typeface="Tahoma" pitchFamily="34" charset="0"/>
            <a:cs typeface="Tahoma" pitchFamily="34" charset="0"/>
          </a:endParaRPr>
        </a:p>
        <a:p>
          <a:pPr marL="57150" lvl="1" indent="-57150" algn="l" defTabSz="266700">
            <a:lnSpc>
              <a:spcPct val="90000"/>
            </a:lnSpc>
            <a:spcBef>
              <a:spcPct val="0"/>
            </a:spcBef>
            <a:spcAft>
              <a:spcPct val="15000"/>
            </a:spcAft>
            <a:buChar char="••"/>
          </a:pPr>
          <a:r>
            <a:rPr lang="lt-LT" sz="600" kern="1200">
              <a:latin typeface="Tahoma" pitchFamily="34" charset="0"/>
              <a:cs typeface="Tahoma" pitchFamily="34" charset="0"/>
            </a:rPr>
            <a:t>Atidavimas eksploatuoti</a:t>
          </a:r>
          <a:endParaRPr lang="en-US" sz="600" kern="1200">
            <a:latin typeface="Tahoma" pitchFamily="34" charset="0"/>
            <a:cs typeface="Tahoma" pitchFamily="34" charset="0"/>
          </a:endParaRPr>
        </a:p>
        <a:p>
          <a:pPr marL="57150" lvl="1" indent="-57150" algn="l" defTabSz="266700">
            <a:lnSpc>
              <a:spcPct val="90000"/>
            </a:lnSpc>
            <a:spcBef>
              <a:spcPct val="0"/>
            </a:spcBef>
            <a:spcAft>
              <a:spcPct val="15000"/>
            </a:spcAft>
            <a:buChar char="••"/>
          </a:pPr>
          <a:r>
            <a:rPr lang="lt-LT" sz="600" kern="1200">
              <a:latin typeface="Tahoma" pitchFamily="34" charset="0"/>
              <a:cs typeface="Tahoma" pitchFamily="34" charset="0"/>
            </a:rPr>
            <a:t>Vykdoma veikla</a:t>
          </a:r>
          <a:endParaRPr lang="en-US" sz="600" kern="1200">
            <a:latin typeface="Tahoma" pitchFamily="34" charset="0"/>
            <a:cs typeface="Tahoma" pitchFamily="34" charset="0"/>
          </a:endParaRPr>
        </a:p>
        <a:p>
          <a:pPr marL="57150" lvl="1" indent="-57150" algn="l" defTabSz="266700">
            <a:lnSpc>
              <a:spcPct val="90000"/>
            </a:lnSpc>
            <a:spcBef>
              <a:spcPct val="0"/>
            </a:spcBef>
            <a:spcAft>
              <a:spcPct val="15000"/>
            </a:spcAft>
            <a:buChar char="••"/>
          </a:pPr>
          <a:r>
            <a:rPr lang="lt-LT" sz="600" kern="1200">
              <a:latin typeface="Tahoma" pitchFamily="34" charset="0"/>
              <a:cs typeface="Tahoma" pitchFamily="34" charset="0"/>
            </a:rPr>
            <a:t>Projekto finansavimas</a:t>
          </a:r>
          <a:endParaRPr lang="en-US" sz="600" kern="1200">
            <a:latin typeface="Tahoma" pitchFamily="34" charset="0"/>
            <a:cs typeface="Tahoma" pitchFamily="34" charset="0"/>
          </a:endParaRPr>
        </a:p>
        <a:p>
          <a:pPr marL="57150" lvl="1" indent="-57150" algn="l" defTabSz="266700">
            <a:lnSpc>
              <a:spcPct val="90000"/>
            </a:lnSpc>
            <a:spcBef>
              <a:spcPct val="0"/>
            </a:spcBef>
            <a:spcAft>
              <a:spcPct val="15000"/>
            </a:spcAft>
            <a:buChar char="••"/>
          </a:pPr>
          <a:r>
            <a:rPr lang="lt-LT" sz="600" kern="1200">
              <a:latin typeface="Tahoma" pitchFamily="34" charset="0"/>
              <a:cs typeface="Tahoma" pitchFamily="34" charset="0"/>
            </a:rPr>
            <a:t>Technologijos ir moralinis nusidėvėjimas</a:t>
          </a:r>
          <a:endParaRPr lang="en-US" sz="600" kern="1200">
            <a:latin typeface="Tahoma" pitchFamily="34" charset="0"/>
            <a:cs typeface="Tahoma" pitchFamily="34" charset="0"/>
          </a:endParaRPr>
        </a:p>
      </dsp:txBody>
      <dsp:txXfrm rot="5400000">
        <a:off x="1676852" y="1173170"/>
        <a:ext cx="754703" cy="248289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8722200-D0F8-4C48-A3C2-BFB9EEF7754C}">
      <dsp:nvSpPr>
        <dsp:cNvPr id="0" name=""/>
        <dsp:cNvSpPr/>
      </dsp:nvSpPr>
      <dsp:spPr>
        <a:xfrm>
          <a:off x="239236" y="950000"/>
          <a:ext cx="1152919" cy="576459"/>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36000" tIns="36000" rIns="36000" bIns="36000" numCol="1" spcCol="1270" anchor="ctr" anchorCtr="0">
          <a:noAutofit/>
        </a:bodyPr>
        <a:lstStyle/>
        <a:p>
          <a:pPr marL="0" lvl="0" algn="l" defTabSz="355600">
            <a:lnSpc>
              <a:spcPct val="90000"/>
            </a:lnSpc>
            <a:spcBef>
              <a:spcPct val="0"/>
            </a:spcBef>
            <a:spcAft>
              <a:spcPct val="35000"/>
            </a:spcAft>
          </a:pPr>
          <a:r>
            <a:rPr lang="lt-LT" sz="800" b="1" kern="0" spc="0" baseline="0">
              <a:solidFill>
                <a:schemeClr val="tx1"/>
              </a:solidFill>
              <a:latin typeface="Tahoma"/>
            </a:rPr>
            <a:t>Viešojo ir privataus sektoriaus partnerystė</a:t>
          </a:r>
          <a:endParaRPr lang="en-US" sz="800" kern="0" spc="0" baseline="0">
            <a:solidFill>
              <a:schemeClr val="tx1"/>
            </a:solidFill>
            <a:latin typeface="Tahoma"/>
          </a:endParaRPr>
        </a:p>
      </dsp:txBody>
      <dsp:txXfrm>
        <a:off x="239236" y="950000"/>
        <a:ext cx="1152919" cy="576459"/>
      </dsp:txXfrm>
    </dsp:sp>
    <dsp:sp modelId="{5CD604C6-FFE6-D74F-96F2-799B2EBFB5A1}">
      <dsp:nvSpPr>
        <dsp:cNvPr id="0" name=""/>
        <dsp:cNvSpPr/>
      </dsp:nvSpPr>
      <dsp:spPr>
        <a:xfrm rot="17689248">
          <a:off x="1222068" y="951179"/>
          <a:ext cx="586289" cy="41970"/>
        </a:xfrm>
        <a:custGeom>
          <a:avLst/>
          <a:gdLst/>
          <a:ahLst/>
          <a:cxnLst/>
          <a:rect l="0" t="0" r="0" b="0"/>
          <a:pathLst>
            <a:path>
              <a:moveTo>
                <a:pt x="0" y="20985"/>
              </a:moveTo>
              <a:lnTo>
                <a:pt x="586289" y="20985"/>
              </a:lnTo>
            </a:path>
          </a:pathLst>
        </a:custGeom>
        <a:no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rot="17689248">
        <a:off x="1500555" y="957507"/>
        <a:ext cx="29314" cy="29314"/>
      </dsp:txXfrm>
    </dsp:sp>
    <dsp:sp modelId="{4110085E-C14C-DD4D-8C61-B10A92941FA4}">
      <dsp:nvSpPr>
        <dsp:cNvPr id="0" name=""/>
        <dsp:cNvSpPr/>
      </dsp:nvSpPr>
      <dsp:spPr>
        <a:xfrm>
          <a:off x="1638270" y="81660"/>
          <a:ext cx="1708027" cy="124887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36000" tIns="36000" rIns="36000" bIns="36000" numCol="1" spcCol="1270" anchor="ctr" anchorCtr="0">
          <a:noAutofit/>
        </a:bodyPr>
        <a:lstStyle/>
        <a:p>
          <a:pPr marL="0" lvl="0" algn="l" defTabSz="355600">
            <a:lnSpc>
              <a:spcPct val="90000"/>
            </a:lnSpc>
            <a:spcBef>
              <a:spcPct val="0"/>
            </a:spcBef>
            <a:spcAft>
              <a:spcPct val="35000"/>
            </a:spcAft>
          </a:pPr>
          <a:r>
            <a:rPr lang="lt-LT" sz="800" b="1" kern="0" spc="0" baseline="0">
              <a:solidFill>
                <a:schemeClr val="tx1"/>
              </a:solidFill>
              <a:latin typeface="Tahoma"/>
            </a:rPr>
            <a:t>Sutartiniai VPSP </a:t>
          </a:r>
          <a:r>
            <a:rPr lang="lt-LT" sz="800" kern="0" spc="0" baseline="0">
              <a:solidFill>
                <a:schemeClr val="tx1"/>
              </a:solidFill>
              <a:latin typeface="Tahoma"/>
            </a:rPr>
            <a:t>(angl. </a:t>
          </a:r>
          <a:r>
            <a:rPr lang="lt-LT" sz="800" i="1" kern="0" spc="0" baseline="0">
              <a:solidFill>
                <a:schemeClr val="tx1"/>
              </a:solidFill>
              <a:latin typeface="Tahoma"/>
            </a:rPr>
            <a:t>Purely contractual PPPs</a:t>
          </a:r>
          <a:r>
            <a:rPr lang="lt-LT" sz="800" kern="0" spc="0" baseline="0">
              <a:solidFill>
                <a:schemeClr val="tx1"/>
              </a:solidFill>
              <a:latin typeface="Tahoma"/>
            </a:rPr>
            <a:t>), kai bendradarbiavimas tarp viešojo ir privataus sektoriaus vykdomas sutarčių pagrindu sudarant viešąją sutartį (angl. </a:t>
          </a:r>
          <a:r>
            <a:rPr lang="lt-LT" sz="800" i="1" kern="0" spc="0" baseline="0">
              <a:solidFill>
                <a:schemeClr val="tx1"/>
              </a:solidFill>
              <a:latin typeface="Tahoma"/>
            </a:rPr>
            <a:t>public contract</a:t>
          </a:r>
          <a:r>
            <a:rPr lang="lt-LT" sz="800" kern="0" spc="0" baseline="0">
              <a:solidFill>
                <a:schemeClr val="tx1"/>
              </a:solidFill>
              <a:latin typeface="Tahoma"/>
            </a:rPr>
            <a:t>) arba koncesiją (angl. </a:t>
          </a:r>
          <a:r>
            <a:rPr lang="lt-LT" sz="800" i="1" kern="0" spc="0" baseline="0">
              <a:solidFill>
                <a:schemeClr val="tx1"/>
              </a:solidFill>
              <a:latin typeface="Tahoma"/>
            </a:rPr>
            <a:t>concession</a:t>
          </a:r>
          <a:r>
            <a:rPr lang="lt-LT" sz="800" kern="0" spc="0" baseline="0">
              <a:solidFill>
                <a:schemeClr val="tx1"/>
              </a:solidFill>
              <a:latin typeface="Tahoma"/>
            </a:rPr>
            <a:t>).</a:t>
          </a:r>
          <a:endParaRPr lang="en-US" sz="800" kern="0" spc="0" baseline="0">
            <a:solidFill>
              <a:schemeClr val="tx1"/>
            </a:solidFill>
            <a:latin typeface="Tahoma"/>
          </a:endParaRPr>
        </a:p>
      </dsp:txBody>
      <dsp:txXfrm>
        <a:off x="1638270" y="81660"/>
        <a:ext cx="1708027" cy="1248877"/>
      </dsp:txXfrm>
    </dsp:sp>
    <dsp:sp modelId="{2B80F757-4A19-7E43-B553-62281C766567}">
      <dsp:nvSpPr>
        <dsp:cNvPr id="0" name=""/>
        <dsp:cNvSpPr/>
      </dsp:nvSpPr>
      <dsp:spPr>
        <a:xfrm rot="19998533">
          <a:off x="3305971" y="515127"/>
          <a:ext cx="756873" cy="41970"/>
        </a:xfrm>
        <a:custGeom>
          <a:avLst/>
          <a:gdLst/>
          <a:ahLst/>
          <a:cxnLst/>
          <a:rect l="0" t="0" r="0" b="0"/>
          <a:pathLst>
            <a:path>
              <a:moveTo>
                <a:pt x="0" y="20985"/>
              </a:moveTo>
              <a:lnTo>
                <a:pt x="756873" y="20985"/>
              </a:lnTo>
            </a:path>
          </a:pathLst>
        </a:custGeom>
        <a:no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rot="19998533">
        <a:off x="3665486" y="517190"/>
        <a:ext cx="37843" cy="37843"/>
      </dsp:txXfrm>
    </dsp:sp>
    <dsp:sp modelId="{80C5ACC8-5843-E54C-A4D1-1D34B26B3A5B}">
      <dsp:nvSpPr>
        <dsp:cNvPr id="0" name=""/>
        <dsp:cNvSpPr/>
      </dsp:nvSpPr>
      <dsp:spPr>
        <a:xfrm>
          <a:off x="4022519" y="1267"/>
          <a:ext cx="1860477" cy="729717"/>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36000" tIns="36000" rIns="36000" bIns="36000" numCol="1" spcCol="1270" anchor="ctr" anchorCtr="0">
          <a:noAutofit/>
        </a:bodyPr>
        <a:lstStyle/>
        <a:p>
          <a:pPr marL="0" lvl="0" algn="l" defTabSz="355600">
            <a:lnSpc>
              <a:spcPct val="90000"/>
            </a:lnSpc>
            <a:spcBef>
              <a:spcPct val="0"/>
            </a:spcBef>
            <a:spcAft>
              <a:spcPct val="35000"/>
            </a:spcAft>
          </a:pPr>
          <a:r>
            <a:rPr lang="lt-LT" sz="800" b="1" kern="0" spc="0" baseline="0">
              <a:solidFill>
                <a:schemeClr val="tx1"/>
              </a:solidFill>
              <a:latin typeface="Tahoma"/>
            </a:rPr>
            <a:t>Viešosios sutartys:</a:t>
          </a:r>
          <a:endParaRPr lang="en-US" sz="800" kern="0" spc="0" baseline="0">
            <a:solidFill>
              <a:schemeClr val="tx1"/>
            </a:solidFill>
            <a:latin typeface="Tahoma"/>
          </a:endParaRPr>
        </a:p>
        <a:p>
          <a:pPr marL="0" lvl="0" algn="l" defTabSz="355600">
            <a:lnSpc>
              <a:spcPct val="90000"/>
            </a:lnSpc>
            <a:spcBef>
              <a:spcPct val="0"/>
            </a:spcBef>
            <a:spcAft>
              <a:spcPct val="35000"/>
            </a:spcAft>
          </a:pPr>
          <a:r>
            <a:rPr lang="lt-LT" sz="800" kern="0" spc="0" baseline="0">
              <a:solidFill>
                <a:schemeClr val="tx1"/>
              </a:solidFill>
              <a:latin typeface="Tahoma"/>
            </a:rPr>
            <a:t>- viešoji darbų pirkimo sutartis,</a:t>
          </a:r>
          <a:endParaRPr lang="en-US" sz="800" kern="0" spc="0" baseline="0">
            <a:solidFill>
              <a:schemeClr val="tx1"/>
            </a:solidFill>
            <a:latin typeface="Tahoma"/>
          </a:endParaRPr>
        </a:p>
        <a:p>
          <a:pPr marL="0" lvl="0" algn="l" defTabSz="355600">
            <a:lnSpc>
              <a:spcPct val="90000"/>
            </a:lnSpc>
            <a:spcBef>
              <a:spcPct val="0"/>
            </a:spcBef>
            <a:spcAft>
              <a:spcPct val="35000"/>
            </a:spcAft>
          </a:pPr>
          <a:r>
            <a:rPr lang="lt-LT" sz="800" kern="0" spc="0" baseline="0">
              <a:solidFill>
                <a:schemeClr val="tx1"/>
              </a:solidFill>
              <a:latin typeface="Tahoma"/>
            </a:rPr>
            <a:t>- viešoji prekių pirkimo sutartis,</a:t>
          </a:r>
          <a:endParaRPr lang="en-US" sz="800" kern="0" spc="0" baseline="0">
            <a:solidFill>
              <a:schemeClr val="tx1"/>
            </a:solidFill>
            <a:latin typeface="Tahoma"/>
          </a:endParaRPr>
        </a:p>
        <a:p>
          <a:pPr marL="0" lvl="0" algn="l" defTabSz="355600">
            <a:lnSpc>
              <a:spcPct val="90000"/>
            </a:lnSpc>
            <a:spcBef>
              <a:spcPct val="0"/>
            </a:spcBef>
            <a:spcAft>
              <a:spcPct val="35000"/>
            </a:spcAft>
          </a:pPr>
          <a:r>
            <a:rPr lang="lt-LT" sz="800" kern="0" spc="0" baseline="0">
              <a:solidFill>
                <a:schemeClr val="tx1"/>
              </a:solidFill>
              <a:latin typeface="Tahoma"/>
            </a:rPr>
            <a:t>- viešoji paslaugų pirkimo sutartis.</a:t>
          </a:r>
          <a:endParaRPr lang="en-US" sz="800" kern="0" spc="0" baseline="0">
            <a:solidFill>
              <a:schemeClr val="tx1"/>
            </a:solidFill>
            <a:latin typeface="Tahoma"/>
          </a:endParaRPr>
        </a:p>
      </dsp:txBody>
      <dsp:txXfrm>
        <a:off x="4022519" y="1267"/>
        <a:ext cx="1860477" cy="729717"/>
      </dsp:txXfrm>
    </dsp:sp>
    <dsp:sp modelId="{9281AB00-0B17-D64F-AC96-175D0EAC35F5}">
      <dsp:nvSpPr>
        <dsp:cNvPr id="0" name=""/>
        <dsp:cNvSpPr/>
      </dsp:nvSpPr>
      <dsp:spPr>
        <a:xfrm rot="1774247">
          <a:off x="3295661" y="876959"/>
          <a:ext cx="777492" cy="41970"/>
        </a:xfrm>
        <a:custGeom>
          <a:avLst/>
          <a:gdLst/>
          <a:ahLst/>
          <a:cxnLst/>
          <a:rect l="0" t="0" r="0" b="0"/>
          <a:pathLst>
            <a:path>
              <a:moveTo>
                <a:pt x="0" y="20985"/>
              </a:moveTo>
              <a:lnTo>
                <a:pt x="777492" y="20985"/>
              </a:lnTo>
            </a:path>
          </a:pathLst>
        </a:custGeom>
        <a:no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rot="1774247">
        <a:off x="3664970" y="878507"/>
        <a:ext cx="38874" cy="38874"/>
      </dsp:txXfrm>
    </dsp:sp>
    <dsp:sp modelId="{9812CA31-94E5-BD49-9BF5-009309538B6F}">
      <dsp:nvSpPr>
        <dsp:cNvPr id="0" name=""/>
        <dsp:cNvSpPr/>
      </dsp:nvSpPr>
      <dsp:spPr>
        <a:xfrm>
          <a:off x="4022519" y="808985"/>
          <a:ext cx="1860477" cy="561610"/>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36000" tIns="36000" rIns="36000" bIns="36000" numCol="1" spcCol="1270" anchor="ctr" anchorCtr="0">
          <a:noAutofit/>
        </a:bodyPr>
        <a:lstStyle/>
        <a:p>
          <a:pPr marL="0" lvl="0" algn="l" defTabSz="355600">
            <a:lnSpc>
              <a:spcPct val="90000"/>
            </a:lnSpc>
            <a:spcBef>
              <a:spcPct val="0"/>
            </a:spcBef>
            <a:spcAft>
              <a:spcPct val="35000"/>
            </a:spcAft>
          </a:pPr>
          <a:r>
            <a:rPr lang="lt-LT" sz="800" b="1" kern="0" spc="0" baseline="0">
              <a:solidFill>
                <a:schemeClr val="tx1"/>
              </a:solidFill>
              <a:latin typeface="Tahoma"/>
            </a:rPr>
            <a:t>Koncesijos:</a:t>
          </a:r>
          <a:endParaRPr lang="en-US" sz="800" kern="0" spc="0" baseline="0">
            <a:solidFill>
              <a:schemeClr val="tx1"/>
            </a:solidFill>
            <a:latin typeface="Tahoma"/>
          </a:endParaRPr>
        </a:p>
        <a:p>
          <a:pPr marL="0" lvl="0" algn="l" defTabSz="355600">
            <a:lnSpc>
              <a:spcPct val="90000"/>
            </a:lnSpc>
            <a:spcBef>
              <a:spcPct val="0"/>
            </a:spcBef>
            <a:spcAft>
              <a:spcPct val="35000"/>
            </a:spcAft>
          </a:pPr>
          <a:r>
            <a:rPr lang="lt-LT" sz="800" kern="0" spc="0" baseline="0">
              <a:solidFill>
                <a:schemeClr val="tx1"/>
              </a:solidFill>
              <a:latin typeface="Tahoma"/>
            </a:rPr>
            <a:t>- viešoji darbų koncesija,</a:t>
          </a:r>
          <a:endParaRPr lang="en-US" sz="800" kern="0" spc="0" baseline="0">
            <a:solidFill>
              <a:schemeClr val="tx1"/>
            </a:solidFill>
            <a:latin typeface="Tahoma"/>
          </a:endParaRPr>
        </a:p>
        <a:p>
          <a:pPr marL="0" lvl="0" algn="l" defTabSz="355600">
            <a:lnSpc>
              <a:spcPct val="90000"/>
            </a:lnSpc>
            <a:spcBef>
              <a:spcPct val="0"/>
            </a:spcBef>
            <a:spcAft>
              <a:spcPct val="35000"/>
            </a:spcAft>
          </a:pPr>
          <a:r>
            <a:rPr lang="lt-LT" sz="800" kern="0" spc="0" baseline="0">
              <a:solidFill>
                <a:schemeClr val="tx1"/>
              </a:solidFill>
              <a:latin typeface="Tahoma"/>
            </a:rPr>
            <a:t>- viešoji paslaugų koncesija.</a:t>
          </a:r>
          <a:endParaRPr lang="en-US" sz="800" kern="0" spc="0" baseline="0">
            <a:solidFill>
              <a:schemeClr val="tx1"/>
            </a:solidFill>
            <a:latin typeface="Tahoma"/>
          </a:endParaRPr>
        </a:p>
      </dsp:txBody>
      <dsp:txXfrm>
        <a:off x="4022519" y="808985"/>
        <a:ext cx="1860477" cy="561610"/>
      </dsp:txXfrm>
    </dsp:sp>
    <dsp:sp modelId="{ABD4334A-260F-2D48-A0D3-AD5E62735457}">
      <dsp:nvSpPr>
        <dsp:cNvPr id="0" name=""/>
        <dsp:cNvSpPr/>
      </dsp:nvSpPr>
      <dsp:spPr>
        <a:xfrm rot="4383426">
          <a:off x="1098985" y="1613029"/>
          <a:ext cx="827485" cy="41970"/>
        </a:xfrm>
        <a:custGeom>
          <a:avLst/>
          <a:gdLst/>
          <a:ahLst/>
          <a:cxnLst/>
          <a:rect l="0" t="0" r="0" b="0"/>
          <a:pathLst>
            <a:path>
              <a:moveTo>
                <a:pt x="0" y="20985"/>
              </a:moveTo>
              <a:lnTo>
                <a:pt x="827485" y="20985"/>
              </a:lnTo>
            </a:path>
          </a:pathLst>
        </a:custGeom>
        <a:no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rot="4383426">
        <a:off x="1492041" y="1613327"/>
        <a:ext cx="41374" cy="41374"/>
      </dsp:txXfrm>
    </dsp:sp>
    <dsp:sp modelId="{EB3A07A1-55CA-E34B-A80C-93999C97D0F4}">
      <dsp:nvSpPr>
        <dsp:cNvPr id="0" name=""/>
        <dsp:cNvSpPr/>
      </dsp:nvSpPr>
      <dsp:spPr>
        <a:xfrm>
          <a:off x="1633300" y="1587332"/>
          <a:ext cx="1715659" cy="884934"/>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36000" tIns="36000" rIns="36000" bIns="36000" numCol="1" spcCol="1270" anchor="ctr" anchorCtr="0">
          <a:noAutofit/>
        </a:bodyPr>
        <a:lstStyle/>
        <a:p>
          <a:pPr marL="0" lvl="0" algn="l" defTabSz="355600">
            <a:lnSpc>
              <a:spcPct val="90000"/>
            </a:lnSpc>
            <a:spcBef>
              <a:spcPct val="0"/>
            </a:spcBef>
            <a:spcAft>
              <a:spcPct val="35000"/>
            </a:spcAft>
          </a:pPr>
          <a:r>
            <a:rPr lang="lt-LT" sz="800" b="1" kern="0" spc="0" baseline="0">
              <a:solidFill>
                <a:schemeClr val="tx1"/>
              </a:solidFill>
              <a:latin typeface="Tahoma"/>
            </a:rPr>
            <a:t>Instituciniai VPSP </a:t>
          </a:r>
          <a:r>
            <a:rPr lang="lt-LT" sz="800" kern="0" spc="0" baseline="0">
              <a:solidFill>
                <a:schemeClr val="tx1"/>
              </a:solidFill>
              <a:latin typeface="Tahoma"/>
            </a:rPr>
            <a:t>(angl. </a:t>
          </a:r>
          <a:r>
            <a:rPr lang="lt-LT" sz="800" i="1" kern="0" spc="0" baseline="0">
              <a:solidFill>
                <a:schemeClr val="tx1"/>
              </a:solidFill>
              <a:latin typeface="Tahoma"/>
            </a:rPr>
            <a:t>Institutionalised PPPs</a:t>
          </a:r>
          <a:r>
            <a:rPr lang="lt-LT" sz="800" kern="0" spc="0" baseline="0">
              <a:solidFill>
                <a:schemeClr val="tx1"/>
              </a:solidFill>
              <a:latin typeface="Tahoma"/>
            </a:rPr>
            <a:t>), kai viešojo ir privataus sektoriaus bendradarbiavimas vyksta savarankiško teisinio subjekto forma.</a:t>
          </a:r>
          <a:endParaRPr lang="en-US" sz="800" kern="0" spc="0" baseline="0">
            <a:solidFill>
              <a:schemeClr val="tx1"/>
            </a:solidFill>
            <a:latin typeface="Tahoma"/>
          </a:endParaRPr>
        </a:p>
      </dsp:txBody>
      <dsp:txXfrm>
        <a:off x="1633300" y="1587332"/>
        <a:ext cx="1715659" cy="884934"/>
      </dsp:txXfrm>
    </dsp:sp>
    <dsp:sp modelId="{9D92E20F-2C7E-E84A-81B7-B4F1EC016657}">
      <dsp:nvSpPr>
        <dsp:cNvPr id="0" name=""/>
        <dsp:cNvSpPr/>
      </dsp:nvSpPr>
      <dsp:spPr>
        <a:xfrm rot="20035885">
          <a:off x="3310880" y="1844318"/>
          <a:ext cx="748647" cy="41970"/>
        </a:xfrm>
        <a:custGeom>
          <a:avLst/>
          <a:gdLst/>
          <a:ahLst/>
          <a:cxnLst/>
          <a:rect l="0" t="0" r="0" b="0"/>
          <a:pathLst>
            <a:path>
              <a:moveTo>
                <a:pt x="0" y="20985"/>
              </a:moveTo>
              <a:lnTo>
                <a:pt x="748647" y="20985"/>
              </a:lnTo>
            </a:path>
          </a:pathLst>
        </a:custGeom>
        <a:no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rot="20035885">
        <a:off x="3666487" y="1846588"/>
        <a:ext cx="37432" cy="37432"/>
      </dsp:txXfrm>
    </dsp:sp>
    <dsp:sp modelId="{EF36DC30-68EC-444F-822B-9E9002E29F80}">
      <dsp:nvSpPr>
        <dsp:cNvPr id="0" name=""/>
        <dsp:cNvSpPr/>
      </dsp:nvSpPr>
      <dsp:spPr>
        <a:xfrm>
          <a:off x="4021446" y="1475828"/>
          <a:ext cx="1860477" cy="44996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36000" tIns="36000" rIns="36000" bIns="36000" numCol="1" spcCol="1270" anchor="ctr" anchorCtr="0">
          <a:noAutofit/>
        </a:bodyPr>
        <a:lstStyle/>
        <a:p>
          <a:pPr marL="0" lvl="0" algn="l" defTabSz="355600">
            <a:lnSpc>
              <a:spcPct val="90000"/>
            </a:lnSpc>
            <a:spcBef>
              <a:spcPct val="0"/>
            </a:spcBef>
            <a:spcAft>
              <a:spcPct val="35000"/>
            </a:spcAft>
          </a:pPr>
          <a:r>
            <a:rPr lang="lt-LT" sz="800" b="1" kern="0" spc="0" baseline="0">
              <a:solidFill>
                <a:schemeClr val="tx1"/>
              </a:solidFill>
              <a:latin typeface="Tahoma"/>
            </a:rPr>
            <a:t>Įsteigta nauja mišraus kapitalo įmonė.</a:t>
          </a:r>
          <a:endParaRPr lang="en-US" sz="800" b="1" kern="0" spc="0" baseline="0">
            <a:solidFill>
              <a:schemeClr val="tx1"/>
            </a:solidFill>
            <a:latin typeface="Tahoma"/>
          </a:endParaRPr>
        </a:p>
      </dsp:txBody>
      <dsp:txXfrm>
        <a:off x="4021446" y="1475828"/>
        <a:ext cx="1860477" cy="449961"/>
      </dsp:txXfrm>
    </dsp:sp>
    <dsp:sp modelId="{24D041BA-862C-C548-BEF5-90BCAFFFC4D8}">
      <dsp:nvSpPr>
        <dsp:cNvPr id="0" name=""/>
        <dsp:cNvSpPr/>
      </dsp:nvSpPr>
      <dsp:spPr>
        <a:xfrm rot="1018561">
          <a:off x="3333443" y="2112788"/>
          <a:ext cx="712224" cy="41970"/>
        </a:xfrm>
        <a:custGeom>
          <a:avLst/>
          <a:gdLst/>
          <a:ahLst/>
          <a:cxnLst/>
          <a:rect l="0" t="0" r="0" b="0"/>
          <a:pathLst>
            <a:path>
              <a:moveTo>
                <a:pt x="0" y="20985"/>
              </a:moveTo>
              <a:lnTo>
                <a:pt x="712224" y="20985"/>
              </a:lnTo>
            </a:path>
          </a:pathLst>
        </a:custGeom>
        <a:no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l" defTabSz="222250">
            <a:lnSpc>
              <a:spcPct val="90000"/>
            </a:lnSpc>
            <a:spcBef>
              <a:spcPct val="0"/>
            </a:spcBef>
            <a:spcAft>
              <a:spcPct val="35000"/>
            </a:spcAft>
          </a:pPr>
          <a:endParaRPr lang="en-US" sz="500" kern="1200"/>
        </a:p>
      </dsp:txBody>
      <dsp:txXfrm rot="1018561">
        <a:off x="3671750" y="2115968"/>
        <a:ext cx="35611" cy="35611"/>
      </dsp:txXfrm>
    </dsp:sp>
    <dsp:sp modelId="{5D4F33A3-A0C7-BF46-BC41-675029FA9AE1}">
      <dsp:nvSpPr>
        <dsp:cNvPr id="0" name=""/>
        <dsp:cNvSpPr/>
      </dsp:nvSpPr>
      <dsp:spPr>
        <a:xfrm>
          <a:off x="4030151" y="2003230"/>
          <a:ext cx="1860477" cy="469036"/>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36000" tIns="36000" rIns="36000" bIns="36000" numCol="1" spcCol="1270" anchor="ctr" anchorCtr="0">
          <a:noAutofit/>
        </a:bodyPr>
        <a:lstStyle/>
        <a:p>
          <a:pPr marL="0" lvl="0" algn="l" defTabSz="355600">
            <a:lnSpc>
              <a:spcPct val="90000"/>
            </a:lnSpc>
            <a:spcBef>
              <a:spcPct val="0"/>
            </a:spcBef>
            <a:spcAft>
              <a:spcPct val="35000"/>
            </a:spcAft>
          </a:pPr>
          <a:r>
            <a:rPr lang="lt-LT" sz="800" b="1" kern="0" spc="0" baseline="0">
              <a:solidFill>
                <a:schemeClr val="tx1"/>
              </a:solidFill>
              <a:latin typeface="Tahoma"/>
            </a:rPr>
            <a:t>Privataus sektoriaus perimta valdyti viešoji įmonė.</a:t>
          </a:r>
          <a:endParaRPr lang="en-US" sz="800" b="1" kern="0" spc="0" baseline="0">
            <a:solidFill>
              <a:schemeClr val="tx1"/>
            </a:solidFill>
            <a:latin typeface="Tahoma"/>
          </a:endParaRPr>
        </a:p>
      </dsp:txBody>
      <dsp:txXfrm>
        <a:off x="4030151" y="2003230"/>
        <a:ext cx="1860477" cy="469036"/>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8EB9D9D-27AA-1C49-B109-CA283D42205C}">
      <dsp:nvSpPr>
        <dsp:cNvPr id="0" name=""/>
        <dsp:cNvSpPr/>
      </dsp:nvSpPr>
      <dsp:spPr>
        <a:xfrm>
          <a:off x="1227896" y="355325"/>
          <a:ext cx="196018" cy="91440"/>
        </a:xfrm>
        <a:custGeom>
          <a:avLst/>
          <a:gdLst/>
          <a:ahLst/>
          <a:cxnLst/>
          <a:rect l="0" t="0" r="0" b="0"/>
          <a:pathLst>
            <a:path>
              <a:moveTo>
                <a:pt x="0" y="45720"/>
              </a:moveTo>
              <a:lnTo>
                <a:pt x="196018" y="45720"/>
              </a:lnTo>
            </a:path>
          </a:pathLst>
        </a:custGeom>
        <a:noFill/>
        <a:ln w="9525" cap="flat" cmpd="sng" algn="ctr">
          <a:solidFill>
            <a:schemeClr val="accent1">
              <a:shade val="95000"/>
              <a:satMod val="105000"/>
            </a:schemeClr>
          </a:solidFill>
          <a:prstDash val="solid"/>
          <a:tailEnd type="triangle"/>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atin typeface="Tahoma"/>
            <a:cs typeface="Tahoma"/>
          </a:endParaRPr>
        </a:p>
      </dsp:txBody>
      <dsp:txXfrm>
        <a:off x="1320240" y="399700"/>
        <a:ext cx="11330" cy="2689"/>
      </dsp:txXfrm>
    </dsp:sp>
    <dsp:sp modelId="{884D901A-0538-4A47-A9E6-CC17C7A62065}">
      <dsp:nvSpPr>
        <dsp:cNvPr id="0" name=""/>
        <dsp:cNvSpPr/>
      </dsp:nvSpPr>
      <dsp:spPr>
        <a:xfrm>
          <a:off x="60353" y="237069"/>
          <a:ext cx="1169342" cy="327951"/>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kern="1200">
              <a:latin typeface="Tahoma"/>
              <a:cs typeface="Tahoma"/>
            </a:rPr>
            <a:t>Projekto apibrėžimas</a:t>
          </a:r>
        </a:p>
      </dsp:txBody>
      <dsp:txXfrm>
        <a:off x="60353" y="237069"/>
        <a:ext cx="1169342" cy="327951"/>
      </dsp:txXfrm>
    </dsp:sp>
    <dsp:sp modelId="{5D88E219-2C95-C44A-A732-227C08CDD465}">
      <dsp:nvSpPr>
        <dsp:cNvPr id="0" name=""/>
        <dsp:cNvSpPr/>
      </dsp:nvSpPr>
      <dsp:spPr>
        <a:xfrm>
          <a:off x="2623857" y="355325"/>
          <a:ext cx="221416" cy="91440"/>
        </a:xfrm>
        <a:custGeom>
          <a:avLst/>
          <a:gdLst/>
          <a:ahLst/>
          <a:cxnLst/>
          <a:rect l="0" t="0" r="0" b="0"/>
          <a:pathLst>
            <a:path>
              <a:moveTo>
                <a:pt x="0" y="45720"/>
              </a:moveTo>
              <a:lnTo>
                <a:pt x="221416" y="45720"/>
              </a:lnTo>
            </a:path>
          </a:pathLst>
        </a:custGeom>
        <a:noFill/>
        <a:ln w="9525" cap="flat" cmpd="sng" algn="ctr">
          <a:solidFill>
            <a:schemeClr val="accent1">
              <a:shade val="95000"/>
              <a:satMod val="105000"/>
            </a:schemeClr>
          </a:solidFill>
          <a:prstDash val="solid"/>
          <a:tailEnd type="triangle"/>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atin typeface="Tahoma"/>
            <a:cs typeface="Tahoma"/>
          </a:endParaRPr>
        </a:p>
      </dsp:txBody>
      <dsp:txXfrm>
        <a:off x="2728265" y="399700"/>
        <a:ext cx="12600" cy="2689"/>
      </dsp:txXfrm>
    </dsp:sp>
    <dsp:sp modelId="{823958CF-EA45-D642-A31D-18AC3C06C5AD}">
      <dsp:nvSpPr>
        <dsp:cNvPr id="0" name=""/>
        <dsp:cNvSpPr/>
      </dsp:nvSpPr>
      <dsp:spPr>
        <a:xfrm>
          <a:off x="1456315" y="237069"/>
          <a:ext cx="1169342" cy="327951"/>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0" kern="1200">
              <a:latin typeface="Tahoma"/>
              <a:cs typeface="Tahoma"/>
            </a:rPr>
            <a:t>Galimybių studija</a:t>
          </a:r>
        </a:p>
      </dsp:txBody>
      <dsp:txXfrm>
        <a:off x="1456315" y="237069"/>
        <a:ext cx="1169342" cy="327951"/>
      </dsp:txXfrm>
    </dsp:sp>
    <dsp:sp modelId="{03A1AF57-B38B-1248-B521-0AA50A05759F}">
      <dsp:nvSpPr>
        <dsp:cNvPr id="0" name=""/>
        <dsp:cNvSpPr/>
      </dsp:nvSpPr>
      <dsp:spPr>
        <a:xfrm>
          <a:off x="4045216" y="355325"/>
          <a:ext cx="238348" cy="91440"/>
        </a:xfrm>
        <a:custGeom>
          <a:avLst/>
          <a:gdLst/>
          <a:ahLst/>
          <a:cxnLst/>
          <a:rect l="0" t="0" r="0" b="0"/>
          <a:pathLst>
            <a:path>
              <a:moveTo>
                <a:pt x="0" y="45720"/>
              </a:moveTo>
              <a:lnTo>
                <a:pt x="238348" y="45720"/>
              </a:lnTo>
            </a:path>
          </a:pathLst>
        </a:custGeom>
        <a:noFill/>
        <a:ln w="9525" cap="flat" cmpd="sng" algn="ctr">
          <a:solidFill>
            <a:schemeClr val="accent1">
              <a:shade val="95000"/>
              <a:satMod val="105000"/>
            </a:schemeClr>
          </a:solidFill>
          <a:prstDash val="solid"/>
          <a:tailEnd type="triangle"/>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atin typeface="Tahoma"/>
            <a:cs typeface="Tahoma"/>
          </a:endParaRPr>
        </a:p>
      </dsp:txBody>
      <dsp:txXfrm>
        <a:off x="4157667" y="399700"/>
        <a:ext cx="13447" cy="2689"/>
      </dsp:txXfrm>
    </dsp:sp>
    <dsp:sp modelId="{F46869AF-D11D-B342-BF40-AEA97F6412EA}">
      <dsp:nvSpPr>
        <dsp:cNvPr id="0" name=""/>
        <dsp:cNvSpPr/>
      </dsp:nvSpPr>
      <dsp:spPr>
        <a:xfrm>
          <a:off x="2877674" y="237069"/>
          <a:ext cx="1169342" cy="327951"/>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0" kern="1200">
              <a:latin typeface="Tahoma"/>
              <a:cs typeface="Tahoma"/>
            </a:rPr>
            <a:t>Verslo projekto modelis</a:t>
          </a:r>
        </a:p>
      </dsp:txBody>
      <dsp:txXfrm>
        <a:off x="2877674" y="237069"/>
        <a:ext cx="1169342" cy="327951"/>
      </dsp:txXfrm>
    </dsp:sp>
    <dsp:sp modelId="{1D250B81-A8D8-2C4C-A3C8-67A0658B42CC}">
      <dsp:nvSpPr>
        <dsp:cNvPr id="0" name=""/>
        <dsp:cNvSpPr/>
      </dsp:nvSpPr>
      <dsp:spPr>
        <a:xfrm>
          <a:off x="635471" y="563221"/>
          <a:ext cx="4265165" cy="238348"/>
        </a:xfrm>
        <a:custGeom>
          <a:avLst/>
          <a:gdLst/>
          <a:ahLst/>
          <a:cxnLst/>
          <a:rect l="0" t="0" r="0" b="0"/>
          <a:pathLst>
            <a:path>
              <a:moveTo>
                <a:pt x="4265165" y="0"/>
              </a:moveTo>
              <a:lnTo>
                <a:pt x="4265165" y="136274"/>
              </a:lnTo>
              <a:lnTo>
                <a:pt x="0" y="136274"/>
              </a:lnTo>
              <a:lnTo>
                <a:pt x="0" y="238348"/>
              </a:lnTo>
            </a:path>
          </a:pathLst>
        </a:custGeom>
        <a:noFill/>
        <a:ln w="9525" cap="flat" cmpd="sng" algn="ctr">
          <a:solidFill>
            <a:schemeClr val="accent1">
              <a:shade val="95000"/>
              <a:satMod val="105000"/>
            </a:schemeClr>
          </a:solidFill>
          <a:prstDash val="solid"/>
          <a:tailEnd type="triangle"/>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atin typeface="Tahoma"/>
            <a:cs typeface="Tahoma"/>
          </a:endParaRPr>
        </a:p>
      </dsp:txBody>
      <dsp:txXfrm>
        <a:off x="2661213" y="681051"/>
        <a:ext cx="213681" cy="2689"/>
      </dsp:txXfrm>
    </dsp:sp>
    <dsp:sp modelId="{25882027-B4CA-F04C-B900-F93F84366989}">
      <dsp:nvSpPr>
        <dsp:cNvPr id="0" name=""/>
        <dsp:cNvSpPr/>
      </dsp:nvSpPr>
      <dsp:spPr>
        <a:xfrm>
          <a:off x="4315965" y="237069"/>
          <a:ext cx="1169342" cy="327951"/>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kern="1200">
              <a:latin typeface="Tahoma"/>
              <a:cs typeface="Tahoma"/>
            </a:rPr>
            <a:t>Projekto patvirtinimas</a:t>
          </a:r>
        </a:p>
      </dsp:txBody>
      <dsp:txXfrm>
        <a:off x="4315965" y="237069"/>
        <a:ext cx="1169342" cy="327951"/>
      </dsp:txXfrm>
    </dsp:sp>
    <dsp:sp modelId="{187F719D-495E-1742-88F7-1EC1B09FB309}">
      <dsp:nvSpPr>
        <dsp:cNvPr id="0" name=""/>
        <dsp:cNvSpPr/>
      </dsp:nvSpPr>
      <dsp:spPr>
        <a:xfrm>
          <a:off x="1218342" y="1139052"/>
          <a:ext cx="205572" cy="91440"/>
        </a:xfrm>
        <a:custGeom>
          <a:avLst/>
          <a:gdLst/>
          <a:ahLst/>
          <a:cxnLst/>
          <a:rect l="0" t="0" r="0" b="0"/>
          <a:pathLst>
            <a:path>
              <a:moveTo>
                <a:pt x="0" y="45720"/>
              </a:moveTo>
              <a:lnTo>
                <a:pt x="205572" y="45720"/>
              </a:lnTo>
            </a:path>
          </a:pathLst>
        </a:custGeom>
        <a:noFill/>
        <a:ln w="9525" cap="flat" cmpd="sng" algn="ctr">
          <a:solidFill>
            <a:schemeClr val="accent1">
              <a:shade val="95000"/>
              <a:satMod val="105000"/>
            </a:schemeClr>
          </a:solidFill>
          <a:prstDash val="solid"/>
          <a:tailEnd type="triangle"/>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atin typeface="Tahoma"/>
            <a:cs typeface="Tahoma"/>
          </a:endParaRPr>
        </a:p>
      </dsp:txBody>
      <dsp:txXfrm>
        <a:off x="1315224" y="1183428"/>
        <a:ext cx="11808" cy="2689"/>
      </dsp:txXfrm>
    </dsp:sp>
    <dsp:sp modelId="{039BDBC9-065B-D146-AAC8-33732360BD42}">
      <dsp:nvSpPr>
        <dsp:cNvPr id="0" name=""/>
        <dsp:cNvSpPr/>
      </dsp:nvSpPr>
      <dsp:spPr>
        <a:xfrm>
          <a:off x="50800" y="833970"/>
          <a:ext cx="1169342" cy="701605"/>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kern="1200">
              <a:latin typeface="Tahoma"/>
              <a:cs typeface="Tahoma"/>
            </a:rPr>
            <a:t>Kvietimas teikti</a:t>
          </a:r>
        </a:p>
        <a:p>
          <a:pPr lvl="0" algn="ctr" defTabSz="355600">
            <a:lnSpc>
              <a:spcPct val="90000"/>
            </a:lnSpc>
            <a:spcBef>
              <a:spcPct val="0"/>
            </a:spcBef>
            <a:spcAft>
              <a:spcPct val="35000"/>
            </a:spcAft>
          </a:pPr>
          <a:r>
            <a:rPr lang="en-US" sz="800" kern="1200">
              <a:latin typeface="Tahoma"/>
              <a:cs typeface="Tahoma"/>
            </a:rPr>
            <a:t>kvalifikacinius</a:t>
          </a:r>
        </a:p>
        <a:p>
          <a:pPr lvl="0" algn="ctr" defTabSz="355600">
            <a:lnSpc>
              <a:spcPct val="90000"/>
            </a:lnSpc>
            <a:spcBef>
              <a:spcPct val="0"/>
            </a:spcBef>
            <a:spcAft>
              <a:spcPct val="35000"/>
            </a:spcAft>
          </a:pPr>
          <a:r>
            <a:rPr lang="en-US" sz="800" kern="1200">
              <a:latin typeface="Tahoma"/>
              <a:cs typeface="Tahoma"/>
            </a:rPr>
            <a:t>pasiūlymus</a:t>
          </a:r>
        </a:p>
      </dsp:txBody>
      <dsp:txXfrm>
        <a:off x="50800" y="833970"/>
        <a:ext cx="1169342" cy="701605"/>
      </dsp:txXfrm>
    </dsp:sp>
    <dsp:sp modelId="{DC97561A-7BFB-A24F-ABF0-BE25DD87A4C8}">
      <dsp:nvSpPr>
        <dsp:cNvPr id="0" name=""/>
        <dsp:cNvSpPr/>
      </dsp:nvSpPr>
      <dsp:spPr>
        <a:xfrm>
          <a:off x="2623857" y="1139052"/>
          <a:ext cx="221416" cy="91440"/>
        </a:xfrm>
        <a:custGeom>
          <a:avLst/>
          <a:gdLst/>
          <a:ahLst/>
          <a:cxnLst/>
          <a:rect l="0" t="0" r="0" b="0"/>
          <a:pathLst>
            <a:path>
              <a:moveTo>
                <a:pt x="0" y="45720"/>
              </a:moveTo>
              <a:lnTo>
                <a:pt x="221416" y="45720"/>
              </a:lnTo>
            </a:path>
          </a:pathLst>
        </a:custGeom>
        <a:noFill/>
        <a:ln w="9525" cap="flat" cmpd="sng" algn="ctr">
          <a:solidFill>
            <a:schemeClr val="accent1">
              <a:shade val="95000"/>
              <a:satMod val="105000"/>
            </a:schemeClr>
          </a:solidFill>
          <a:prstDash val="solid"/>
          <a:tailEnd type="triangle"/>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atin typeface="Tahoma"/>
            <a:cs typeface="Tahoma"/>
          </a:endParaRPr>
        </a:p>
      </dsp:txBody>
      <dsp:txXfrm>
        <a:off x="2728265" y="1183428"/>
        <a:ext cx="12600" cy="2689"/>
      </dsp:txXfrm>
    </dsp:sp>
    <dsp:sp modelId="{13B7B213-7CCE-224B-84D3-B59FA67BFD41}">
      <dsp:nvSpPr>
        <dsp:cNvPr id="0" name=""/>
        <dsp:cNvSpPr/>
      </dsp:nvSpPr>
      <dsp:spPr>
        <a:xfrm>
          <a:off x="1456315" y="833970"/>
          <a:ext cx="1169342" cy="701605"/>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0" kern="1200">
              <a:latin typeface="Tahoma"/>
              <a:cs typeface="Tahoma"/>
            </a:rPr>
            <a:t>Geriausių teikėjų atrinkimas</a:t>
          </a:r>
        </a:p>
      </dsp:txBody>
      <dsp:txXfrm>
        <a:off x="1456315" y="833970"/>
        <a:ext cx="1169342" cy="701605"/>
      </dsp:txXfrm>
    </dsp:sp>
    <dsp:sp modelId="{1644CDA5-0198-DE45-ABB8-BB633DD2DF2F}">
      <dsp:nvSpPr>
        <dsp:cNvPr id="0" name=""/>
        <dsp:cNvSpPr/>
      </dsp:nvSpPr>
      <dsp:spPr>
        <a:xfrm>
          <a:off x="4045216" y="1139052"/>
          <a:ext cx="238348" cy="91440"/>
        </a:xfrm>
        <a:custGeom>
          <a:avLst/>
          <a:gdLst/>
          <a:ahLst/>
          <a:cxnLst/>
          <a:rect l="0" t="0" r="0" b="0"/>
          <a:pathLst>
            <a:path>
              <a:moveTo>
                <a:pt x="0" y="45720"/>
              </a:moveTo>
              <a:lnTo>
                <a:pt x="238348" y="45720"/>
              </a:lnTo>
            </a:path>
          </a:pathLst>
        </a:custGeom>
        <a:noFill/>
        <a:ln w="9525" cap="flat" cmpd="sng" algn="ctr">
          <a:solidFill>
            <a:schemeClr val="accent1">
              <a:shade val="95000"/>
              <a:satMod val="105000"/>
            </a:schemeClr>
          </a:solidFill>
          <a:prstDash val="solid"/>
          <a:tailEnd type="triangle"/>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atin typeface="Tahoma"/>
            <a:cs typeface="Tahoma"/>
          </a:endParaRPr>
        </a:p>
      </dsp:txBody>
      <dsp:txXfrm>
        <a:off x="4157667" y="1183428"/>
        <a:ext cx="13447" cy="2689"/>
      </dsp:txXfrm>
    </dsp:sp>
    <dsp:sp modelId="{676E9B0D-E7AA-EB4C-AEA9-C2BB4FEBF276}">
      <dsp:nvSpPr>
        <dsp:cNvPr id="0" name=""/>
        <dsp:cNvSpPr/>
      </dsp:nvSpPr>
      <dsp:spPr>
        <a:xfrm>
          <a:off x="2877674" y="833970"/>
          <a:ext cx="1169342" cy="701605"/>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0" kern="1200">
              <a:latin typeface="Tahoma"/>
              <a:cs typeface="Tahoma"/>
            </a:rPr>
            <a:t>Kvietimas teikti pasiūlymus arba  Informacinio memorandumo ruošimas</a:t>
          </a:r>
        </a:p>
      </dsp:txBody>
      <dsp:txXfrm>
        <a:off x="2877674" y="833970"/>
        <a:ext cx="1169342" cy="701605"/>
      </dsp:txXfrm>
    </dsp:sp>
    <dsp:sp modelId="{881708B6-2DA7-DD4F-9535-AD86798A0609}">
      <dsp:nvSpPr>
        <dsp:cNvPr id="0" name=""/>
        <dsp:cNvSpPr/>
      </dsp:nvSpPr>
      <dsp:spPr>
        <a:xfrm>
          <a:off x="636559" y="1533775"/>
          <a:ext cx="4264077" cy="238348"/>
        </a:xfrm>
        <a:custGeom>
          <a:avLst/>
          <a:gdLst/>
          <a:ahLst/>
          <a:cxnLst/>
          <a:rect l="0" t="0" r="0" b="0"/>
          <a:pathLst>
            <a:path>
              <a:moveTo>
                <a:pt x="4264077" y="0"/>
              </a:moveTo>
              <a:lnTo>
                <a:pt x="4264077" y="136274"/>
              </a:lnTo>
              <a:lnTo>
                <a:pt x="0" y="136274"/>
              </a:lnTo>
              <a:lnTo>
                <a:pt x="0" y="238348"/>
              </a:lnTo>
            </a:path>
          </a:pathLst>
        </a:custGeom>
        <a:noFill/>
        <a:ln w="9525" cap="flat" cmpd="sng" algn="ctr">
          <a:solidFill>
            <a:schemeClr val="accent1">
              <a:shade val="95000"/>
              <a:satMod val="105000"/>
            </a:schemeClr>
          </a:solidFill>
          <a:prstDash val="solid"/>
          <a:tailEnd type="triangle"/>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atin typeface="Tahoma"/>
            <a:cs typeface="Tahoma"/>
          </a:endParaRPr>
        </a:p>
      </dsp:txBody>
      <dsp:txXfrm>
        <a:off x="2661784" y="1651605"/>
        <a:ext cx="213627" cy="2689"/>
      </dsp:txXfrm>
    </dsp:sp>
    <dsp:sp modelId="{1234042B-F35F-7748-B5DE-D381D97099C0}">
      <dsp:nvSpPr>
        <dsp:cNvPr id="0" name=""/>
        <dsp:cNvSpPr/>
      </dsp:nvSpPr>
      <dsp:spPr>
        <a:xfrm>
          <a:off x="4315965" y="833970"/>
          <a:ext cx="1169342" cy="701605"/>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kern="1200">
              <a:latin typeface="Tahoma"/>
              <a:cs typeface="Tahoma"/>
            </a:rPr>
            <a:t>Pasiūlymų pateikimas</a:t>
          </a:r>
        </a:p>
      </dsp:txBody>
      <dsp:txXfrm>
        <a:off x="4315965" y="833970"/>
        <a:ext cx="1169342" cy="701605"/>
      </dsp:txXfrm>
    </dsp:sp>
    <dsp:sp modelId="{239E72E5-F8E4-DB4A-BB80-907ED93A6BB3}">
      <dsp:nvSpPr>
        <dsp:cNvPr id="0" name=""/>
        <dsp:cNvSpPr/>
      </dsp:nvSpPr>
      <dsp:spPr>
        <a:xfrm>
          <a:off x="1219430" y="2109607"/>
          <a:ext cx="204484" cy="91440"/>
        </a:xfrm>
        <a:custGeom>
          <a:avLst/>
          <a:gdLst/>
          <a:ahLst/>
          <a:cxnLst/>
          <a:rect l="0" t="0" r="0" b="0"/>
          <a:pathLst>
            <a:path>
              <a:moveTo>
                <a:pt x="0" y="45720"/>
              </a:moveTo>
              <a:lnTo>
                <a:pt x="204484" y="45720"/>
              </a:lnTo>
            </a:path>
          </a:pathLst>
        </a:custGeom>
        <a:noFill/>
        <a:ln w="9525" cap="flat" cmpd="sng" algn="ctr">
          <a:solidFill>
            <a:schemeClr val="accent1">
              <a:shade val="95000"/>
              <a:satMod val="105000"/>
            </a:schemeClr>
          </a:solidFill>
          <a:prstDash val="solid"/>
          <a:tailEnd type="triangle"/>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atin typeface="Tahoma"/>
            <a:cs typeface="Tahoma"/>
          </a:endParaRPr>
        </a:p>
      </dsp:txBody>
      <dsp:txXfrm>
        <a:off x="1315795" y="2153982"/>
        <a:ext cx="11754" cy="2689"/>
      </dsp:txXfrm>
    </dsp:sp>
    <dsp:sp modelId="{393780BA-B481-B145-909C-810C5C66E34F}">
      <dsp:nvSpPr>
        <dsp:cNvPr id="0" name=""/>
        <dsp:cNvSpPr/>
      </dsp:nvSpPr>
      <dsp:spPr>
        <a:xfrm>
          <a:off x="51887" y="1804524"/>
          <a:ext cx="1169342" cy="701605"/>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kern="1200">
              <a:latin typeface="Tahoma"/>
              <a:cs typeface="Tahoma"/>
            </a:rPr>
            <a:t>Pasiūlymų vertinimas</a:t>
          </a:r>
        </a:p>
      </dsp:txBody>
      <dsp:txXfrm>
        <a:off x="51887" y="1804524"/>
        <a:ext cx="1169342" cy="701605"/>
      </dsp:txXfrm>
    </dsp:sp>
    <dsp:sp modelId="{DEE0D05B-92EA-6348-8081-7FBC9E35BA99}">
      <dsp:nvSpPr>
        <dsp:cNvPr id="0" name=""/>
        <dsp:cNvSpPr/>
      </dsp:nvSpPr>
      <dsp:spPr>
        <a:xfrm>
          <a:off x="2623857" y="2109607"/>
          <a:ext cx="221416" cy="91440"/>
        </a:xfrm>
        <a:custGeom>
          <a:avLst/>
          <a:gdLst/>
          <a:ahLst/>
          <a:cxnLst/>
          <a:rect l="0" t="0" r="0" b="0"/>
          <a:pathLst>
            <a:path>
              <a:moveTo>
                <a:pt x="0" y="45720"/>
              </a:moveTo>
              <a:lnTo>
                <a:pt x="221416" y="45720"/>
              </a:lnTo>
            </a:path>
          </a:pathLst>
        </a:custGeom>
        <a:noFill/>
        <a:ln w="9525" cap="flat" cmpd="sng" algn="ctr">
          <a:solidFill>
            <a:schemeClr val="accent1">
              <a:shade val="95000"/>
              <a:satMod val="105000"/>
            </a:schemeClr>
          </a:solidFill>
          <a:prstDash val="solid"/>
          <a:tailEnd type="triangle"/>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atin typeface="Tahoma"/>
            <a:cs typeface="Tahoma"/>
          </a:endParaRPr>
        </a:p>
      </dsp:txBody>
      <dsp:txXfrm>
        <a:off x="2728265" y="2153982"/>
        <a:ext cx="12600" cy="2689"/>
      </dsp:txXfrm>
    </dsp:sp>
    <dsp:sp modelId="{940F3742-CD38-E942-A7D0-E4599590806B}">
      <dsp:nvSpPr>
        <dsp:cNvPr id="0" name=""/>
        <dsp:cNvSpPr/>
      </dsp:nvSpPr>
      <dsp:spPr>
        <a:xfrm>
          <a:off x="1456315" y="1804524"/>
          <a:ext cx="1169342" cy="701605"/>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0" kern="1200">
              <a:latin typeface="Tahoma"/>
              <a:cs typeface="Tahoma"/>
            </a:rPr>
            <a:t>Tiekėjo atrinkimas</a:t>
          </a:r>
        </a:p>
      </dsp:txBody>
      <dsp:txXfrm>
        <a:off x="1456315" y="1804524"/>
        <a:ext cx="1169342" cy="701605"/>
      </dsp:txXfrm>
    </dsp:sp>
    <dsp:sp modelId="{D81AF843-47E2-E741-A493-80BC7B2929EB}">
      <dsp:nvSpPr>
        <dsp:cNvPr id="0" name=""/>
        <dsp:cNvSpPr/>
      </dsp:nvSpPr>
      <dsp:spPr>
        <a:xfrm>
          <a:off x="4045216" y="2109607"/>
          <a:ext cx="238348" cy="91440"/>
        </a:xfrm>
        <a:custGeom>
          <a:avLst/>
          <a:gdLst/>
          <a:ahLst/>
          <a:cxnLst/>
          <a:rect l="0" t="0" r="0" b="0"/>
          <a:pathLst>
            <a:path>
              <a:moveTo>
                <a:pt x="0" y="45720"/>
              </a:moveTo>
              <a:lnTo>
                <a:pt x="238348" y="45720"/>
              </a:lnTo>
            </a:path>
          </a:pathLst>
        </a:custGeom>
        <a:noFill/>
        <a:ln w="9525" cap="flat" cmpd="sng" algn="ctr">
          <a:solidFill>
            <a:schemeClr val="accent1">
              <a:shade val="95000"/>
              <a:satMod val="105000"/>
            </a:schemeClr>
          </a:solidFill>
          <a:prstDash val="solid"/>
          <a:tailEnd type="triangle"/>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b="0" kern="1200">
            <a:latin typeface="Tahoma"/>
            <a:cs typeface="Tahoma"/>
          </a:endParaRPr>
        </a:p>
      </dsp:txBody>
      <dsp:txXfrm>
        <a:off x="4157667" y="2153982"/>
        <a:ext cx="13447" cy="2689"/>
      </dsp:txXfrm>
    </dsp:sp>
    <dsp:sp modelId="{6C9A81F2-9AD0-2440-8BE5-E57BDA36AF82}">
      <dsp:nvSpPr>
        <dsp:cNvPr id="0" name=""/>
        <dsp:cNvSpPr/>
      </dsp:nvSpPr>
      <dsp:spPr>
        <a:xfrm>
          <a:off x="2877674" y="1804524"/>
          <a:ext cx="1169342" cy="701605"/>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b="0" kern="1200">
              <a:latin typeface="Tahoma"/>
              <a:cs typeface="Tahoma"/>
            </a:rPr>
            <a:t>Derybos arba Galutinio</a:t>
          </a:r>
        </a:p>
        <a:p>
          <a:pPr lvl="0" algn="ctr" defTabSz="355600">
            <a:lnSpc>
              <a:spcPct val="90000"/>
            </a:lnSpc>
            <a:spcBef>
              <a:spcPct val="0"/>
            </a:spcBef>
            <a:spcAft>
              <a:spcPct val="35000"/>
            </a:spcAft>
          </a:pPr>
          <a:r>
            <a:rPr lang="en-US" sz="800" b="0" kern="1200">
              <a:latin typeface="Tahoma"/>
              <a:cs typeface="Tahoma"/>
            </a:rPr>
            <a:t>modelio paruošimas ir </a:t>
          </a:r>
        </a:p>
        <a:p>
          <a:pPr lvl="0" algn="ctr" defTabSz="355600">
            <a:lnSpc>
              <a:spcPct val="90000"/>
            </a:lnSpc>
            <a:spcBef>
              <a:spcPct val="0"/>
            </a:spcBef>
            <a:spcAft>
              <a:spcPct val="35000"/>
            </a:spcAft>
          </a:pPr>
          <a:r>
            <a:rPr lang="en-US" sz="800" b="0" kern="1200">
              <a:latin typeface="Tahoma"/>
              <a:cs typeface="Tahoma"/>
            </a:rPr>
            <a:t>sutarties suderinimas</a:t>
          </a:r>
        </a:p>
      </dsp:txBody>
      <dsp:txXfrm>
        <a:off x="2877674" y="1804524"/>
        <a:ext cx="1169342" cy="701605"/>
      </dsp:txXfrm>
    </dsp:sp>
    <dsp:sp modelId="{3927A305-5CA6-6B49-83EA-10E832F33419}">
      <dsp:nvSpPr>
        <dsp:cNvPr id="0" name=""/>
        <dsp:cNvSpPr/>
      </dsp:nvSpPr>
      <dsp:spPr>
        <a:xfrm>
          <a:off x="4315965" y="1804524"/>
          <a:ext cx="1169342" cy="701605"/>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en-US" sz="800" kern="1200">
              <a:latin typeface="Tahoma"/>
              <a:cs typeface="Tahoma"/>
            </a:rPr>
            <a:t>Sutarties</a:t>
          </a:r>
        </a:p>
        <a:p>
          <a:pPr lvl="0" algn="ctr" defTabSz="355600">
            <a:lnSpc>
              <a:spcPct val="90000"/>
            </a:lnSpc>
            <a:spcBef>
              <a:spcPct val="0"/>
            </a:spcBef>
            <a:spcAft>
              <a:spcPct val="35000"/>
            </a:spcAft>
          </a:pPr>
          <a:r>
            <a:rPr lang="en-US" sz="800" kern="1200">
              <a:latin typeface="Tahoma"/>
              <a:cs typeface="Tahoma"/>
            </a:rPr>
            <a:t>pasirašymas</a:t>
          </a:r>
        </a:p>
      </dsp:txBody>
      <dsp:txXfrm>
        <a:off x="4315965" y="1804524"/>
        <a:ext cx="1169342" cy="701605"/>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8D0CD31-B8C9-7B4E-884E-2988411F10DF}">
      <dsp:nvSpPr>
        <dsp:cNvPr id="0" name=""/>
        <dsp:cNvSpPr/>
      </dsp:nvSpPr>
      <dsp:spPr>
        <a:xfrm>
          <a:off x="2562674" y="1689549"/>
          <a:ext cx="1205600" cy="1205600"/>
        </a:xfrm>
        <a:prstGeom prst="ellipse">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6000" tIns="36000" rIns="36000" bIns="36000" numCol="1" spcCol="1270" anchor="ctr" anchorCtr="0">
          <a:noAutofit/>
        </a:bodyPr>
        <a:lstStyle/>
        <a:p>
          <a:pPr lvl="0" algn="ctr" defTabSz="400050">
            <a:lnSpc>
              <a:spcPct val="90000"/>
            </a:lnSpc>
            <a:spcBef>
              <a:spcPct val="0"/>
            </a:spcBef>
            <a:spcAft>
              <a:spcPct val="35000"/>
            </a:spcAft>
          </a:pPr>
          <a:r>
            <a:rPr lang="en-US" sz="900" b="1" kern="1200" baseline="0">
              <a:latin typeface="Tahoma"/>
            </a:rPr>
            <a:t>Lietuvos virtualus universitetas</a:t>
          </a:r>
        </a:p>
      </dsp:txBody>
      <dsp:txXfrm>
        <a:off x="2562674" y="1689549"/>
        <a:ext cx="1205600" cy="1205600"/>
      </dsp:txXfrm>
    </dsp:sp>
    <dsp:sp modelId="{9DBEBB6F-B88F-1B41-BCD3-22A02622738A}">
      <dsp:nvSpPr>
        <dsp:cNvPr id="0" name=""/>
        <dsp:cNvSpPr/>
      </dsp:nvSpPr>
      <dsp:spPr>
        <a:xfrm rot="16200000">
          <a:off x="3009526" y="1201477"/>
          <a:ext cx="311896" cy="583773"/>
        </a:xfrm>
        <a:prstGeom prst="rightArrow">
          <a:avLst>
            <a:gd name="adj1" fmla="val 60000"/>
            <a:gd name="adj2" fmla="val 5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rot="16200000">
        <a:off x="3009526" y="1201477"/>
        <a:ext cx="311896" cy="583773"/>
      </dsp:txXfrm>
    </dsp:sp>
    <dsp:sp modelId="{E8BFBFF4-37C1-4041-B6B1-A13FBABFC623}">
      <dsp:nvSpPr>
        <dsp:cNvPr id="0" name=""/>
        <dsp:cNvSpPr/>
      </dsp:nvSpPr>
      <dsp:spPr>
        <a:xfrm>
          <a:off x="2562674" y="79442"/>
          <a:ext cx="1205600" cy="1205600"/>
        </a:xfrm>
        <a:prstGeom prst="ellipse">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36000" tIns="36000" rIns="36000" bIns="36000" numCol="1" spcCol="1270" anchor="ctr" anchorCtr="0">
          <a:noAutofit/>
        </a:bodyPr>
        <a:lstStyle/>
        <a:p>
          <a:pPr lvl="0" algn="ctr" defTabSz="355600">
            <a:lnSpc>
              <a:spcPct val="90000"/>
            </a:lnSpc>
            <a:spcBef>
              <a:spcPct val="0"/>
            </a:spcBef>
            <a:spcAft>
              <a:spcPct val="35000"/>
            </a:spcAft>
          </a:pPr>
          <a:r>
            <a:rPr lang="en-US" sz="800" kern="1200" baseline="0">
              <a:latin typeface="Tahoma"/>
            </a:rPr>
            <a:t>Lietuvos e.mokymosi infrastruktūros plėtra</a:t>
          </a:r>
        </a:p>
      </dsp:txBody>
      <dsp:txXfrm>
        <a:off x="2562674" y="79442"/>
        <a:ext cx="1205600" cy="1205600"/>
      </dsp:txXfrm>
    </dsp:sp>
    <dsp:sp modelId="{906BD3EC-6649-C34E-8B50-187253D1ED00}">
      <dsp:nvSpPr>
        <dsp:cNvPr id="0" name=""/>
        <dsp:cNvSpPr/>
      </dsp:nvSpPr>
      <dsp:spPr>
        <a:xfrm>
          <a:off x="3816101" y="2000463"/>
          <a:ext cx="370722" cy="583773"/>
        </a:xfrm>
        <a:prstGeom prst="rightArrow">
          <a:avLst>
            <a:gd name="adj1" fmla="val 60000"/>
            <a:gd name="adj2" fmla="val 5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a:off x="3816101" y="2000463"/>
        <a:ext cx="370722" cy="583773"/>
      </dsp:txXfrm>
    </dsp:sp>
    <dsp:sp modelId="{4C47102B-53CB-2449-83E3-A06FA9188C64}">
      <dsp:nvSpPr>
        <dsp:cNvPr id="0" name=""/>
        <dsp:cNvSpPr/>
      </dsp:nvSpPr>
      <dsp:spPr>
        <a:xfrm>
          <a:off x="4249074" y="1689549"/>
          <a:ext cx="1205600" cy="1205600"/>
        </a:xfrm>
        <a:prstGeom prst="ellipse">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36000" tIns="36000" rIns="36000" bIns="36000" numCol="1" spcCol="1270" anchor="ctr" anchorCtr="0">
          <a:noAutofit/>
        </a:bodyPr>
        <a:lstStyle/>
        <a:p>
          <a:pPr lvl="0" algn="ctr" defTabSz="355600">
            <a:lnSpc>
              <a:spcPct val="90000"/>
            </a:lnSpc>
            <a:spcBef>
              <a:spcPct val="0"/>
            </a:spcBef>
            <a:spcAft>
              <a:spcPct val="35000"/>
            </a:spcAft>
          </a:pPr>
          <a:r>
            <a:rPr lang="en-US" sz="800" kern="1200" baseline="0">
              <a:latin typeface="Tahoma"/>
            </a:rPr>
            <a:t>Lietuvos mokslo ir studijų planavimo, valdymo ir savitarnos infrastruktūros plėtra</a:t>
          </a:r>
        </a:p>
      </dsp:txBody>
      <dsp:txXfrm>
        <a:off x="4249074" y="1689549"/>
        <a:ext cx="1205600" cy="1205600"/>
      </dsp:txXfrm>
    </dsp:sp>
    <dsp:sp modelId="{F46A7AB4-F223-CA41-9EED-6468FA4569F9}">
      <dsp:nvSpPr>
        <dsp:cNvPr id="0" name=""/>
        <dsp:cNvSpPr/>
      </dsp:nvSpPr>
      <dsp:spPr>
        <a:xfrm rot="5400000">
          <a:off x="2980113" y="2836451"/>
          <a:ext cx="370722" cy="583773"/>
        </a:xfrm>
        <a:prstGeom prst="rightArrow">
          <a:avLst>
            <a:gd name="adj1" fmla="val 60000"/>
            <a:gd name="adj2" fmla="val 5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rot="5400000">
        <a:off x="2980113" y="2836451"/>
        <a:ext cx="370722" cy="583773"/>
      </dsp:txXfrm>
    </dsp:sp>
    <dsp:sp modelId="{3032DC41-9B16-6347-956F-C402855B407B}">
      <dsp:nvSpPr>
        <dsp:cNvPr id="0" name=""/>
        <dsp:cNvSpPr/>
      </dsp:nvSpPr>
      <dsp:spPr>
        <a:xfrm>
          <a:off x="2562674" y="3375949"/>
          <a:ext cx="1205600" cy="1205600"/>
        </a:xfrm>
        <a:prstGeom prst="ellipse">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36000" tIns="36000" rIns="36000" bIns="36000" numCol="1" spcCol="1270" anchor="ctr" anchorCtr="0">
          <a:noAutofit/>
        </a:bodyPr>
        <a:lstStyle/>
        <a:p>
          <a:pPr lvl="0" algn="ctr" defTabSz="355600">
            <a:lnSpc>
              <a:spcPct val="90000"/>
            </a:lnSpc>
            <a:spcBef>
              <a:spcPct val="0"/>
            </a:spcBef>
            <a:spcAft>
              <a:spcPct val="35000"/>
            </a:spcAft>
          </a:pPr>
          <a:r>
            <a:rPr lang="en-US" sz="800" kern="1200" baseline="0">
              <a:latin typeface="Tahoma"/>
            </a:rPr>
            <a:t>Lietuvos mokslo ir studijų integruotos informacinės erdvės plėtra</a:t>
          </a:r>
        </a:p>
      </dsp:txBody>
      <dsp:txXfrm>
        <a:off x="2562674" y="3375949"/>
        <a:ext cx="1205600" cy="1205600"/>
      </dsp:txXfrm>
    </dsp:sp>
    <dsp:sp modelId="{B4469012-29BD-474E-B1A0-4FCEA41FDA3A}">
      <dsp:nvSpPr>
        <dsp:cNvPr id="0" name=""/>
        <dsp:cNvSpPr/>
      </dsp:nvSpPr>
      <dsp:spPr>
        <a:xfrm rot="10800000">
          <a:off x="2144125" y="2000463"/>
          <a:ext cx="370722" cy="583773"/>
        </a:xfrm>
        <a:prstGeom prst="rightArrow">
          <a:avLst>
            <a:gd name="adj1" fmla="val 60000"/>
            <a:gd name="adj2" fmla="val 50000"/>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rot="10800000">
        <a:off x="2144125" y="2000463"/>
        <a:ext cx="370722" cy="583773"/>
      </dsp:txXfrm>
    </dsp:sp>
    <dsp:sp modelId="{C6BD89BB-C0E7-F648-872E-18D5390D1A7C}">
      <dsp:nvSpPr>
        <dsp:cNvPr id="0" name=""/>
        <dsp:cNvSpPr/>
      </dsp:nvSpPr>
      <dsp:spPr>
        <a:xfrm>
          <a:off x="876274" y="1689549"/>
          <a:ext cx="1205600" cy="1205600"/>
        </a:xfrm>
        <a:prstGeom prst="ellipse">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36000" tIns="36000" rIns="36000" bIns="36000" numCol="1" spcCol="1270" anchor="ctr" anchorCtr="0">
          <a:noAutofit/>
        </a:bodyPr>
        <a:lstStyle/>
        <a:p>
          <a:pPr lvl="0" algn="ctr" defTabSz="355600">
            <a:lnSpc>
              <a:spcPct val="90000"/>
            </a:lnSpc>
            <a:spcBef>
              <a:spcPct val="0"/>
            </a:spcBef>
            <a:spcAft>
              <a:spcPct val="35000"/>
            </a:spcAft>
          </a:pPr>
          <a:r>
            <a:rPr lang="en-US" sz="800" kern="1200" baseline="0">
              <a:latin typeface="Tahoma"/>
            </a:rPr>
            <a:t>E. mokymosi procesų skatinimas virtualioje erdvėje</a:t>
          </a:r>
        </a:p>
      </dsp:txBody>
      <dsp:txXfrm>
        <a:off x="876274" y="1689549"/>
        <a:ext cx="1205600" cy="12056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9FFE5-40C1-41AB-832D-C781A3D7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3471</TotalTime>
  <Pages>67</Pages>
  <Words>20434</Words>
  <Characters>116476</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MYKOLO ROMERIO UNIVERSITETO</vt:lpstr>
    </vt:vector>
  </TitlesOfParts>
  <Company/>
  <LinksUpToDate>false</LinksUpToDate>
  <CharactersWithSpaces>136637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MYKOLO ROMERIO UNIVERSITETO</dc:title>
  <dc:subject/>
  <dc:creator>Igor Gubaidulin</dc:creator>
  <cp:keywords/>
  <dc:description/>
  <cp:lastModifiedBy>Igor</cp:lastModifiedBy>
  <cp:revision>1460</cp:revision>
  <cp:lastPrinted>2009-12-20T23:47:00Z</cp:lastPrinted>
  <dcterms:created xsi:type="dcterms:W3CDTF">2009-10-23T22:14:00Z</dcterms:created>
  <dcterms:modified xsi:type="dcterms:W3CDTF">2010-01-11T20:16:00Z</dcterms:modified>
</cp:coreProperties>
</file>