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7E" w:rsidRDefault="00445C7E" w:rsidP="00241C53">
      <w:pPr>
        <w:pStyle w:val="Betarp"/>
        <w:ind w:firstLine="0"/>
        <w:jc w:val="center"/>
        <w:rPr>
          <w:b/>
          <w:sz w:val="32"/>
          <w:szCs w:val="32"/>
        </w:rPr>
      </w:pPr>
      <w:bookmarkStart w:id="0" w:name="_GoBack"/>
      <w:bookmarkEnd w:id="0"/>
    </w:p>
    <w:p w:rsidR="00445C7E" w:rsidRPr="00575079" w:rsidRDefault="00445C7E" w:rsidP="00241C53">
      <w:pPr>
        <w:pStyle w:val="Betarp"/>
        <w:ind w:firstLine="0"/>
        <w:jc w:val="center"/>
        <w:rPr>
          <w:b/>
          <w:sz w:val="32"/>
          <w:szCs w:val="32"/>
        </w:rPr>
      </w:pPr>
      <w:r w:rsidRPr="00575079">
        <w:rPr>
          <w:b/>
          <w:sz w:val="32"/>
          <w:szCs w:val="32"/>
        </w:rPr>
        <w:t>MYKOLO ROMERIO UNIVERSITETAS</w:t>
      </w:r>
    </w:p>
    <w:p w:rsidR="00445C7E" w:rsidRPr="00575079" w:rsidRDefault="00445C7E" w:rsidP="00241C53">
      <w:pPr>
        <w:pStyle w:val="Betarp"/>
        <w:ind w:firstLine="0"/>
        <w:jc w:val="center"/>
        <w:rPr>
          <w:b/>
          <w:sz w:val="28"/>
          <w:szCs w:val="28"/>
        </w:rPr>
      </w:pPr>
      <w:r w:rsidRPr="00575079">
        <w:rPr>
          <w:b/>
          <w:sz w:val="28"/>
          <w:szCs w:val="28"/>
        </w:rPr>
        <w:t>EKONOMIKOS IR FINANSŲ VALDYMO FAKULTETAS</w:t>
      </w:r>
    </w:p>
    <w:p w:rsidR="00445C7E" w:rsidRPr="00575079" w:rsidRDefault="00445C7E" w:rsidP="00241C53">
      <w:pPr>
        <w:pStyle w:val="Betarp"/>
        <w:ind w:firstLine="0"/>
        <w:jc w:val="center"/>
        <w:rPr>
          <w:b/>
        </w:rPr>
      </w:pPr>
      <w:r w:rsidRPr="00575079">
        <w:rPr>
          <w:b/>
        </w:rPr>
        <w:t>FINANSŲ IR MOKESČIŲ KATEDRA</w:t>
      </w:r>
    </w:p>
    <w:p w:rsidR="00445C7E" w:rsidRDefault="00445C7E" w:rsidP="00241C53">
      <w:pPr>
        <w:pStyle w:val="Betarp"/>
        <w:ind w:firstLine="0"/>
        <w:jc w:val="center"/>
      </w:pPr>
    </w:p>
    <w:p w:rsidR="00445C7E" w:rsidRDefault="00445C7E" w:rsidP="00241C53">
      <w:pPr>
        <w:pStyle w:val="Betarp"/>
        <w:ind w:firstLine="0"/>
        <w:jc w:val="center"/>
      </w:pPr>
    </w:p>
    <w:p w:rsidR="00445C7E" w:rsidRDefault="00445C7E" w:rsidP="00241C53">
      <w:pPr>
        <w:pStyle w:val="Betarp"/>
        <w:ind w:firstLine="0"/>
        <w:jc w:val="center"/>
      </w:pPr>
    </w:p>
    <w:p w:rsidR="00445C7E" w:rsidRDefault="00445C7E" w:rsidP="00241C53">
      <w:pPr>
        <w:pStyle w:val="Betarp"/>
        <w:ind w:firstLine="0"/>
        <w:jc w:val="center"/>
      </w:pPr>
    </w:p>
    <w:p w:rsidR="00445C7E" w:rsidRPr="003A29CF" w:rsidRDefault="00445C7E" w:rsidP="00241C53">
      <w:pPr>
        <w:pStyle w:val="Betarp"/>
        <w:ind w:firstLine="0"/>
        <w:jc w:val="center"/>
        <w:rPr>
          <w:b/>
        </w:rPr>
      </w:pPr>
    </w:p>
    <w:p w:rsidR="00445C7E" w:rsidRPr="00575079" w:rsidRDefault="00445C7E" w:rsidP="00241C53">
      <w:pPr>
        <w:pStyle w:val="Betarp"/>
        <w:ind w:firstLine="0"/>
        <w:jc w:val="center"/>
        <w:rPr>
          <w:b/>
          <w:sz w:val="32"/>
          <w:szCs w:val="32"/>
        </w:rPr>
      </w:pPr>
      <w:r w:rsidRPr="00575079">
        <w:rPr>
          <w:b/>
          <w:sz w:val="32"/>
          <w:szCs w:val="32"/>
        </w:rPr>
        <w:t>IRMA JONIKAITĖ</w:t>
      </w:r>
    </w:p>
    <w:p w:rsidR="00445C7E" w:rsidRDefault="00445C7E" w:rsidP="00241C53">
      <w:pPr>
        <w:pStyle w:val="Betarp"/>
        <w:ind w:firstLine="0"/>
        <w:jc w:val="center"/>
      </w:pPr>
    </w:p>
    <w:p w:rsidR="00445C7E" w:rsidRDefault="00445C7E" w:rsidP="00241C53">
      <w:pPr>
        <w:pStyle w:val="Betarp"/>
        <w:ind w:firstLine="0"/>
        <w:jc w:val="center"/>
      </w:pPr>
    </w:p>
    <w:p w:rsidR="00445C7E" w:rsidRDefault="00445C7E" w:rsidP="00241C53">
      <w:pPr>
        <w:pStyle w:val="Betarp"/>
        <w:ind w:firstLine="0"/>
        <w:jc w:val="center"/>
      </w:pPr>
    </w:p>
    <w:p w:rsidR="00445C7E" w:rsidRDefault="00445C7E" w:rsidP="00241C53">
      <w:pPr>
        <w:pStyle w:val="Betarp"/>
        <w:ind w:firstLine="0"/>
        <w:jc w:val="center"/>
      </w:pPr>
    </w:p>
    <w:p w:rsidR="00445C7E" w:rsidRDefault="00445C7E" w:rsidP="00241C53">
      <w:pPr>
        <w:pStyle w:val="Betarp"/>
        <w:ind w:firstLine="0"/>
        <w:jc w:val="center"/>
      </w:pPr>
    </w:p>
    <w:p w:rsidR="00445C7E" w:rsidRPr="003A29CF" w:rsidRDefault="00445C7E" w:rsidP="00241C53">
      <w:pPr>
        <w:pStyle w:val="Betarp"/>
        <w:ind w:firstLine="0"/>
        <w:jc w:val="center"/>
        <w:rPr>
          <w:b/>
        </w:rPr>
      </w:pPr>
    </w:p>
    <w:p w:rsidR="00445C7E" w:rsidRDefault="00445C7E" w:rsidP="00241C53">
      <w:pPr>
        <w:pStyle w:val="Betarp"/>
        <w:ind w:firstLine="0"/>
        <w:jc w:val="center"/>
        <w:rPr>
          <w:b/>
          <w:sz w:val="40"/>
          <w:szCs w:val="40"/>
        </w:rPr>
      </w:pPr>
      <w:r w:rsidRPr="00575079">
        <w:rPr>
          <w:b/>
          <w:sz w:val="40"/>
          <w:szCs w:val="40"/>
        </w:rPr>
        <w:t>II PAKOPOS PENSIJŲ FONDŲ INVESTAVIMO TEISINIS REGULIAVIMAS, JO ĮTAKA IŠMOKŲ DYDŽIUI</w:t>
      </w:r>
    </w:p>
    <w:p w:rsidR="00445C7E" w:rsidRPr="00241C53" w:rsidRDefault="00445C7E" w:rsidP="00241C53">
      <w:pPr>
        <w:pStyle w:val="Betarp"/>
        <w:ind w:firstLine="0"/>
        <w:jc w:val="center"/>
        <w:rPr>
          <w:b/>
          <w:sz w:val="28"/>
          <w:szCs w:val="28"/>
        </w:rPr>
      </w:pPr>
      <w:r w:rsidRPr="00241C53">
        <w:rPr>
          <w:b/>
          <w:sz w:val="28"/>
          <w:szCs w:val="28"/>
        </w:rPr>
        <w:t>Magistro baigiamasis darbas</w:t>
      </w:r>
    </w:p>
    <w:p w:rsidR="00445C7E" w:rsidRPr="00241C53" w:rsidRDefault="00445C7E" w:rsidP="00241C53">
      <w:pPr>
        <w:pStyle w:val="Betarp"/>
        <w:ind w:firstLine="0"/>
        <w:jc w:val="center"/>
        <w:rPr>
          <w:sz w:val="28"/>
          <w:szCs w:val="28"/>
        </w:rPr>
      </w:pPr>
    </w:p>
    <w:p w:rsidR="00445C7E" w:rsidRPr="00241C53" w:rsidRDefault="00445C7E" w:rsidP="00241C53">
      <w:pPr>
        <w:pStyle w:val="Betarp"/>
        <w:ind w:firstLine="0"/>
        <w:jc w:val="center"/>
        <w:rPr>
          <w:sz w:val="28"/>
          <w:szCs w:val="28"/>
        </w:rPr>
      </w:pPr>
    </w:p>
    <w:p w:rsidR="00445C7E" w:rsidRPr="00241C53" w:rsidRDefault="00445C7E" w:rsidP="00241C53">
      <w:pPr>
        <w:pStyle w:val="Betarp"/>
        <w:ind w:firstLine="0"/>
        <w:jc w:val="center"/>
        <w:rPr>
          <w:sz w:val="28"/>
          <w:szCs w:val="28"/>
        </w:rPr>
      </w:pPr>
    </w:p>
    <w:p w:rsidR="00445C7E" w:rsidRPr="00241C53" w:rsidRDefault="00445C7E" w:rsidP="00241C53">
      <w:pPr>
        <w:pStyle w:val="Betarp"/>
        <w:ind w:firstLine="0"/>
        <w:jc w:val="center"/>
        <w:rPr>
          <w:sz w:val="28"/>
          <w:szCs w:val="28"/>
        </w:rPr>
      </w:pPr>
    </w:p>
    <w:p w:rsidR="00445C7E" w:rsidRPr="00241C53" w:rsidRDefault="00445C7E" w:rsidP="00241C53">
      <w:pPr>
        <w:pStyle w:val="Betarp"/>
        <w:ind w:firstLine="0"/>
        <w:jc w:val="center"/>
        <w:rPr>
          <w:sz w:val="28"/>
          <w:szCs w:val="28"/>
        </w:rPr>
      </w:pPr>
    </w:p>
    <w:p w:rsidR="00445C7E" w:rsidRDefault="00445C7E" w:rsidP="00241C53">
      <w:pPr>
        <w:pStyle w:val="Betarp"/>
        <w:ind w:firstLine="0"/>
        <w:jc w:val="right"/>
      </w:pPr>
    </w:p>
    <w:p w:rsidR="00445C7E" w:rsidRDefault="00445C7E" w:rsidP="00241C53">
      <w:pPr>
        <w:pStyle w:val="Betarp"/>
        <w:ind w:firstLine="0"/>
        <w:jc w:val="right"/>
        <w:rPr>
          <w:b/>
          <w:sz w:val="28"/>
          <w:szCs w:val="28"/>
        </w:rPr>
      </w:pPr>
    </w:p>
    <w:p w:rsidR="00445C7E" w:rsidRDefault="00445C7E" w:rsidP="00241C53">
      <w:pPr>
        <w:pStyle w:val="Betarp"/>
        <w:ind w:firstLine="0"/>
        <w:jc w:val="right"/>
        <w:rPr>
          <w:b/>
          <w:sz w:val="28"/>
          <w:szCs w:val="28"/>
        </w:rPr>
      </w:pPr>
    </w:p>
    <w:p w:rsidR="00445C7E" w:rsidRDefault="00445C7E" w:rsidP="00241C53">
      <w:pPr>
        <w:pStyle w:val="Betarp"/>
        <w:ind w:firstLine="0"/>
        <w:jc w:val="right"/>
        <w:rPr>
          <w:b/>
          <w:sz w:val="28"/>
          <w:szCs w:val="28"/>
        </w:rPr>
      </w:pPr>
    </w:p>
    <w:p w:rsidR="00445C7E" w:rsidRPr="00106D1C" w:rsidRDefault="00D71181" w:rsidP="00D71181">
      <w:pPr>
        <w:pStyle w:val="Betarp"/>
        <w:tabs>
          <w:tab w:val="left" w:pos="7797"/>
        </w:tabs>
        <w:ind w:firstLine="0"/>
        <w:jc w:val="left"/>
        <w:rPr>
          <w:b/>
          <w:sz w:val="28"/>
          <w:szCs w:val="28"/>
        </w:rPr>
      </w:pPr>
      <w:r>
        <w:rPr>
          <w:b/>
          <w:sz w:val="28"/>
          <w:szCs w:val="28"/>
        </w:rPr>
        <w:t xml:space="preserve">                                                                                                              </w:t>
      </w:r>
      <w:r w:rsidR="00445C7E">
        <w:rPr>
          <w:b/>
          <w:sz w:val="28"/>
          <w:szCs w:val="28"/>
        </w:rPr>
        <w:t>V</w:t>
      </w:r>
      <w:r w:rsidR="00445C7E" w:rsidRPr="00106D1C">
        <w:rPr>
          <w:b/>
          <w:sz w:val="28"/>
          <w:szCs w:val="28"/>
        </w:rPr>
        <w:t>adovas</w:t>
      </w:r>
    </w:p>
    <w:p w:rsidR="00445C7E" w:rsidRPr="00106D1C" w:rsidRDefault="00445C7E" w:rsidP="00241C53">
      <w:pPr>
        <w:pStyle w:val="Betarp"/>
        <w:ind w:firstLine="0"/>
        <w:jc w:val="right"/>
        <w:rPr>
          <w:b/>
        </w:rPr>
      </w:pPr>
      <w:r w:rsidRPr="00106D1C">
        <w:rPr>
          <w:b/>
        </w:rPr>
        <w:t>doc. dr. M. Strumskis</w:t>
      </w:r>
    </w:p>
    <w:p w:rsidR="00445C7E" w:rsidRDefault="00445C7E" w:rsidP="00241C53">
      <w:pPr>
        <w:pStyle w:val="Betarp"/>
        <w:ind w:firstLine="0"/>
        <w:jc w:val="right"/>
        <w:rPr>
          <w:b/>
          <w:sz w:val="28"/>
          <w:szCs w:val="28"/>
        </w:rPr>
      </w:pPr>
    </w:p>
    <w:p w:rsidR="00445C7E" w:rsidRDefault="00445C7E" w:rsidP="00241C53">
      <w:pPr>
        <w:pStyle w:val="Betarp"/>
        <w:ind w:firstLine="0"/>
        <w:jc w:val="center"/>
      </w:pPr>
    </w:p>
    <w:p w:rsidR="00445C7E" w:rsidRDefault="00445C7E" w:rsidP="00241C53">
      <w:pPr>
        <w:pStyle w:val="Betarp"/>
        <w:ind w:firstLine="0"/>
        <w:jc w:val="center"/>
      </w:pPr>
    </w:p>
    <w:p w:rsidR="00445C7E" w:rsidRDefault="00445C7E" w:rsidP="00241C53">
      <w:pPr>
        <w:pStyle w:val="Betarp"/>
        <w:ind w:firstLine="0"/>
        <w:jc w:val="center"/>
        <w:rPr>
          <w:b/>
          <w:sz w:val="28"/>
          <w:szCs w:val="28"/>
        </w:rPr>
      </w:pPr>
    </w:p>
    <w:p w:rsidR="00445C7E" w:rsidRDefault="00445C7E" w:rsidP="00241C53">
      <w:pPr>
        <w:pStyle w:val="Betarp"/>
        <w:ind w:firstLine="0"/>
        <w:jc w:val="center"/>
        <w:rPr>
          <w:b/>
          <w:sz w:val="28"/>
          <w:szCs w:val="28"/>
        </w:rPr>
      </w:pPr>
    </w:p>
    <w:p w:rsidR="00445C7E" w:rsidRDefault="00445C7E" w:rsidP="00241C53">
      <w:pPr>
        <w:pStyle w:val="Betarp"/>
        <w:ind w:firstLine="0"/>
        <w:jc w:val="center"/>
        <w:rPr>
          <w:b/>
          <w:sz w:val="28"/>
          <w:szCs w:val="28"/>
        </w:rPr>
      </w:pPr>
    </w:p>
    <w:p w:rsidR="00445C7E" w:rsidRDefault="00445C7E" w:rsidP="00241C53">
      <w:pPr>
        <w:pStyle w:val="Betarp"/>
        <w:ind w:firstLine="0"/>
        <w:jc w:val="center"/>
        <w:rPr>
          <w:b/>
          <w:sz w:val="28"/>
          <w:szCs w:val="28"/>
        </w:rPr>
      </w:pPr>
    </w:p>
    <w:p w:rsidR="00E27520" w:rsidRDefault="00E27520" w:rsidP="00241C53">
      <w:pPr>
        <w:pStyle w:val="Betarp"/>
        <w:ind w:firstLine="0"/>
        <w:jc w:val="center"/>
        <w:rPr>
          <w:b/>
          <w:sz w:val="28"/>
          <w:szCs w:val="28"/>
        </w:rPr>
      </w:pPr>
    </w:p>
    <w:p w:rsidR="00445C7E" w:rsidRDefault="00445C7E" w:rsidP="00241C53">
      <w:pPr>
        <w:pStyle w:val="Betarp"/>
        <w:ind w:firstLine="0"/>
        <w:jc w:val="center"/>
        <w:rPr>
          <w:b/>
          <w:sz w:val="28"/>
          <w:szCs w:val="28"/>
        </w:rPr>
      </w:pPr>
    </w:p>
    <w:p w:rsidR="00445C7E" w:rsidRDefault="00445C7E" w:rsidP="00241C53">
      <w:pPr>
        <w:pStyle w:val="Betarp"/>
        <w:ind w:firstLine="0"/>
        <w:jc w:val="center"/>
        <w:rPr>
          <w:b/>
          <w:sz w:val="28"/>
          <w:szCs w:val="28"/>
        </w:rPr>
      </w:pPr>
    </w:p>
    <w:p w:rsidR="00445C7E" w:rsidRDefault="00445C7E" w:rsidP="00241C53">
      <w:pPr>
        <w:pStyle w:val="Betarp"/>
        <w:ind w:firstLine="0"/>
        <w:jc w:val="center"/>
        <w:rPr>
          <w:b/>
          <w:sz w:val="28"/>
          <w:szCs w:val="28"/>
        </w:rPr>
      </w:pPr>
    </w:p>
    <w:p w:rsidR="0094287C" w:rsidRDefault="0094287C" w:rsidP="00241C53">
      <w:pPr>
        <w:pStyle w:val="Betarp"/>
        <w:ind w:firstLine="0"/>
        <w:jc w:val="center"/>
        <w:rPr>
          <w:b/>
          <w:sz w:val="28"/>
          <w:szCs w:val="28"/>
        </w:rPr>
      </w:pPr>
    </w:p>
    <w:p w:rsidR="00D71181" w:rsidRDefault="00445C7E" w:rsidP="00241C53">
      <w:pPr>
        <w:pStyle w:val="Betarp"/>
        <w:ind w:firstLine="0"/>
        <w:jc w:val="center"/>
        <w:rPr>
          <w:b/>
          <w:sz w:val="28"/>
          <w:szCs w:val="28"/>
        </w:rPr>
      </w:pPr>
      <w:r w:rsidRPr="00106D1C">
        <w:rPr>
          <w:b/>
          <w:sz w:val="28"/>
          <w:szCs w:val="28"/>
        </w:rPr>
        <w:t>Vilnius, 2013</w:t>
      </w:r>
    </w:p>
    <w:p w:rsidR="00445C7E" w:rsidRDefault="00445C7E" w:rsidP="00241C53">
      <w:pPr>
        <w:pStyle w:val="Betarp"/>
        <w:ind w:firstLine="0"/>
        <w:jc w:val="center"/>
        <w:rPr>
          <w:b/>
          <w:sz w:val="28"/>
          <w:szCs w:val="28"/>
        </w:rPr>
      </w:pPr>
      <w:r>
        <w:rPr>
          <w:b/>
          <w:sz w:val="28"/>
          <w:szCs w:val="28"/>
        </w:rPr>
        <w:br w:type="page"/>
      </w:r>
    </w:p>
    <w:p w:rsidR="00445C7E" w:rsidRDefault="00445C7E" w:rsidP="00241C53">
      <w:pPr>
        <w:pStyle w:val="Betarp"/>
        <w:ind w:firstLine="0"/>
        <w:jc w:val="center"/>
        <w:rPr>
          <w:b/>
          <w:sz w:val="32"/>
          <w:szCs w:val="32"/>
        </w:rPr>
      </w:pPr>
    </w:p>
    <w:p w:rsidR="00445C7E" w:rsidRPr="00575079" w:rsidRDefault="00445C7E" w:rsidP="00EF4906">
      <w:pPr>
        <w:pStyle w:val="Betarp"/>
        <w:ind w:firstLine="0"/>
        <w:jc w:val="center"/>
        <w:rPr>
          <w:b/>
          <w:sz w:val="32"/>
          <w:szCs w:val="32"/>
        </w:rPr>
      </w:pPr>
      <w:r w:rsidRPr="00575079">
        <w:rPr>
          <w:b/>
          <w:sz w:val="32"/>
          <w:szCs w:val="32"/>
        </w:rPr>
        <w:t>MYKOLO ROMERIO UNIVERSITETAS</w:t>
      </w:r>
    </w:p>
    <w:p w:rsidR="00445C7E" w:rsidRPr="00575079" w:rsidRDefault="00445C7E" w:rsidP="00EF4906">
      <w:pPr>
        <w:pStyle w:val="Betarp"/>
        <w:ind w:firstLine="0"/>
        <w:jc w:val="center"/>
        <w:rPr>
          <w:b/>
          <w:sz w:val="28"/>
          <w:szCs w:val="28"/>
        </w:rPr>
      </w:pPr>
      <w:r w:rsidRPr="00575079">
        <w:rPr>
          <w:b/>
          <w:sz w:val="28"/>
          <w:szCs w:val="28"/>
        </w:rPr>
        <w:t>EKONOMIKOS IR FINANSŲ VALDYMO FAKULTETAS</w:t>
      </w:r>
    </w:p>
    <w:p w:rsidR="00445C7E" w:rsidRDefault="00445C7E" w:rsidP="00EF4906">
      <w:pPr>
        <w:pStyle w:val="Betarp"/>
        <w:ind w:firstLine="0"/>
        <w:jc w:val="center"/>
        <w:rPr>
          <w:b/>
        </w:rPr>
      </w:pPr>
      <w:r w:rsidRPr="00575079">
        <w:rPr>
          <w:b/>
        </w:rPr>
        <w:t>FINANSŲ IR MOKESČIŲ KATEDRA</w:t>
      </w: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Default="00445C7E" w:rsidP="00EF4906">
      <w:pPr>
        <w:pStyle w:val="Betarp"/>
        <w:ind w:firstLine="0"/>
        <w:jc w:val="center"/>
        <w:rPr>
          <w:b/>
        </w:rPr>
      </w:pPr>
    </w:p>
    <w:p w:rsidR="00445C7E" w:rsidRPr="00EF4906" w:rsidRDefault="00445C7E" w:rsidP="00EF4906">
      <w:pPr>
        <w:pStyle w:val="Betarp"/>
        <w:ind w:firstLine="0"/>
        <w:jc w:val="center"/>
        <w:rPr>
          <w:b/>
        </w:rPr>
      </w:pPr>
    </w:p>
    <w:p w:rsidR="00445C7E" w:rsidRDefault="00445C7E" w:rsidP="00EF4906">
      <w:pPr>
        <w:pStyle w:val="Betarp"/>
        <w:ind w:firstLine="0"/>
        <w:jc w:val="center"/>
        <w:rPr>
          <w:b/>
          <w:sz w:val="40"/>
          <w:szCs w:val="40"/>
        </w:rPr>
      </w:pPr>
      <w:r w:rsidRPr="00575079">
        <w:rPr>
          <w:b/>
          <w:sz w:val="40"/>
          <w:szCs w:val="40"/>
        </w:rPr>
        <w:t>II PAKOPOS PENSIJŲ FONDŲ INVESTAVIMO TEISINIS REGULIAVIMAS, JO ĮTAKA IŠMOKŲ DYDŽIUI</w:t>
      </w:r>
    </w:p>
    <w:p w:rsidR="00445C7E" w:rsidRPr="00241C53" w:rsidRDefault="00445C7E" w:rsidP="00EF4906">
      <w:pPr>
        <w:pStyle w:val="Betarp"/>
        <w:ind w:firstLine="0"/>
        <w:jc w:val="center"/>
        <w:rPr>
          <w:b/>
          <w:sz w:val="28"/>
          <w:szCs w:val="28"/>
        </w:rPr>
      </w:pPr>
      <w:r w:rsidRPr="00241C53">
        <w:rPr>
          <w:b/>
          <w:sz w:val="28"/>
          <w:szCs w:val="28"/>
        </w:rPr>
        <w:t>Finansų teisės magistro baigiamasis darbas</w:t>
      </w:r>
    </w:p>
    <w:p w:rsidR="00445C7E" w:rsidRPr="00241C53" w:rsidRDefault="00445C7E" w:rsidP="00EF4906">
      <w:pPr>
        <w:pStyle w:val="Betarp"/>
        <w:ind w:firstLine="0"/>
        <w:jc w:val="center"/>
        <w:rPr>
          <w:b/>
          <w:sz w:val="28"/>
          <w:szCs w:val="28"/>
        </w:rPr>
      </w:pPr>
      <w:r w:rsidRPr="00241C53">
        <w:rPr>
          <w:b/>
          <w:sz w:val="28"/>
          <w:szCs w:val="28"/>
        </w:rPr>
        <w:t>Studijų programa 621M90003</w:t>
      </w:r>
    </w:p>
    <w:p w:rsidR="00445C7E" w:rsidRDefault="00445C7E" w:rsidP="00EF4906">
      <w:pPr>
        <w:pStyle w:val="Betarp"/>
        <w:ind w:firstLine="0"/>
        <w:jc w:val="center"/>
        <w:rPr>
          <w:sz w:val="28"/>
          <w:szCs w:val="28"/>
        </w:rPr>
      </w:pPr>
    </w:p>
    <w:p w:rsidR="00445C7E" w:rsidRDefault="00445C7E" w:rsidP="00EF4906">
      <w:pPr>
        <w:pStyle w:val="Betarp"/>
        <w:ind w:firstLine="0"/>
        <w:jc w:val="center"/>
        <w:rPr>
          <w:sz w:val="28"/>
          <w:szCs w:val="28"/>
        </w:rPr>
      </w:pPr>
    </w:p>
    <w:p w:rsidR="00445C7E" w:rsidRDefault="00445C7E" w:rsidP="00EF4906">
      <w:pPr>
        <w:pStyle w:val="Betarp"/>
        <w:ind w:firstLine="0"/>
        <w:jc w:val="center"/>
        <w:rPr>
          <w:sz w:val="28"/>
          <w:szCs w:val="28"/>
        </w:rPr>
      </w:pPr>
    </w:p>
    <w:p w:rsidR="00445C7E" w:rsidRDefault="00445C7E" w:rsidP="00EF4906">
      <w:pPr>
        <w:pStyle w:val="Betarp"/>
        <w:ind w:firstLine="0"/>
        <w:jc w:val="center"/>
        <w:rPr>
          <w:sz w:val="28"/>
          <w:szCs w:val="28"/>
        </w:rPr>
      </w:pPr>
    </w:p>
    <w:p w:rsidR="00445C7E" w:rsidRPr="00106D1C" w:rsidRDefault="00445C7E" w:rsidP="0094287C">
      <w:pPr>
        <w:pStyle w:val="Betarp"/>
        <w:ind w:firstLine="0"/>
        <w:jc w:val="right"/>
        <w:rPr>
          <w:sz w:val="28"/>
          <w:szCs w:val="28"/>
        </w:rPr>
      </w:pPr>
    </w:p>
    <w:p w:rsidR="00445C7E" w:rsidRPr="00106D1C" w:rsidRDefault="000433CE" w:rsidP="0094287C">
      <w:pPr>
        <w:pStyle w:val="Betarp"/>
        <w:ind w:firstLine="0"/>
        <w:jc w:val="right"/>
        <w:rPr>
          <w:b/>
        </w:rPr>
      </w:pPr>
      <w:r>
        <w:rPr>
          <w:b/>
        </w:rPr>
        <w:t xml:space="preserve">                                                                                      </w:t>
      </w:r>
      <w:r w:rsidR="00D71181">
        <w:rPr>
          <w:b/>
        </w:rPr>
        <w:t xml:space="preserve">                         </w:t>
      </w:r>
      <w:r w:rsidR="00445C7E" w:rsidRPr="00106D1C">
        <w:rPr>
          <w:b/>
        </w:rPr>
        <w:t>Vadovas</w:t>
      </w:r>
    </w:p>
    <w:p w:rsidR="00445C7E" w:rsidRDefault="00445C7E" w:rsidP="0094287C">
      <w:pPr>
        <w:pStyle w:val="Betarp"/>
        <w:ind w:firstLine="0"/>
        <w:jc w:val="right"/>
        <w:rPr>
          <w:b/>
        </w:rPr>
      </w:pPr>
      <w:r>
        <w:rPr>
          <w:b/>
        </w:rPr>
        <w:t>d</w:t>
      </w:r>
      <w:r w:rsidRPr="00106D1C">
        <w:rPr>
          <w:b/>
        </w:rPr>
        <w:t>oc. dr. M</w:t>
      </w:r>
      <w:r>
        <w:rPr>
          <w:b/>
        </w:rPr>
        <w:t>.</w:t>
      </w:r>
      <w:r w:rsidRPr="00106D1C">
        <w:rPr>
          <w:b/>
        </w:rPr>
        <w:t xml:space="preserve"> Strumskis</w:t>
      </w:r>
    </w:p>
    <w:p w:rsidR="00445C7E" w:rsidRDefault="000433CE" w:rsidP="0094287C">
      <w:pPr>
        <w:pStyle w:val="Betarp"/>
        <w:ind w:firstLine="0"/>
        <w:jc w:val="right"/>
        <w:rPr>
          <w:b/>
        </w:rPr>
      </w:pPr>
      <w:r>
        <w:rPr>
          <w:b/>
        </w:rPr>
        <w:t xml:space="preserve">                                                                                                 </w:t>
      </w:r>
      <w:r w:rsidR="00D71181">
        <w:rPr>
          <w:b/>
        </w:rPr>
        <w:t xml:space="preserve">              </w:t>
      </w:r>
      <w:r w:rsidR="00445C7E">
        <w:rPr>
          <w:b/>
        </w:rPr>
        <w:t>2013 04</w:t>
      </w:r>
      <w:r w:rsidR="009A123C">
        <w:rPr>
          <w:b/>
        </w:rPr>
        <w:t xml:space="preserve"> 15</w:t>
      </w:r>
    </w:p>
    <w:p w:rsidR="00445C7E" w:rsidRDefault="00445C7E" w:rsidP="00EF4906">
      <w:pPr>
        <w:pStyle w:val="Betarp"/>
        <w:ind w:firstLine="0"/>
        <w:jc w:val="right"/>
        <w:rPr>
          <w:b/>
        </w:rPr>
      </w:pPr>
    </w:p>
    <w:p w:rsidR="0094287C" w:rsidRDefault="0094287C" w:rsidP="00EF4906">
      <w:pPr>
        <w:pStyle w:val="Betarp"/>
        <w:ind w:firstLine="0"/>
        <w:jc w:val="right"/>
        <w:rPr>
          <w:b/>
        </w:rPr>
      </w:pPr>
    </w:p>
    <w:p w:rsidR="000433CE" w:rsidRDefault="0094287C" w:rsidP="00EF4906">
      <w:pPr>
        <w:pStyle w:val="Betarp"/>
        <w:ind w:firstLine="0"/>
        <w:jc w:val="right"/>
        <w:rPr>
          <w:b/>
        </w:rPr>
      </w:pPr>
      <w:r>
        <w:rPr>
          <w:b/>
        </w:rPr>
        <w:t>Recenzentas</w:t>
      </w:r>
    </w:p>
    <w:p w:rsidR="0094287C" w:rsidRDefault="0094287C" w:rsidP="00EF4906">
      <w:pPr>
        <w:pStyle w:val="Betarp"/>
        <w:ind w:firstLine="0"/>
        <w:jc w:val="right"/>
        <w:rPr>
          <w:b/>
        </w:rPr>
      </w:pPr>
    </w:p>
    <w:p w:rsidR="0094287C" w:rsidRDefault="0094287C" w:rsidP="00EF4906">
      <w:pPr>
        <w:pStyle w:val="Betarp"/>
        <w:ind w:firstLine="0"/>
        <w:jc w:val="right"/>
        <w:rPr>
          <w:b/>
        </w:rPr>
      </w:pPr>
    </w:p>
    <w:p w:rsidR="00D71181" w:rsidRDefault="00D71181" w:rsidP="00EF4906">
      <w:pPr>
        <w:pStyle w:val="Betarp"/>
        <w:ind w:firstLine="0"/>
        <w:jc w:val="right"/>
        <w:rPr>
          <w:b/>
        </w:rPr>
      </w:pPr>
    </w:p>
    <w:p w:rsidR="00D71181" w:rsidRDefault="00D71181" w:rsidP="00EF4906">
      <w:pPr>
        <w:pStyle w:val="Betarp"/>
        <w:ind w:firstLine="0"/>
        <w:jc w:val="right"/>
        <w:rPr>
          <w:b/>
        </w:rPr>
      </w:pPr>
    </w:p>
    <w:p w:rsidR="00445C7E" w:rsidRDefault="000433CE" w:rsidP="0094287C">
      <w:pPr>
        <w:pStyle w:val="Betarp"/>
        <w:ind w:firstLine="0"/>
        <w:jc w:val="right"/>
        <w:rPr>
          <w:b/>
        </w:rPr>
      </w:pPr>
      <w:r>
        <w:rPr>
          <w:b/>
        </w:rPr>
        <w:t xml:space="preserve">                                                                     </w:t>
      </w:r>
      <w:r w:rsidR="00D71181">
        <w:rPr>
          <w:b/>
        </w:rPr>
        <w:t xml:space="preserve">                </w:t>
      </w:r>
      <w:r w:rsidR="00445C7E">
        <w:rPr>
          <w:b/>
        </w:rPr>
        <w:t>Atliko</w:t>
      </w:r>
    </w:p>
    <w:p w:rsidR="00445C7E" w:rsidRDefault="000433CE" w:rsidP="0094287C">
      <w:pPr>
        <w:pStyle w:val="Betarp"/>
        <w:ind w:firstLine="0"/>
        <w:jc w:val="right"/>
        <w:rPr>
          <w:b/>
        </w:rPr>
      </w:pPr>
      <w:r>
        <w:rPr>
          <w:b/>
        </w:rPr>
        <w:t xml:space="preserve">            </w:t>
      </w:r>
      <w:r w:rsidRPr="00C24CD0">
        <w:rPr>
          <w:b/>
          <w:color w:val="FF0000"/>
        </w:rPr>
        <w:t xml:space="preserve"> </w:t>
      </w:r>
      <w:r w:rsidR="0046084D">
        <w:rPr>
          <w:b/>
          <w:color w:val="FF0000"/>
        </w:rPr>
        <w:t xml:space="preserve">             </w:t>
      </w:r>
      <w:r w:rsidRPr="00C24CD0">
        <w:rPr>
          <w:b/>
          <w:color w:val="FF0000"/>
        </w:rPr>
        <w:t xml:space="preserve">                                                                     </w:t>
      </w:r>
      <w:r w:rsidR="00D71181" w:rsidRPr="00C24CD0">
        <w:rPr>
          <w:b/>
          <w:color w:val="FF0000"/>
        </w:rPr>
        <w:t xml:space="preserve">                </w:t>
      </w:r>
      <w:r w:rsidR="00445C7E">
        <w:rPr>
          <w:b/>
        </w:rPr>
        <w:t>FNTmn</w:t>
      </w:r>
      <w:r w:rsidR="00E66FD8">
        <w:rPr>
          <w:b/>
        </w:rPr>
        <w:t>s</w:t>
      </w:r>
      <w:r w:rsidR="00445C7E" w:rsidRPr="0055620B">
        <w:rPr>
          <w:b/>
        </w:rPr>
        <w:t xml:space="preserve">1-01 gr. </w:t>
      </w:r>
      <w:r w:rsidR="00445C7E">
        <w:rPr>
          <w:b/>
        </w:rPr>
        <w:t>stud.</w:t>
      </w:r>
    </w:p>
    <w:p w:rsidR="00445C7E" w:rsidRDefault="000433CE" w:rsidP="0094287C">
      <w:pPr>
        <w:pStyle w:val="Betarp"/>
        <w:tabs>
          <w:tab w:val="left" w:pos="7797"/>
        </w:tabs>
        <w:ind w:firstLine="0"/>
        <w:jc w:val="right"/>
        <w:rPr>
          <w:b/>
        </w:rPr>
      </w:pPr>
      <w:r>
        <w:rPr>
          <w:b/>
        </w:rPr>
        <w:t xml:space="preserve">                                                                             </w:t>
      </w:r>
      <w:r w:rsidR="00D71181">
        <w:rPr>
          <w:b/>
        </w:rPr>
        <w:t xml:space="preserve">                </w:t>
      </w:r>
      <w:r w:rsidR="00445C7E">
        <w:rPr>
          <w:b/>
        </w:rPr>
        <w:t>I. Jonikaitė</w:t>
      </w:r>
    </w:p>
    <w:p w:rsidR="00445C7E" w:rsidRDefault="000433CE" w:rsidP="0094287C">
      <w:pPr>
        <w:pStyle w:val="Betarp"/>
        <w:tabs>
          <w:tab w:val="left" w:pos="7797"/>
        </w:tabs>
        <w:ind w:firstLine="0"/>
        <w:jc w:val="right"/>
        <w:rPr>
          <w:b/>
        </w:rPr>
      </w:pPr>
      <w:r>
        <w:rPr>
          <w:b/>
        </w:rPr>
        <w:t xml:space="preserve">                                                                                                 </w:t>
      </w:r>
      <w:r w:rsidR="00D71181">
        <w:rPr>
          <w:b/>
        </w:rPr>
        <w:t xml:space="preserve">              </w:t>
      </w:r>
      <w:r w:rsidR="00471ECB">
        <w:rPr>
          <w:b/>
        </w:rPr>
        <w:t>2013 04</w:t>
      </w:r>
      <w:r w:rsidR="009A123C">
        <w:rPr>
          <w:b/>
        </w:rPr>
        <w:t xml:space="preserve"> 15</w:t>
      </w:r>
    </w:p>
    <w:p w:rsidR="00445C7E" w:rsidRDefault="00445C7E" w:rsidP="00EF4906">
      <w:pPr>
        <w:pStyle w:val="Betarp"/>
        <w:ind w:firstLine="0"/>
        <w:jc w:val="right"/>
        <w:rPr>
          <w:b/>
        </w:rPr>
      </w:pPr>
    </w:p>
    <w:p w:rsidR="00445C7E" w:rsidRDefault="00445C7E" w:rsidP="00EF4906">
      <w:pPr>
        <w:pStyle w:val="Betarp"/>
        <w:ind w:firstLine="0"/>
        <w:jc w:val="right"/>
        <w:rPr>
          <w:b/>
        </w:rPr>
      </w:pPr>
    </w:p>
    <w:p w:rsidR="00445C7E" w:rsidRDefault="00445C7E" w:rsidP="00EF4906">
      <w:pPr>
        <w:pStyle w:val="Betarp"/>
        <w:ind w:firstLine="0"/>
        <w:jc w:val="right"/>
        <w:rPr>
          <w:b/>
        </w:rPr>
      </w:pPr>
    </w:p>
    <w:p w:rsidR="0094287C" w:rsidRDefault="0094287C" w:rsidP="00EF4906">
      <w:pPr>
        <w:pStyle w:val="Betarp"/>
        <w:ind w:firstLine="0"/>
        <w:jc w:val="center"/>
        <w:rPr>
          <w:b/>
          <w:sz w:val="28"/>
          <w:szCs w:val="28"/>
        </w:rPr>
      </w:pPr>
    </w:p>
    <w:p w:rsidR="0094287C" w:rsidRDefault="0094287C" w:rsidP="00EF4906">
      <w:pPr>
        <w:pStyle w:val="Betarp"/>
        <w:ind w:firstLine="0"/>
        <w:jc w:val="center"/>
        <w:rPr>
          <w:b/>
          <w:sz w:val="28"/>
          <w:szCs w:val="28"/>
        </w:rPr>
      </w:pPr>
    </w:p>
    <w:p w:rsidR="0094287C" w:rsidRDefault="00445C7E" w:rsidP="00EF4906">
      <w:pPr>
        <w:pStyle w:val="Betarp"/>
        <w:ind w:firstLine="0"/>
        <w:jc w:val="center"/>
        <w:rPr>
          <w:b/>
          <w:sz w:val="28"/>
          <w:szCs w:val="28"/>
        </w:rPr>
      </w:pPr>
      <w:r w:rsidRPr="008733A9">
        <w:rPr>
          <w:b/>
          <w:sz w:val="28"/>
          <w:szCs w:val="28"/>
        </w:rPr>
        <w:t xml:space="preserve">Vilnius, </w:t>
      </w:r>
      <w:r w:rsidRPr="00E846D3">
        <w:rPr>
          <w:b/>
          <w:sz w:val="28"/>
          <w:szCs w:val="28"/>
        </w:rPr>
        <w:t>2013</w:t>
      </w:r>
    </w:p>
    <w:p w:rsidR="00445C7E" w:rsidRPr="008733A9" w:rsidRDefault="00445C7E" w:rsidP="00EF4906">
      <w:pPr>
        <w:pStyle w:val="Betarp"/>
        <w:ind w:firstLine="0"/>
        <w:jc w:val="center"/>
        <w:rPr>
          <w:b/>
          <w:sz w:val="28"/>
          <w:szCs w:val="28"/>
        </w:rPr>
      </w:pPr>
      <w:r w:rsidRPr="008733A9">
        <w:rPr>
          <w:b/>
          <w:sz w:val="28"/>
          <w:szCs w:val="28"/>
        </w:rPr>
        <w:br w:type="page"/>
      </w:r>
    </w:p>
    <w:p w:rsidR="00674732" w:rsidRPr="00187D3D" w:rsidRDefault="00674732" w:rsidP="00995BAF">
      <w:pPr>
        <w:pStyle w:val="Betarp"/>
        <w:spacing w:line="360" w:lineRule="auto"/>
        <w:ind w:firstLine="0"/>
        <w:jc w:val="left"/>
        <w:rPr>
          <w:b/>
        </w:rPr>
      </w:pPr>
    </w:p>
    <w:p w:rsidR="00445C7E" w:rsidRPr="00A87EF5" w:rsidRDefault="00445C7E" w:rsidP="00DC1EC3">
      <w:pPr>
        <w:pStyle w:val="Betarp"/>
        <w:spacing w:line="360" w:lineRule="auto"/>
        <w:ind w:firstLine="0"/>
        <w:jc w:val="center"/>
        <w:rPr>
          <w:rFonts w:ascii="Calibri" w:hAnsi="Calibri"/>
          <w:b/>
          <w:lang w:eastAsia="lt-LT"/>
        </w:rPr>
      </w:pPr>
      <w:r w:rsidRPr="000E737A">
        <w:rPr>
          <w:b/>
          <w:sz w:val="28"/>
          <w:szCs w:val="28"/>
        </w:rPr>
        <w:t>TURINYS</w:t>
      </w:r>
    </w:p>
    <w:p w:rsidR="00445C7E" w:rsidRPr="000E737A" w:rsidRDefault="00445C7E" w:rsidP="00DC1EC3">
      <w:pPr>
        <w:pStyle w:val="Betarp"/>
        <w:spacing w:line="360" w:lineRule="auto"/>
        <w:ind w:firstLine="0"/>
        <w:jc w:val="center"/>
        <w:rPr>
          <w:b/>
        </w:rPr>
      </w:pPr>
    </w:p>
    <w:p w:rsidR="00445C7E" w:rsidRPr="00850BF8" w:rsidRDefault="00445C7E" w:rsidP="00DC1EC3">
      <w:pPr>
        <w:pStyle w:val="Betarp"/>
        <w:spacing w:line="360" w:lineRule="auto"/>
        <w:ind w:firstLine="0"/>
        <w:rPr>
          <w:lang w:eastAsia="lt-LT"/>
        </w:rPr>
      </w:pPr>
      <w:r w:rsidRPr="00AF6349">
        <w:rPr>
          <w:b/>
          <w:lang w:eastAsia="lt-LT"/>
        </w:rPr>
        <w:t>ĮVADAS</w:t>
      </w:r>
      <w:r>
        <w:rPr>
          <w:lang w:eastAsia="lt-LT"/>
        </w:rPr>
        <w:t>...................................................................................................................................................</w:t>
      </w:r>
      <w:r w:rsidR="000D3770" w:rsidRPr="00850BF8">
        <w:rPr>
          <w:lang w:eastAsia="lt-LT"/>
        </w:rPr>
        <w:t>6</w:t>
      </w:r>
    </w:p>
    <w:p w:rsidR="00445C7E" w:rsidRPr="00887EEA" w:rsidRDefault="00445C7E" w:rsidP="00DC1EC3">
      <w:pPr>
        <w:pStyle w:val="Betarp"/>
        <w:spacing w:line="360" w:lineRule="auto"/>
        <w:ind w:firstLine="0"/>
        <w:rPr>
          <w:lang w:eastAsia="lt-LT"/>
        </w:rPr>
      </w:pPr>
    </w:p>
    <w:p w:rsidR="00445C7E" w:rsidRPr="00887EEA" w:rsidRDefault="00445C7E" w:rsidP="00DC1EC3">
      <w:pPr>
        <w:pStyle w:val="Betarp"/>
        <w:spacing w:line="360" w:lineRule="auto"/>
        <w:ind w:firstLine="0"/>
      </w:pPr>
      <w:r w:rsidRPr="00AF6349">
        <w:rPr>
          <w:b/>
        </w:rPr>
        <w:t>1. II PAKOPOS PENSIJŲ FONDŲ REIKŠMĖ, JŲ VEIKLOS RIZIKOS</w:t>
      </w:r>
      <w:r w:rsidRPr="00887EEA">
        <w:t>........................</w:t>
      </w:r>
      <w:r w:rsidR="000D3770">
        <w:t>..............9</w:t>
      </w:r>
    </w:p>
    <w:p w:rsidR="00445C7E" w:rsidRPr="00887EEA" w:rsidRDefault="00445C7E" w:rsidP="00DC1EC3">
      <w:pPr>
        <w:pStyle w:val="Betarp"/>
        <w:spacing w:line="360" w:lineRule="auto"/>
        <w:ind w:firstLine="0"/>
      </w:pPr>
      <w:r w:rsidRPr="00887EEA">
        <w:t>1.</w:t>
      </w:r>
      <w:r w:rsidRPr="00DF593A">
        <w:t>1. Pensij</w:t>
      </w:r>
      <w:r>
        <w:t>ų sistemų pakopos..</w:t>
      </w:r>
      <w:r w:rsidRPr="00887EEA">
        <w:t>...............................................................................................................</w:t>
      </w:r>
      <w:r w:rsidR="000D3770">
        <w:t>....9</w:t>
      </w:r>
    </w:p>
    <w:p w:rsidR="00445C7E" w:rsidRPr="00DF593A" w:rsidRDefault="00445C7E" w:rsidP="00DC1EC3">
      <w:pPr>
        <w:pStyle w:val="Betarp"/>
        <w:spacing w:line="360" w:lineRule="auto"/>
        <w:ind w:firstLine="0"/>
      </w:pPr>
      <w:r w:rsidRPr="00887EEA">
        <w:t>1.</w:t>
      </w:r>
      <w:r w:rsidRPr="00DF593A">
        <w:t>2</w:t>
      </w:r>
      <w:r w:rsidRPr="00887EEA">
        <w:t xml:space="preserve">. Pensijų fondų </w:t>
      </w:r>
      <w:r>
        <w:t>kūrimosi Lietuvoje prielaidos, jų esmė........</w:t>
      </w:r>
      <w:r w:rsidRPr="00887EEA">
        <w:t>......</w:t>
      </w:r>
      <w:r>
        <w:t>...............</w:t>
      </w:r>
      <w:r w:rsidRPr="00887EEA">
        <w:t>.......................................</w:t>
      </w:r>
      <w:r>
        <w:t>.</w:t>
      </w:r>
      <w:r w:rsidR="00DF593A">
        <w:t>12</w:t>
      </w:r>
    </w:p>
    <w:p w:rsidR="00445C7E" w:rsidRPr="00887EEA" w:rsidRDefault="00445C7E" w:rsidP="00DC1EC3">
      <w:pPr>
        <w:pStyle w:val="Betarp"/>
        <w:spacing w:line="360" w:lineRule="auto"/>
        <w:ind w:firstLine="0"/>
        <w:rPr>
          <w:lang w:eastAsia="lt-LT"/>
        </w:rPr>
      </w:pPr>
      <w:r w:rsidRPr="00887EEA">
        <w:t xml:space="preserve">1.3. Pensijų fondų </w:t>
      </w:r>
      <w:r w:rsidRPr="00597B07">
        <w:t>įsipareigojimai ir jų veiklos rizikos nustatymas</w:t>
      </w:r>
      <w:r w:rsidRPr="00887EEA">
        <w:t>...............</w:t>
      </w:r>
      <w:r>
        <w:t>....</w:t>
      </w:r>
      <w:r w:rsidRPr="00887EEA">
        <w:t>..................................</w:t>
      </w:r>
      <w:r w:rsidR="00DF593A">
        <w:t>...16</w:t>
      </w:r>
    </w:p>
    <w:p w:rsidR="00445C7E" w:rsidRPr="007E050E" w:rsidRDefault="00445C7E" w:rsidP="00DC1EC3">
      <w:pPr>
        <w:pStyle w:val="Betarp"/>
        <w:spacing w:line="360" w:lineRule="auto"/>
        <w:ind w:firstLine="0"/>
        <w:rPr>
          <w:bCs/>
        </w:rPr>
      </w:pPr>
      <w:r w:rsidRPr="00A73A2E">
        <w:rPr>
          <w:b/>
          <w:bCs/>
        </w:rPr>
        <w:t>2.</w:t>
      </w:r>
      <w:r w:rsidRPr="00887EEA">
        <w:rPr>
          <w:bCs/>
        </w:rPr>
        <w:t xml:space="preserve"> </w:t>
      </w:r>
      <w:r>
        <w:rPr>
          <w:b/>
          <w:bCs/>
        </w:rPr>
        <w:t>SKIRTINGŲ</w:t>
      </w:r>
      <w:r w:rsidRPr="00AF6349">
        <w:rPr>
          <w:b/>
          <w:bCs/>
        </w:rPr>
        <w:t xml:space="preserve"> PENSIJŲ FONDŲ INVESTAVIMO </w:t>
      </w:r>
      <w:r>
        <w:rPr>
          <w:b/>
          <w:bCs/>
        </w:rPr>
        <w:t>REGULIAVIMO METODŲ YPATUMAI BEI JŲ PARINKIMAS</w:t>
      </w:r>
      <w:r w:rsidRPr="00887EEA">
        <w:rPr>
          <w:bCs/>
        </w:rPr>
        <w:t>...............................................</w:t>
      </w:r>
      <w:r>
        <w:rPr>
          <w:bCs/>
        </w:rPr>
        <w:t>....................................................................</w:t>
      </w:r>
      <w:r w:rsidR="000C2C33">
        <w:rPr>
          <w:bCs/>
        </w:rPr>
        <w:t>...</w:t>
      </w:r>
      <w:r>
        <w:rPr>
          <w:bCs/>
        </w:rPr>
        <w:t>...</w:t>
      </w:r>
      <w:r w:rsidR="00DF593A">
        <w:rPr>
          <w:bCs/>
        </w:rPr>
        <w:t>22</w:t>
      </w:r>
    </w:p>
    <w:p w:rsidR="00445C7E" w:rsidRDefault="00445C7E" w:rsidP="00DC1EC3">
      <w:pPr>
        <w:pStyle w:val="Betarp"/>
        <w:spacing w:line="360" w:lineRule="auto"/>
        <w:ind w:firstLine="0"/>
      </w:pPr>
      <w:r>
        <w:t xml:space="preserve">2.1. </w:t>
      </w:r>
      <w:r w:rsidRPr="00887EEA">
        <w:t>Pensijų</w:t>
      </w:r>
      <w:r>
        <w:t xml:space="preserve"> fondų veiklos reguliavimo metodai.....................</w:t>
      </w:r>
      <w:r w:rsidR="00674732">
        <w:t>.</w:t>
      </w:r>
      <w:r w:rsidRPr="00887EEA">
        <w:t>...................................</w:t>
      </w:r>
      <w:r w:rsidR="00DF593A">
        <w:t>............................22</w:t>
      </w:r>
    </w:p>
    <w:p w:rsidR="00445C7E" w:rsidRPr="00887EEA" w:rsidRDefault="00445C7E" w:rsidP="00DC1EC3">
      <w:pPr>
        <w:pStyle w:val="Betarp"/>
        <w:tabs>
          <w:tab w:val="left" w:pos="284"/>
          <w:tab w:val="left" w:pos="709"/>
        </w:tabs>
        <w:spacing w:line="360" w:lineRule="auto"/>
        <w:ind w:firstLine="0"/>
      </w:pPr>
      <w:r w:rsidRPr="00887EEA">
        <w:t xml:space="preserve">          </w:t>
      </w:r>
      <w:r>
        <w:t>2.1.1</w:t>
      </w:r>
      <w:r w:rsidRPr="00887EEA">
        <w:t>. „Protingo žmogaus“ koncepcijos pranašumas.....................................</w:t>
      </w:r>
      <w:r>
        <w:t>.</w:t>
      </w:r>
      <w:r w:rsidR="00DF593A">
        <w:t>..............................24</w:t>
      </w:r>
    </w:p>
    <w:p w:rsidR="00445C7E" w:rsidRPr="00887EEA" w:rsidRDefault="00445C7E" w:rsidP="00DC1EC3">
      <w:pPr>
        <w:pStyle w:val="Betarp"/>
        <w:spacing w:line="360" w:lineRule="auto"/>
        <w:ind w:firstLine="0"/>
      </w:pPr>
      <w:r>
        <w:t>2.2</w:t>
      </w:r>
      <w:r w:rsidRPr="00887EEA">
        <w:t>. Veiksniai, lemiantys skirtingą požiūrį į investicinės veiklos teisinį reguliavimą...........................</w:t>
      </w:r>
      <w:r w:rsidR="00DF593A">
        <w:t>.28</w:t>
      </w:r>
    </w:p>
    <w:p w:rsidR="00445C7E" w:rsidRPr="00887EEA" w:rsidRDefault="00DC1EC3" w:rsidP="00DC1EC3">
      <w:pPr>
        <w:pStyle w:val="Betarp"/>
        <w:spacing w:line="360" w:lineRule="auto"/>
        <w:ind w:left="567" w:hanging="567"/>
      </w:pPr>
      <w:r w:rsidRPr="009155FE">
        <w:t xml:space="preserve">         </w:t>
      </w:r>
      <w:r w:rsidR="00445C7E">
        <w:rPr>
          <w:lang w:val="es-ES"/>
        </w:rPr>
        <w:t xml:space="preserve">2.2.1. </w:t>
      </w:r>
      <w:r w:rsidR="00445C7E" w:rsidRPr="00887EEA">
        <w:t>Turto patikėjimo institutas ir jo reikšmė pensijų fondų veikloje........................................</w:t>
      </w:r>
      <w:r w:rsidR="00DF593A">
        <w:t>.28</w:t>
      </w:r>
    </w:p>
    <w:p w:rsidR="00445C7E" w:rsidRPr="00887EEA" w:rsidRDefault="00DC1EC3" w:rsidP="00DC1EC3">
      <w:pPr>
        <w:pStyle w:val="Betarp"/>
        <w:spacing w:line="360" w:lineRule="auto"/>
        <w:ind w:left="567" w:hanging="567"/>
        <w:rPr>
          <w:lang w:eastAsia="lt-LT"/>
        </w:rPr>
      </w:pPr>
      <w:r>
        <w:rPr>
          <w:noProof/>
          <w:lang w:eastAsia="lt-LT"/>
        </w:rPr>
        <w:t xml:space="preserve">         </w:t>
      </w:r>
      <w:r w:rsidR="00445C7E">
        <w:rPr>
          <w:noProof/>
          <w:lang w:eastAsia="lt-LT"/>
        </w:rPr>
        <w:t>2.2.2.</w:t>
      </w:r>
      <w:r w:rsidR="00445C7E" w:rsidRPr="00887EEA">
        <w:rPr>
          <w:noProof/>
          <w:lang w:eastAsia="lt-LT"/>
        </w:rPr>
        <w:t xml:space="preserve"> </w:t>
      </w:r>
      <w:r w:rsidR="00445C7E">
        <w:rPr>
          <w:noProof/>
          <w:lang w:eastAsia="lt-LT"/>
        </w:rPr>
        <w:t>A</w:t>
      </w:r>
      <w:r w:rsidR="00445C7E" w:rsidRPr="00887EEA">
        <w:rPr>
          <w:noProof/>
          <w:lang w:eastAsia="lt-LT"/>
        </w:rPr>
        <w:t>pibrėžtų išm</w:t>
      </w:r>
      <w:r w:rsidR="00445C7E">
        <w:rPr>
          <w:noProof/>
          <w:lang w:eastAsia="lt-LT"/>
        </w:rPr>
        <w:t>okų ir apibrėžtų įmokų sistemo</w:t>
      </w:r>
      <w:r w:rsidR="00ED659E">
        <w:rPr>
          <w:noProof/>
          <w:lang w:eastAsia="lt-LT"/>
        </w:rPr>
        <w:t>s</w:t>
      </w:r>
      <w:r w:rsidR="00445C7E">
        <w:rPr>
          <w:noProof/>
          <w:lang w:eastAsia="lt-LT"/>
        </w:rPr>
        <w:t>............................................</w:t>
      </w:r>
      <w:r w:rsidR="00445C7E" w:rsidRPr="00887EEA">
        <w:rPr>
          <w:noProof/>
          <w:lang w:eastAsia="lt-LT"/>
        </w:rPr>
        <w:t>.................</w:t>
      </w:r>
      <w:r w:rsidR="000C2C33">
        <w:rPr>
          <w:noProof/>
          <w:lang w:eastAsia="lt-LT"/>
        </w:rPr>
        <w:t>.</w:t>
      </w:r>
      <w:r w:rsidR="00445C7E" w:rsidRPr="00887EEA">
        <w:rPr>
          <w:noProof/>
          <w:lang w:eastAsia="lt-LT"/>
        </w:rPr>
        <w:t>......</w:t>
      </w:r>
      <w:r w:rsidR="00DF593A">
        <w:rPr>
          <w:noProof/>
          <w:lang w:eastAsia="lt-LT"/>
        </w:rPr>
        <w:t>33</w:t>
      </w:r>
    </w:p>
    <w:p w:rsidR="00445C7E" w:rsidRPr="00887EEA" w:rsidRDefault="00DC1EC3" w:rsidP="00DC1EC3">
      <w:pPr>
        <w:pStyle w:val="Betarp"/>
        <w:spacing w:line="360" w:lineRule="auto"/>
        <w:ind w:left="567" w:hanging="567"/>
        <w:rPr>
          <w:lang w:eastAsia="lt-LT"/>
        </w:rPr>
      </w:pPr>
      <w:r>
        <w:rPr>
          <w:lang w:eastAsia="lt-LT"/>
        </w:rPr>
        <w:t xml:space="preserve">         </w:t>
      </w:r>
      <w:r w:rsidR="00445C7E">
        <w:rPr>
          <w:lang w:eastAsia="lt-LT"/>
        </w:rPr>
        <w:t>2.2.3</w:t>
      </w:r>
      <w:r w:rsidR="00445C7E" w:rsidRPr="00887EEA">
        <w:rPr>
          <w:lang w:eastAsia="lt-LT"/>
        </w:rPr>
        <w:t>. Privalomas ir savanoriškas dalyvavimas pensijų fondų veikloje ...........</w:t>
      </w:r>
      <w:r w:rsidR="00DF593A">
        <w:rPr>
          <w:lang w:eastAsia="lt-LT"/>
        </w:rPr>
        <w:t>.............................35</w:t>
      </w:r>
    </w:p>
    <w:p w:rsidR="00445C7E" w:rsidRPr="00B74590" w:rsidRDefault="00445C7E" w:rsidP="00DC1EC3">
      <w:pPr>
        <w:pStyle w:val="Betarp"/>
        <w:spacing w:line="360" w:lineRule="auto"/>
        <w:ind w:firstLine="0"/>
        <w:rPr>
          <w:lang w:val="es-ES" w:eastAsia="lt-LT"/>
        </w:rPr>
      </w:pPr>
      <w:r w:rsidRPr="00ED659E">
        <w:rPr>
          <w:b/>
          <w:lang w:eastAsia="lt-LT"/>
        </w:rPr>
        <w:t xml:space="preserve">3. II PAKOPOS </w:t>
      </w:r>
      <w:r>
        <w:rPr>
          <w:b/>
          <w:lang w:val="es-ES" w:eastAsia="lt-LT"/>
        </w:rPr>
        <w:t>PENSIJ</w:t>
      </w:r>
      <w:r>
        <w:rPr>
          <w:b/>
          <w:lang w:eastAsia="lt-LT"/>
        </w:rPr>
        <w:t>Ų FONDŲ INVESTAVIMO TEISINIO REGULIAVIMO LIETUVOJE YPATUPAI BEI PROBLEMOS</w:t>
      </w:r>
      <w:r>
        <w:rPr>
          <w:lang w:eastAsia="lt-LT"/>
        </w:rPr>
        <w:t>....................................................................................</w:t>
      </w:r>
      <w:r w:rsidR="00DF593A">
        <w:rPr>
          <w:lang w:val="es-ES" w:eastAsia="lt-LT"/>
        </w:rPr>
        <w:t>..............</w:t>
      </w:r>
      <w:r w:rsidR="000C2C33">
        <w:rPr>
          <w:lang w:val="es-ES" w:eastAsia="lt-LT"/>
        </w:rPr>
        <w:t>...</w:t>
      </w:r>
      <w:r w:rsidR="00DF593A">
        <w:rPr>
          <w:lang w:val="es-ES" w:eastAsia="lt-LT"/>
        </w:rPr>
        <w:t>.....</w:t>
      </w:r>
      <w:r w:rsidR="00501D6E" w:rsidRPr="00B74590">
        <w:rPr>
          <w:lang w:val="es-ES" w:eastAsia="lt-LT"/>
        </w:rPr>
        <w:t>38</w:t>
      </w:r>
    </w:p>
    <w:p w:rsidR="00445C7E" w:rsidRPr="00B74590" w:rsidRDefault="00445C7E" w:rsidP="00DC1EC3">
      <w:pPr>
        <w:pStyle w:val="Betarp"/>
        <w:tabs>
          <w:tab w:val="left" w:pos="284"/>
          <w:tab w:val="left" w:pos="709"/>
        </w:tabs>
        <w:spacing w:line="360" w:lineRule="auto"/>
        <w:ind w:firstLine="0"/>
      </w:pPr>
      <w:r w:rsidRPr="00B74590">
        <w:t>3.1. Europos Sąjungos teisės aktų nuostatos.................................................................................</w:t>
      </w:r>
      <w:r w:rsidR="00DF593A" w:rsidRPr="00B74590">
        <w:t>..........</w:t>
      </w:r>
      <w:r w:rsidR="00501D6E" w:rsidRPr="00B74590">
        <w:t>38</w:t>
      </w:r>
    </w:p>
    <w:p w:rsidR="00445C7E" w:rsidRDefault="00445C7E" w:rsidP="00DC1EC3">
      <w:pPr>
        <w:pStyle w:val="Betarp"/>
        <w:tabs>
          <w:tab w:val="left" w:pos="284"/>
          <w:tab w:val="left" w:pos="709"/>
        </w:tabs>
        <w:spacing w:line="360" w:lineRule="auto"/>
        <w:ind w:firstLine="0"/>
      </w:pPr>
      <w:r>
        <w:t>3</w:t>
      </w:r>
      <w:r w:rsidRPr="00E32C66">
        <w:t>.</w:t>
      </w:r>
      <w:r>
        <w:t>2.</w:t>
      </w:r>
      <w:r w:rsidRPr="00887EEA">
        <w:t xml:space="preserve"> </w:t>
      </w:r>
      <w:r>
        <w:t xml:space="preserve">II pakopos pensijų fondų investavimo </w:t>
      </w:r>
      <w:r w:rsidR="00A9259E">
        <w:t>teisinis</w:t>
      </w:r>
      <w:r>
        <w:t xml:space="preserve"> reguliavimas Lietuvoje.......</w:t>
      </w:r>
      <w:r w:rsidR="00DF593A">
        <w:t>..</w:t>
      </w:r>
      <w:r w:rsidR="00A9259E">
        <w:t>......</w:t>
      </w:r>
      <w:r w:rsidR="00501D6E">
        <w:t>............................40</w:t>
      </w:r>
    </w:p>
    <w:p w:rsidR="00445C7E" w:rsidRPr="00887EEA" w:rsidRDefault="00DC1EC3" w:rsidP="00DC1EC3">
      <w:pPr>
        <w:pStyle w:val="Betarp"/>
        <w:tabs>
          <w:tab w:val="left" w:pos="284"/>
          <w:tab w:val="left" w:pos="567"/>
          <w:tab w:val="left" w:pos="709"/>
        </w:tabs>
        <w:spacing w:line="360" w:lineRule="auto"/>
        <w:ind w:firstLine="0"/>
      </w:pPr>
      <w:r>
        <w:rPr>
          <w:lang w:val="es-ES"/>
        </w:rPr>
        <w:t xml:space="preserve">         </w:t>
      </w:r>
      <w:r w:rsidR="00445C7E">
        <w:rPr>
          <w:lang w:val="es-ES"/>
        </w:rPr>
        <w:t xml:space="preserve">3.2.1. Investavimo strategijos pasirinkimas ir finansinio </w:t>
      </w:r>
      <w:r w:rsidR="00445C7E">
        <w:t>švietimo reikali</w:t>
      </w:r>
      <w:r w:rsidR="00501D6E">
        <w:t>ngumas........................41</w:t>
      </w:r>
    </w:p>
    <w:p w:rsidR="00445C7E" w:rsidRPr="00887EEA" w:rsidRDefault="00445C7E" w:rsidP="00DC1EC3">
      <w:pPr>
        <w:pStyle w:val="Betarp"/>
        <w:spacing w:line="360" w:lineRule="auto"/>
        <w:ind w:firstLine="0"/>
        <w:rPr>
          <w:lang w:val="es-ES" w:eastAsia="lt-LT"/>
        </w:rPr>
      </w:pPr>
      <w:r>
        <w:rPr>
          <w:lang w:val="es-ES" w:eastAsia="lt-LT"/>
        </w:rPr>
        <w:t>3.3</w:t>
      </w:r>
      <w:r w:rsidRPr="00887EEA">
        <w:rPr>
          <w:lang w:val="es-ES" w:eastAsia="lt-LT"/>
        </w:rPr>
        <w:t xml:space="preserve">. </w:t>
      </w:r>
      <w:r>
        <w:rPr>
          <w:lang w:val="es-ES" w:eastAsia="lt-LT"/>
        </w:rPr>
        <w:t>Su investavimu susijusios problemos..................</w:t>
      </w:r>
      <w:r w:rsidRPr="00887EEA">
        <w:rPr>
          <w:lang w:val="es-ES" w:eastAsia="lt-LT"/>
        </w:rPr>
        <w:t>.....................................</w:t>
      </w:r>
      <w:r>
        <w:rPr>
          <w:lang w:val="es-ES" w:eastAsia="lt-LT"/>
        </w:rPr>
        <w:t>..........</w:t>
      </w:r>
      <w:r w:rsidR="00501D6E">
        <w:rPr>
          <w:lang w:val="es-ES" w:eastAsia="lt-LT"/>
        </w:rPr>
        <w:t>..............................46</w:t>
      </w:r>
    </w:p>
    <w:p w:rsidR="00445C7E" w:rsidRPr="00DC1EC3" w:rsidRDefault="00445C7E" w:rsidP="00DC1EC3">
      <w:pPr>
        <w:pStyle w:val="Betarp"/>
        <w:spacing w:line="360" w:lineRule="auto"/>
        <w:ind w:firstLine="0"/>
        <w:rPr>
          <w:lang w:val="es-ES" w:eastAsia="lt-LT"/>
        </w:rPr>
      </w:pPr>
    </w:p>
    <w:p w:rsidR="00445C7E" w:rsidRPr="00DC1EC3" w:rsidRDefault="00445C7E" w:rsidP="00DC1EC3">
      <w:pPr>
        <w:pStyle w:val="Betarp"/>
        <w:spacing w:line="360" w:lineRule="auto"/>
        <w:ind w:firstLine="0"/>
        <w:rPr>
          <w:lang w:val="es-ES" w:eastAsia="lt-LT"/>
        </w:rPr>
      </w:pPr>
      <w:r w:rsidRPr="00DC1EC3">
        <w:rPr>
          <w:b/>
          <w:lang w:val="es-ES" w:eastAsia="lt-LT"/>
        </w:rPr>
        <w:t>IŠVADOS</w:t>
      </w:r>
      <w:r w:rsidR="00C74B08">
        <w:rPr>
          <w:b/>
          <w:lang w:val="es-ES" w:eastAsia="lt-LT"/>
        </w:rPr>
        <w:t xml:space="preserve"> IR </w:t>
      </w:r>
      <w:r w:rsidR="00C74B08" w:rsidRPr="00DC1EC3">
        <w:rPr>
          <w:b/>
          <w:lang w:val="es-ES" w:eastAsia="lt-LT"/>
        </w:rPr>
        <w:t>TOBULINIMO KRYPTYS</w:t>
      </w:r>
      <w:r w:rsidR="00C74B08">
        <w:rPr>
          <w:lang w:val="es-ES" w:eastAsia="lt-LT"/>
        </w:rPr>
        <w:t>......................................................</w:t>
      </w:r>
      <w:r w:rsidRPr="00DC1EC3">
        <w:rPr>
          <w:lang w:val="es-ES" w:eastAsia="lt-LT"/>
        </w:rPr>
        <w:t>......</w:t>
      </w:r>
      <w:r w:rsidR="00501D6E">
        <w:rPr>
          <w:lang w:val="es-ES" w:eastAsia="lt-LT"/>
        </w:rPr>
        <w:t>..............................51</w:t>
      </w:r>
    </w:p>
    <w:p w:rsidR="00445C7E" w:rsidRPr="00DC1EC3" w:rsidRDefault="00445C7E" w:rsidP="00DC1EC3">
      <w:pPr>
        <w:pStyle w:val="Betarp"/>
        <w:spacing w:line="360" w:lineRule="auto"/>
        <w:ind w:firstLine="0"/>
        <w:rPr>
          <w:lang w:val="es-ES" w:eastAsia="lt-LT"/>
        </w:rPr>
      </w:pPr>
    </w:p>
    <w:p w:rsidR="00445C7E" w:rsidRPr="00DC1EC3" w:rsidRDefault="00445C7E" w:rsidP="00DC1EC3">
      <w:pPr>
        <w:pStyle w:val="Betarp"/>
        <w:spacing w:line="360" w:lineRule="auto"/>
        <w:ind w:firstLine="0"/>
        <w:rPr>
          <w:lang w:val="es-ES" w:eastAsia="lt-LT"/>
        </w:rPr>
      </w:pPr>
      <w:r w:rsidRPr="00DC1EC3">
        <w:rPr>
          <w:b/>
          <w:lang w:val="es-ES" w:eastAsia="lt-LT"/>
        </w:rPr>
        <w:t>LITERATŪRA</w:t>
      </w:r>
      <w:r w:rsidRPr="00DC1EC3">
        <w:rPr>
          <w:lang w:val="es-ES" w:eastAsia="lt-LT"/>
        </w:rPr>
        <w:t>......................................................................................................................................</w:t>
      </w:r>
      <w:r w:rsidR="00501D6E">
        <w:rPr>
          <w:lang w:val="es-ES" w:eastAsia="lt-LT"/>
        </w:rPr>
        <w:t>54</w:t>
      </w:r>
    </w:p>
    <w:p w:rsidR="00445C7E" w:rsidRPr="00DC1EC3" w:rsidRDefault="00445C7E" w:rsidP="00DC1EC3">
      <w:pPr>
        <w:pStyle w:val="Betarp"/>
        <w:spacing w:line="360" w:lineRule="auto"/>
        <w:ind w:firstLine="0"/>
        <w:rPr>
          <w:lang w:val="es-ES" w:eastAsia="lt-LT"/>
        </w:rPr>
      </w:pPr>
    </w:p>
    <w:p w:rsidR="00445C7E" w:rsidRPr="00DC1EC3" w:rsidRDefault="00445C7E" w:rsidP="00DC1EC3">
      <w:pPr>
        <w:pStyle w:val="Betarp"/>
        <w:spacing w:line="360" w:lineRule="auto"/>
        <w:ind w:firstLine="0"/>
        <w:rPr>
          <w:lang w:val="es-ES" w:eastAsia="lt-LT"/>
        </w:rPr>
      </w:pPr>
      <w:r w:rsidRPr="00DC1EC3">
        <w:rPr>
          <w:b/>
          <w:lang w:val="es-ES" w:eastAsia="lt-LT"/>
        </w:rPr>
        <w:t>ANOTACIJA LIETUVIŲ IR ANGLŲ KALBOMIS</w:t>
      </w:r>
      <w:r w:rsidRPr="00DC1EC3">
        <w:rPr>
          <w:lang w:val="es-ES" w:eastAsia="lt-LT"/>
        </w:rPr>
        <w:t>................................</w:t>
      </w:r>
      <w:r w:rsidR="00DF593A" w:rsidRPr="00DC1EC3">
        <w:rPr>
          <w:lang w:val="es-ES" w:eastAsia="lt-LT"/>
        </w:rPr>
        <w:t>...............................</w:t>
      </w:r>
      <w:r w:rsidRPr="00DC1EC3">
        <w:rPr>
          <w:lang w:val="es-ES" w:eastAsia="lt-LT"/>
        </w:rPr>
        <w:t>........</w:t>
      </w:r>
      <w:r w:rsidR="00651D82" w:rsidRPr="00DC1EC3">
        <w:rPr>
          <w:lang w:val="es-ES" w:eastAsia="lt-LT"/>
        </w:rPr>
        <w:t>.</w:t>
      </w:r>
      <w:r w:rsidR="00501D6E">
        <w:rPr>
          <w:lang w:val="es-ES" w:eastAsia="lt-LT"/>
        </w:rPr>
        <w:t>60</w:t>
      </w:r>
    </w:p>
    <w:p w:rsidR="00445C7E" w:rsidRPr="00DC1EC3" w:rsidRDefault="00445C7E" w:rsidP="00DC1EC3">
      <w:pPr>
        <w:pStyle w:val="Betarp"/>
        <w:spacing w:line="360" w:lineRule="auto"/>
        <w:ind w:firstLine="0"/>
        <w:rPr>
          <w:lang w:val="es-ES" w:eastAsia="lt-LT"/>
        </w:rPr>
      </w:pPr>
    </w:p>
    <w:p w:rsidR="00445C7E" w:rsidRPr="00DC1EC3" w:rsidRDefault="00445C7E" w:rsidP="00DC1EC3">
      <w:pPr>
        <w:pStyle w:val="Betarp"/>
        <w:spacing w:line="360" w:lineRule="auto"/>
        <w:ind w:firstLine="0"/>
        <w:rPr>
          <w:lang w:val="es-ES" w:eastAsia="lt-LT"/>
        </w:rPr>
      </w:pPr>
      <w:r w:rsidRPr="00DC1EC3">
        <w:rPr>
          <w:b/>
          <w:lang w:val="es-ES" w:eastAsia="lt-LT"/>
        </w:rPr>
        <w:t>SANTRAUKA LIETUVIŲ KALBA</w:t>
      </w:r>
      <w:r w:rsidRPr="00DC1EC3">
        <w:rPr>
          <w:lang w:val="es-ES" w:eastAsia="lt-LT"/>
        </w:rPr>
        <w:t>.....................................................................</w:t>
      </w:r>
      <w:r w:rsidR="00DF593A" w:rsidRPr="00DC1EC3">
        <w:rPr>
          <w:lang w:val="es-ES" w:eastAsia="lt-LT"/>
        </w:rPr>
        <w:t>.</w:t>
      </w:r>
      <w:r w:rsidR="006A78BC">
        <w:rPr>
          <w:lang w:val="es-ES" w:eastAsia="lt-LT"/>
        </w:rPr>
        <w:t>..............................62</w:t>
      </w:r>
    </w:p>
    <w:p w:rsidR="00445C7E" w:rsidRPr="00DC1EC3" w:rsidRDefault="00445C7E" w:rsidP="00DC1EC3">
      <w:pPr>
        <w:pStyle w:val="Betarp"/>
        <w:spacing w:line="360" w:lineRule="auto"/>
        <w:ind w:firstLine="0"/>
        <w:rPr>
          <w:lang w:val="es-ES" w:eastAsia="lt-LT"/>
        </w:rPr>
      </w:pPr>
    </w:p>
    <w:p w:rsidR="00445C7E" w:rsidRPr="00DC1EC3" w:rsidRDefault="00445C7E" w:rsidP="00DC1EC3">
      <w:pPr>
        <w:pStyle w:val="Betarp"/>
        <w:spacing w:line="360" w:lineRule="auto"/>
        <w:ind w:firstLine="0"/>
        <w:rPr>
          <w:lang w:val="es-ES" w:eastAsia="lt-LT"/>
        </w:rPr>
      </w:pPr>
      <w:r w:rsidRPr="00DC1EC3">
        <w:rPr>
          <w:b/>
          <w:lang w:val="es-ES" w:eastAsia="lt-LT"/>
        </w:rPr>
        <w:t>SANTRAUKA ANGLŲ KALBA</w:t>
      </w:r>
      <w:r w:rsidRPr="00DC1EC3">
        <w:rPr>
          <w:lang w:val="es-ES" w:eastAsia="lt-LT"/>
        </w:rPr>
        <w:t>........................................................................</w:t>
      </w:r>
      <w:r w:rsidR="00DF593A" w:rsidRPr="00DC1EC3">
        <w:rPr>
          <w:lang w:val="es-ES" w:eastAsia="lt-LT"/>
        </w:rPr>
        <w:t>...</w:t>
      </w:r>
      <w:r w:rsidR="00651D82" w:rsidRPr="00DC1EC3">
        <w:rPr>
          <w:lang w:val="es-ES" w:eastAsia="lt-LT"/>
        </w:rPr>
        <w:t>............................</w:t>
      </w:r>
      <w:r w:rsidR="006A78BC">
        <w:rPr>
          <w:lang w:val="es-ES" w:eastAsia="lt-LT"/>
        </w:rPr>
        <w:t>..64</w:t>
      </w:r>
    </w:p>
    <w:p w:rsidR="00C028FE" w:rsidRPr="006C2926" w:rsidRDefault="00C028FE" w:rsidP="006C2926">
      <w:pPr>
        <w:pStyle w:val="Betarp"/>
        <w:spacing w:line="360" w:lineRule="auto"/>
        <w:ind w:left="142" w:hanging="142"/>
        <w:rPr>
          <w:sz w:val="28"/>
          <w:szCs w:val="28"/>
          <w:lang w:val="es-ES"/>
        </w:rPr>
      </w:pPr>
    </w:p>
    <w:p w:rsidR="00187D3D" w:rsidRDefault="00187D3D">
      <w:pPr>
        <w:spacing w:after="0" w:line="240" w:lineRule="auto"/>
        <w:rPr>
          <w:b/>
          <w:sz w:val="28"/>
          <w:szCs w:val="28"/>
        </w:rPr>
      </w:pPr>
      <w:r>
        <w:rPr>
          <w:b/>
          <w:sz w:val="28"/>
          <w:szCs w:val="28"/>
        </w:rPr>
        <w:br w:type="page"/>
      </w:r>
    </w:p>
    <w:p w:rsidR="00187D3D" w:rsidRPr="00187D3D" w:rsidRDefault="00187D3D" w:rsidP="00187D3D">
      <w:pPr>
        <w:pStyle w:val="Betarp"/>
        <w:spacing w:line="360" w:lineRule="auto"/>
        <w:ind w:firstLine="0"/>
        <w:jc w:val="left"/>
        <w:rPr>
          <w:b/>
        </w:rPr>
      </w:pPr>
    </w:p>
    <w:p w:rsidR="006C2926" w:rsidRPr="00DF593A" w:rsidRDefault="006C2926" w:rsidP="006C2926">
      <w:pPr>
        <w:pStyle w:val="Betarp"/>
        <w:spacing w:line="360" w:lineRule="auto"/>
        <w:ind w:firstLine="0"/>
        <w:jc w:val="center"/>
        <w:rPr>
          <w:b/>
          <w:sz w:val="28"/>
          <w:szCs w:val="28"/>
        </w:rPr>
      </w:pPr>
      <w:r w:rsidRPr="00DF593A">
        <w:rPr>
          <w:b/>
          <w:sz w:val="28"/>
          <w:szCs w:val="28"/>
        </w:rPr>
        <w:t>LENTELĖS</w:t>
      </w:r>
    </w:p>
    <w:p w:rsidR="006C2926" w:rsidRDefault="006C2926" w:rsidP="006C2926">
      <w:pPr>
        <w:pStyle w:val="Betarp"/>
        <w:spacing w:line="360" w:lineRule="auto"/>
        <w:ind w:firstLine="0"/>
      </w:pPr>
    </w:p>
    <w:p w:rsidR="006C2926" w:rsidRDefault="004005F2" w:rsidP="006C2926">
      <w:pPr>
        <w:pStyle w:val="Betarp"/>
        <w:spacing w:line="360" w:lineRule="auto"/>
        <w:ind w:firstLine="0"/>
      </w:pPr>
      <w:r w:rsidRPr="004005F2">
        <w:t>1 l</w:t>
      </w:r>
      <w:r w:rsidR="006C2926" w:rsidRPr="00C84135">
        <w:t>entelė. Pensijų draudimo schemų įvairiose šalyse palyginimas</w:t>
      </w:r>
      <w:r w:rsidR="006C2926">
        <w:t>..........................................................3</w:t>
      </w:r>
      <w:r w:rsidR="0045532D">
        <w:t>5</w:t>
      </w:r>
    </w:p>
    <w:p w:rsidR="004005F2" w:rsidRPr="004005F2" w:rsidRDefault="004005F2" w:rsidP="006C2926">
      <w:pPr>
        <w:pStyle w:val="Betarp"/>
        <w:spacing w:line="360" w:lineRule="auto"/>
        <w:ind w:firstLine="0"/>
        <w:rPr>
          <w:lang w:val="es-ES"/>
        </w:rPr>
      </w:pPr>
      <w:r>
        <w:t xml:space="preserve">2 lentelė. </w:t>
      </w:r>
      <w:r w:rsidRPr="004005F2">
        <w:t>Pensijų fondų dalyviai pagal investavimo strategijas</w:t>
      </w:r>
      <w:r>
        <w:t>..............................................................</w:t>
      </w:r>
      <w:r w:rsidR="0045532D">
        <w:rPr>
          <w:lang w:val="es-ES"/>
        </w:rPr>
        <w:t>43</w:t>
      </w:r>
    </w:p>
    <w:p w:rsidR="006C2926" w:rsidRDefault="006C2926" w:rsidP="006C2926">
      <w:pPr>
        <w:spacing w:after="0" w:line="360" w:lineRule="auto"/>
        <w:rPr>
          <w:b/>
          <w:sz w:val="28"/>
          <w:szCs w:val="28"/>
        </w:rPr>
      </w:pPr>
      <w:r>
        <w:rPr>
          <w:b/>
          <w:sz w:val="28"/>
          <w:szCs w:val="28"/>
        </w:rPr>
        <w:br w:type="page"/>
      </w:r>
    </w:p>
    <w:p w:rsidR="006C2926" w:rsidRPr="00187D3D" w:rsidRDefault="006C2926" w:rsidP="00995BAF">
      <w:pPr>
        <w:pStyle w:val="Betarp"/>
        <w:spacing w:line="360" w:lineRule="auto"/>
        <w:ind w:firstLine="0"/>
        <w:jc w:val="left"/>
        <w:rPr>
          <w:b/>
        </w:rPr>
      </w:pPr>
    </w:p>
    <w:p w:rsidR="006C2926" w:rsidRDefault="006C2926" w:rsidP="006C2926">
      <w:pPr>
        <w:pStyle w:val="Betarp"/>
        <w:spacing w:line="360" w:lineRule="auto"/>
        <w:ind w:firstLine="0"/>
        <w:jc w:val="center"/>
        <w:rPr>
          <w:b/>
          <w:sz w:val="28"/>
          <w:szCs w:val="28"/>
        </w:rPr>
      </w:pPr>
      <w:r w:rsidRPr="00A740A5">
        <w:rPr>
          <w:b/>
          <w:sz w:val="28"/>
          <w:szCs w:val="28"/>
        </w:rPr>
        <w:t>PAVEIKSLAI</w:t>
      </w:r>
    </w:p>
    <w:p w:rsidR="006C2926" w:rsidRPr="00BB1342" w:rsidRDefault="006C2926" w:rsidP="006C2926">
      <w:pPr>
        <w:pStyle w:val="Betarp"/>
        <w:spacing w:line="360" w:lineRule="auto"/>
        <w:ind w:firstLine="0"/>
        <w:jc w:val="center"/>
        <w:rPr>
          <w:b/>
        </w:rPr>
      </w:pPr>
    </w:p>
    <w:p w:rsidR="006C2926" w:rsidRPr="0067561C" w:rsidRDefault="006C2926" w:rsidP="006C2926">
      <w:pPr>
        <w:pStyle w:val="Betarp"/>
        <w:spacing w:line="360" w:lineRule="auto"/>
        <w:ind w:firstLine="0"/>
      </w:pPr>
      <w:r w:rsidRPr="0067561C">
        <w:t>1 pav. Pensijų sistemų klasifikacija.........................................................</w:t>
      </w:r>
      <w:r>
        <w:t>.............</w:t>
      </w:r>
      <w:r w:rsidRPr="0067561C">
        <w:t>............</w:t>
      </w:r>
      <w:r>
        <w:t>...........</w:t>
      </w:r>
      <w:r w:rsidR="00047CE6">
        <w:t>............10</w:t>
      </w:r>
    </w:p>
    <w:p w:rsidR="006C2926" w:rsidRPr="00047CE6" w:rsidRDefault="006C2926" w:rsidP="006C2926">
      <w:pPr>
        <w:pStyle w:val="Betarp"/>
        <w:spacing w:line="360" w:lineRule="auto"/>
        <w:ind w:firstLine="0"/>
        <w:rPr>
          <w:color w:val="FF0000"/>
        </w:rPr>
      </w:pPr>
      <w:r w:rsidRPr="00047CE6">
        <w:t>2 pav. Vis</w:t>
      </w:r>
      <w:r w:rsidRPr="0067561C">
        <w:t xml:space="preserve">ų II pakopos pensijų fondų investicijų geografinis pasiskirstymas </w:t>
      </w:r>
      <w:r w:rsidRPr="00047CE6">
        <w:t>2012 met</w:t>
      </w:r>
      <w:r w:rsidR="00047CE6" w:rsidRPr="00047CE6">
        <w:t>ais....................16</w:t>
      </w:r>
    </w:p>
    <w:p w:rsidR="006C2926" w:rsidRPr="00047CE6" w:rsidRDefault="006C2926" w:rsidP="000E737A">
      <w:pPr>
        <w:pStyle w:val="Betarp"/>
        <w:spacing w:line="360" w:lineRule="auto"/>
        <w:ind w:left="142" w:hanging="142"/>
      </w:pPr>
    </w:p>
    <w:p w:rsidR="006C2926" w:rsidRPr="00047CE6" w:rsidRDefault="006C2926" w:rsidP="000E737A">
      <w:pPr>
        <w:pStyle w:val="Betarp"/>
        <w:spacing w:line="360" w:lineRule="auto"/>
        <w:ind w:left="142" w:hanging="142"/>
      </w:pPr>
    </w:p>
    <w:p w:rsidR="006C2926" w:rsidRPr="00047CE6" w:rsidRDefault="006C2926" w:rsidP="000E737A">
      <w:pPr>
        <w:pStyle w:val="Betarp"/>
        <w:spacing w:line="360" w:lineRule="auto"/>
        <w:ind w:left="142" w:hanging="142"/>
      </w:pPr>
    </w:p>
    <w:p w:rsidR="00445C7E" w:rsidRDefault="00445C7E" w:rsidP="005118C4">
      <w:pPr>
        <w:pStyle w:val="Betarp"/>
        <w:ind w:firstLine="0"/>
        <w:jc w:val="center"/>
        <w:rPr>
          <w:b/>
          <w:sz w:val="28"/>
          <w:szCs w:val="28"/>
        </w:rPr>
        <w:sectPr w:rsidR="00445C7E" w:rsidSect="009929FC">
          <w:headerReference w:type="default" r:id="rId9"/>
          <w:pgSz w:w="11906" w:h="16838" w:code="9"/>
          <w:pgMar w:top="1134" w:right="567" w:bottom="1134" w:left="1418" w:header="567" w:footer="567" w:gutter="0"/>
          <w:pgNumType w:start="4"/>
          <w:cols w:space="1296"/>
          <w:titlePg/>
          <w:docGrid w:linePitch="360"/>
        </w:sectPr>
      </w:pPr>
    </w:p>
    <w:p w:rsidR="00B63D58" w:rsidRPr="00187D3D" w:rsidRDefault="00B63D58" w:rsidP="00187D3D">
      <w:pPr>
        <w:pStyle w:val="Betarp"/>
        <w:spacing w:line="360" w:lineRule="auto"/>
        <w:ind w:firstLine="0"/>
        <w:jc w:val="left"/>
        <w:rPr>
          <w:b/>
        </w:rPr>
      </w:pPr>
    </w:p>
    <w:p w:rsidR="00445C7E" w:rsidRDefault="00445C7E" w:rsidP="00D7085D">
      <w:pPr>
        <w:pStyle w:val="Betarp"/>
        <w:spacing w:line="360" w:lineRule="auto"/>
        <w:ind w:firstLine="0"/>
        <w:jc w:val="center"/>
        <w:rPr>
          <w:b/>
          <w:sz w:val="28"/>
          <w:szCs w:val="28"/>
        </w:rPr>
      </w:pPr>
      <w:r w:rsidRPr="005A515F">
        <w:rPr>
          <w:b/>
          <w:sz w:val="28"/>
          <w:szCs w:val="28"/>
        </w:rPr>
        <w:t>ĮVADAS</w:t>
      </w:r>
    </w:p>
    <w:p w:rsidR="00445C7E" w:rsidRPr="00D16485" w:rsidRDefault="00445C7E" w:rsidP="00D7085D">
      <w:pPr>
        <w:pStyle w:val="Betarp"/>
        <w:spacing w:line="360" w:lineRule="auto"/>
        <w:jc w:val="center"/>
        <w:rPr>
          <w:b/>
        </w:rPr>
      </w:pPr>
    </w:p>
    <w:p w:rsidR="00445C7E" w:rsidRPr="00490651" w:rsidRDefault="00445C7E" w:rsidP="00517907">
      <w:pPr>
        <w:pStyle w:val="Betarp"/>
        <w:spacing w:line="360" w:lineRule="auto"/>
        <w:ind w:firstLine="567"/>
        <w:rPr>
          <w:b/>
        </w:rPr>
      </w:pPr>
      <w:r w:rsidRPr="00992708">
        <w:t>„</w:t>
      </w:r>
      <w:r w:rsidRPr="00490651">
        <w:t>Pensijų fondai – tai priemonė padidinti savo pajamas senatvėje tiems, kurie rūpinasi ramesne ateitimi.“</w:t>
      </w:r>
      <w:r w:rsidRPr="00490651">
        <w:rPr>
          <w:rStyle w:val="Puslapioinaosnuoroda"/>
          <w:lang w:eastAsia="lt-LT"/>
        </w:rPr>
        <w:footnoteReference w:id="1"/>
      </w:r>
      <w:r w:rsidRPr="00490651">
        <w:rPr>
          <w:lang w:eastAsia="lt-LT"/>
        </w:rPr>
        <w:t xml:space="preserve"> </w:t>
      </w:r>
      <w:r w:rsidRPr="00490651">
        <w:t>II pakopos pensijų fondai suteikia galimybę taupyti nemažinant vartojimo, kadangi šių pensijų fondų</w:t>
      </w:r>
      <w:r w:rsidRPr="00490651">
        <w:rPr>
          <w:lang w:eastAsia="lt-LT"/>
        </w:rPr>
        <w:t xml:space="preserve"> finansavimo principas – dalies privalomų valstybinio socialinio draudimo (toliau – VSD) įmokų kaupimas bei jų didinimas, investuojant jas kapitalo rinkoje. Tokiu būdu, dirbančiojo gaunama nauda yra sumokėtos įmokos bei sukauptas investicinis pelnas. Todėl svarbią reikšmę pensijų fondų veikloje turi inv</w:t>
      </w:r>
      <w:r w:rsidR="00ED659E" w:rsidRPr="00490651">
        <w:rPr>
          <w:lang w:eastAsia="lt-LT"/>
        </w:rPr>
        <w:t>estavimo principas. Šiuo atveju</w:t>
      </w:r>
      <w:r w:rsidRPr="00490651">
        <w:rPr>
          <w:lang w:eastAsia="lt-LT"/>
        </w:rPr>
        <w:t xml:space="preserve"> d</w:t>
      </w:r>
      <w:r w:rsidRPr="00490651">
        <w:t xml:space="preserve">alyvių tikslas – maksimizuoti jų kaupiamą turtą, tačiau neigiami investicijų rezultatai gali sumažinti kaupiamas įmokas. Gali </w:t>
      </w:r>
      <w:r w:rsidR="00DC1EC3" w:rsidRPr="00490651">
        <w:t xml:space="preserve">atsitikti </w:t>
      </w:r>
      <w:r w:rsidRPr="00490651">
        <w:t xml:space="preserve">taip, kad siejamos viltys, </w:t>
      </w:r>
      <w:r w:rsidR="00DC1EC3" w:rsidRPr="00490651">
        <w:t>atėjus laikui</w:t>
      </w:r>
      <w:r w:rsidRPr="00490651">
        <w:t xml:space="preserve"> mokėti išmokas nepasiteisins.</w:t>
      </w:r>
      <w:r w:rsidRPr="00490651">
        <w:rPr>
          <w:rStyle w:val="Puslapioinaosnuoroda"/>
        </w:rPr>
        <w:footnoteReference w:id="2"/>
      </w:r>
      <w:r w:rsidRPr="00490651">
        <w:t xml:space="preserve"> Tam, kad lėšos būtų investuojamos produktyviausiu būdu, būtina užtikrinti tinkamą investavimo reguliavimą, nes nuo to priklauso ir galutiniai pensijų fondų veiklos rezultatai.</w:t>
      </w:r>
    </w:p>
    <w:p w:rsidR="00445C7E" w:rsidRPr="00490651" w:rsidRDefault="00445C7E" w:rsidP="00D7085D">
      <w:pPr>
        <w:pStyle w:val="Betarp"/>
        <w:spacing w:line="360" w:lineRule="auto"/>
        <w:ind w:firstLine="567"/>
      </w:pPr>
      <w:r w:rsidRPr="00490651">
        <w:rPr>
          <w:b/>
        </w:rPr>
        <w:t>Tyrimo objektas –</w:t>
      </w:r>
      <w:r w:rsidRPr="00490651">
        <w:t xml:space="preserve"> II pakopos pensijų fondų investavimo teisinis reguliavimas</w:t>
      </w:r>
      <w:r w:rsidR="002A3711" w:rsidRPr="00490651">
        <w:t>.</w:t>
      </w:r>
      <w:r w:rsidRPr="00490651">
        <w:t xml:space="preserve"> </w:t>
      </w:r>
    </w:p>
    <w:p w:rsidR="00445C7E" w:rsidRPr="00490651" w:rsidRDefault="00445C7E" w:rsidP="00D7085D">
      <w:pPr>
        <w:pStyle w:val="Betarp"/>
        <w:spacing w:line="360" w:lineRule="auto"/>
        <w:ind w:firstLine="567"/>
      </w:pPr>
      <w:r w:rsidRPr="00490651">
        <w:rPr>
          <w:b/>
        </w:rPr>
        <w:t xml:space="preserve">Tyrimo dalykas – </w:t>
      </w:r>
      <w:r w:rsidRPr="00490651">
        <w:t>skirtingų pensijų fondų investavimo reguliavimo metodų ypatumai bei jų pritaikymas esant konkrečioms sąlygoms.</w:t>
      </w:r>
    </w:p>
    <w:p w:rsidR="00445C7E" w:rsidRPr="00490651" w:rsidRDefault="00445C7E" w:rsidP="00D7085D">
      <w:pPr>
        <w:pStyle w:val="Betarp"/>
        <w:spacing w:line="360" w:lineRule="auto"/>
        <w:ind w:firstLine="567"/>
        <w:rPr>
          <w:b/>
        </w:rPr>
      </w:pPr>
      <w:r w:rsidRPr="00490651">
        <w:rPr>
          <w:b/>
        </w:rPr>
        <w:t>Tyrime nagrinėjama problema –</w:t>
      </w:r>
      <w:r w:rsidR="00D96680" w:rsidRPr="00490651">
        <w:t xml:space="preserve"> </w:t>
      </w:r>
      <w:r w:rsidRPr="00490651">
        <w:t xml:space="preserve">II pakopos pensijų fondų investavimo reguliavimas neužtikrina efektyvios pensijų fondų veiklos. </w:t>
      </w:r>
      <w:r w:rsidR="002A3711" w:rsidRPr="00490651">
        <w:t>Pensijų fondai</w:t>
      </w:r>
      <w:r w:rsidR="0005782C" w:rsidRPr="00490651">
        <w:t>,</w:t>
      </w:r>
      <w:r w:rsidR="002A3711" w:rsidRPr="00490651">
        <w:t xml:space="preserve"> būdami pelno siekiantys subjektai</w:t>
      </w:r>
      <w:r w:rsidR="0005782C" w:rsidRPr="00490651">
        <w:t>,</w:t>
      </w:r>
      <w:r w:rsidR="002A3711" w:rsidRPr="00490651">
        <w:t xml:space="preserve"> yra nesuinteresuoti dirbti pelningai dalyvių naudai, o už patirtus nuostolius bei žmonių patikėtų pinigų praradimą nėra niekam atsakingi. </w:t>
      </w:r>
      <w:r w:rsidRPr="00490651">
        <w:t>Norint užtikrinti tinkamą investavimo reguliavimą, reikia atlikti teorinę investavimo reguliavimo reikalingumo bei pagrindinių veiksnių, lemiančių skirtingo investavimo metodų pritaikymą pensijų fondų veikloje, analizę, kurią būtų galima vėliau panaudoti tobulinant egzistuojantį reguliavimą.</w:t>
      </w:r>
    </w:p>
    <w:p w:rsidR="00445C7E" w:rsidRPr="00490651" w:rsidRDefault="00445C7E" w:rsidP="00D7085D">
      <w:pPr>
        <w:pStyle w:val="Betarp"/>
        <w:spacing w:line="360" w:lineRule="auto"/>
        <w:ind w:firstLine="567"/>
      </w:pPr>
      <w:r w:rsidRPr="00490651">
        <w:rPr>
          <w:b/>
        </w:rPr>
        <w:t xml:space="preserve">Tyrimo aktualumas ir naujumas. </w:t>
      </w:r>
      <w:r w:rsidRPr="00490651">
        <w:t xml:space="preserve">Ši tema yra aktuali tiek Lietuvoje, tiek kitose šalyse. Blogėjantys demografiniai bei socialiniai rodikliai einamųjų mokėjimų sistemą padaro labai pažeidžiamą, todėl šalims vis sunkiau darosi spręsti pagyvenusių asmenų gerovės klausimą. Pensijų fondai, kaip minėta, skatina žmones taupyti ir tuo pačiu patiems iš dalies prisiimti atsakomybę už savo senatvės pensijos dydį. </w:t>
      </w:r>
      <w:r w:rsidR="002A7533" w:rsidRPr="00490651">
        <w:t>Be to, kaip teigia Bitinas A., „k</w:t>
      </w:r>
      <w:r w:rsidRPr="00490651">
        <w:t>aupiamoji pensijų sistema yra grindžiama ne kartų solidarumo principu, bet rinkos principais.</w:t>
      </w:r>
      <w:r w:rsidR="002A7533" w:rsidRPr="00490651">
        <w:t>“</w:t>
      </w:r>
      <w:r w:rsidRPr="00490651">
        <w:rPr>
          <w:rStyle w:val="Puslapioinaosnuoroda"/>
        </w:rPr>
        <w:footnoteReference w:id="3"/>
      </w:r>
      <w:r w:rsidRPr="00490651">
        <w:t xml:space="preserve"> </w:t>
      </w:r>
      <w:r w:rsidR="002A7533" w:rsidRPr="00490651">
        <w:t>Esant paklausai, k</w:t>
      </w:r>
      <w:r w:rsidRPr="00490651">
        <w:t>aupdami dalį įmokų žmonės gauna ir didesnes pensijas, nes investicijų grąža paprastai yra didesnė nei darbo užmokesčio augimas.</w:t>
      </w:r>
      <w:r w:rsidRPr="00490651">
        <w:rPr>
          <w:rStyle w:val="Puslapioinaosnuoroda"/>
        </w:rPr>
        <w:footnoteReference w:id="4"/>
      </w:r>
      <w:r w:rsidRPr="00490651">
        <w:t xml:space="preserve"> </w:t>
      </w:r>
      <w:r w:rsidR="002A7533" w:rsidRPr="00490651">
        <w:lastRenderedPageBreak/>
        <w:t>O būtent t</w:t>
      </w:r>
      <w:r w:rsidRPr="00490651">
        <w:t>inkamas investavimo reguliavimas sudaro prielaidas efektyviai pensijų fondų veiklai bei didesnių pajamų užtikrinimui asmenims</w:t>
      </w:r>
      <w:r w:rsidR="0005782C" w:rsidRPr="00490651">
        <w:t>,</w:t>
      </w:r>
      <w:r w:rsidRPr="00490651">
        <w:t xml:space="preserve"> sulaukus senatvės pensijos amžiaus. </w:t>
      </w:r>
    </w:p>
    <w:p w:rsidR="00445C7E" w:rsidRPr="00490651" w:rsidRDefault="00445C7E" w:rsidP="00D7085D">
      <w:pPr>
        <w:pStyle w:val="Betarp"/>
        <w:spacing w:line="360" w:lineRule="auto"/>
        <w:ind w:firstLine="567"/>
      </w:pPr>
      <w:r w:rsidRPr="00490651">
        <w:t>Svarbu pažymėti, kad atitinkamų tyrimų šia tema Lietuvoje nėra. Kai kurių mokslininkų darbuose</w:t>
      </w:r>
      <w:r w:rsidRPr="00490651">
        <w:rPr>
          <w:b/>
        </w:rPr>
        <w:t xml:space="preserve"> </w:t>
      </w:r>
      <w:r w:rsidRPr="00490651">
        <w:t xml:space="preserve">trumpai </w:t>
      </w:r>
      <w:r w:rsidR="00C42DBB" w:rsidRPr="00490651">
        <w:t>užsime</w:t>
      </w:r>
      <w:r w:rsidRPr="00490651">
        <w:t xml:space="preserve">nama apie galimus skirtingus investavimo reguliavimo </w:t>
      </w:r>
      <w:r w:rsidR="0005782C" w:rsidRPr="00490651">
        <w:t>metodus</w:t>
      </w:r>
      <w:r w:rsidRPr="00490651">
        <w:t xml:space="preserve"> bei jų įtaką išmokoms, tačiau plačiau nėra analizuojama. Pagrindinė to priežastis – trumpas II pakopos pensijų fondų egzistavimo laikotarpis Lietuvoje, todėl pirmiausia plačiai buvo analizuoti galimi pensijų sistemų modeliai bei buvusios pensijų sistemos reformavimo priežastys Lietuvoje, pabrėžiant sėkmingą pensijų kaupimo sistemų patirtį užsienio šalyse. Vertinant reformos rezultatus, paprastai mokslininkų darbuose analizuojami tokie investavimo galutiniams rezultatams turintys veiksniai kaip pensijų fondų siūlomų investicijų portfelių sudėtis, atskaitymų dydžiai ir pan. Tačiau tyrimais yra nustatyta, kad būtent pats rinkų, kuriose investuojama parinkimas įtakoja </w:t>
      </w:r>
      <w:r w:rsidR="000C2C33" w:rsidRPr="00490651">
        <w:t>80-90 proc.</w:t>
      </w:r>
      <w:r w:rsidRPr="00490651">
        <w:t xml:space="preserve"> visos investicin</w:t>
      </w:r>
      <w:r w:rsidR="00ED659E" w:rsidRPr="00490651">
        <w:t>ės grąžos.</w:t>
      </w:r>
      <w:r w:rsidRPr="00490651">
        <w:t xml:space="preserve"> </w:t>
      </w:r>
      <w:r w:rsidR="00ED659E" w:rsidRPr="00490651">
        <w:t>S</w:t>
      </w:r>
      <w:r w:rsidRPr="00490651">
        <w:t>trateginio turto paskirstymo indėlis į bendrą pensijų fondų turto grąžą sudaro netgi 99.</w:t>
      </w:r>
      <w:r w:rsidR="000C2C33" w:rsidRPr="00490651">
        <w:t>5 proc</w:t>
      </w:r>
      <w:r w:rsidRPr="00490651">
        <w:t>.</w:t>
      </w:r>
      <w:r w:rsidRPr="00490651">
        <w:rPr>
          <w:rStyle w:val="Puslapioinaosnuoroda"/>
        </w:rPr>
        <w:footnoteReference w:id="5"/>
      </w:r>
      <w:r w:rsidRPr="00490651">
        <w:t xml:space="preserve"> Todėl pensijų fondų turto investavimo reguliavimas turbūt yra pati svarbiausia reguliavimo sritis susijusi su pensijų fondų veikla, nes didesniais ar mažesniais </w:t>
      </w:r>
      <w:r w:rsidR="00DC1EC3" w:rsidRPr="00490651">
        <w:t xml:space="preserve">suteiktais </w:t>
      </w:r>
      <w:r w:rsidRPr="00490651">
        <w:t>investicijų apribojamais pensijų fondai sudaro savo tolesnes investavimo gaires, nuo kurių priklauso, kokia investicinė strategija bus pasirenkama.</w:t>
      </w:r>
      <w:r w:rsidRPr="00490651">
        <w:rPr>
          <w:rStyle w:val="Puslapioinaosnuoroda"/>
        </w:rPr>
        <w:footnoteReference w:id="6"/>
      </w:r>
    </w:p>
    <w:p w:rsidR="00445C7E" w:rsidRPr="00490651" w:rsidRDefault="00445C7E" w:rsidP="00D7085D">
      <w:pPr>
        <w:pStyle w:val="Betarp"/>
        <w:spacing w:line="360" w:lineRule="auto"/>
        <w:ind w:firstLine="567"/>
      </w:pPr>
      <w:r w:rsidRPr="00490651">
        <w:rPr>
          <w:b/>
        </w:rPr>
        <w:t xml:space="preserve">Tyrimo tikslas – </w:t>
      </w:r>
      <w:r w:rsidRPr="00490651">
        <w:t>nurodyti pensijų fondų galimas rizikas, ko pasakoje atsiranda investavimo reguliavimo būtinumas bei</w:t>
      </w:r>
      <w:r w:rsidR="004A7BAB" w:rsidRPr="00490651">
        <w:t>,</w:t>
      </w:r>
      <w:r w:rsidRPr="00490651">
        <w:t xml:space="preserve"> </w:t>
      </w:r>
      <w:r w:rsidR="000222F9" w:rsidRPr="00490651">
        <w:t xml:space="preserve">analizuojant </w:t>
      </w:r>
      <w:r w:rsidRPr="00490651">
        <w:t xml:space="preserve">pasaulyje egzistuojančius skirtingus pensijų fondų investavimo reguliavimo </w:t>
      </w:r>
      <w:r w:rsidR="0005782C" w:rsidRPr="00490651">
        <w:t>metodus</w:t>
      </w:r>
      <w:r w:rsidR="004A7BAB" w:rsidRPr="00490651">
        <w:t xml:space="preserve">, </w:t>
      </w:r>
      <w:r w:rsidRPr="00490651">
        <w:t xml:space="preserve">jų </w:t>
      </w:r>
      <w:r w:rsidR="000222F9" w:rsidRPr="00490651">
        <w:t>pritaikymą pensijų fondų veikloje lemiančius veiksnius</w:t>
      </w:r>
      <w:r w:rsidR="004A7BAB" w:rsidRPr="00490651">
        <w:t xml:space="preserve"> ir išskiriant pagrindines su II pakopos pensijų fondų investavimo reguliavimu Lietuvoje susijusias problemas, </w:t>
      </w:r>
      <w:r w:rsidRPr="00490651">
        <w:t xml:space="preserve">pateikti grįstas išvadas dėl </w:t>
      </w:r>
      <w:r w:rsidR="004A7BAB" w:rsidRPr="00490651">
        <w:t>šių</w:t>
      </w:r>
      <w:r w:rsidRPr="00490651">
        <w:t xml:space="preserve"> pensijų fondų investavimo teisinio reguliavimo ir jo įtakos išmokų dydžiui, tuo pačiu nurodant galimas tobulinimo kryptis.</w:t>
      </w:r>
    </w:p>
    <w:p w:rsidR="00445C7E" w:rsidRPr="00490651" w:rsidRDefault="00445C7E" w:rsidP="00D7085D">
      <w:pPr>
        <w:pStyle w:val="Betarp"/>
        <w:spacing w:line="360" w:lineRule="auto"/>
        <w:ind w:firstLine="567"/>
        <w:rPr>
          <w:b/>
        </w:rPr>
      </w:pPr>
      <w:r w:rsidRPr="00490651">
        <w:t xml:space="preserve">Siekiant įgyvendinti užsibrėžtą tikslą, keliami šie </w:t>
      </w:r>
      <w:r w:rsidRPr="00490651">
        <w:rPr>
          <w:b/>
        </w:rPr>
        <w:t>tyrimo uždaviniai:</w:t>
      </w:r>
    </w:p>
    <w:p w:rsidR="00445C7E" w:rsidRPr="00490651" w:rsidRDefault="00445C7E" w:rsidP="00D7085D">
      <w:pPr>
        <w:pStyle w:val="Betarp"/>
        <w:spacing w:line="360" w:lineRule="auto"/>
        <w:ind w:firstLine="567"/>
      </w:pPr>
      <w:r w:rsidRPr="00490651">
        <w:t xml:space="preserve">1. </w:t>
      </w:r>
      <w:r w:rsidR="009C7FA4" w:rsidRPr="00490651">
        <w:t>Nurodyti pagrindines</w:t>
      </w:r>
      <w:r w:rsidRPr="00490651">
        <w:t xml:space="preserve"> II pakopos pensijų fondų kūrimosi </w:t>
      </w:r>
      <w:r w:rsidR="009C7FA4" w:rsidRPr="00490651">
        <w:t>prielaidas ir šių pensijų fondų</w:t>
      </w:r>
      <w:r w:rsidR="00C42DBB" w:rsidRPr="00490651">
        <w:t xml:space="preserve"> esmę </w:t>
      </w:r>
      <w:r w:rsidRPr="00490651">
        <w:t xml:space="preserve">bei </w:t>
      </w:r>
      <w:r w:rsidR="009C7FA4" w:rsidRPr="00490651">
        <w:t>atskleisti</w:t>
      </w:r>
      <w:r w:rsidRPr="00490651">
        <w:t xml:space="preserve"> pagrindines su pensijų fondų veikla susijusias rizikas.</w:t>
      </w:r>
    </w:p>
    <w:p w:rsidR="00445C7E" w:rsidRPr="00490651" w:rsidRDefault="009C7FA4" w:rsidP="00D7085D">
      <w:pPr>
        <w:pStyle w:val="Betarp"/>
        <w:spacing w:line="360" w:lineRule="auto"/>
        <w:ind w:firstLine="567"/>
      </w:pPr>
      <w:r w:rsidRPr="00490651">
        <w:t xml:space="preserve">2. Išskirti </w:t>
      </w:r>
      <w:r w:rsidR="00C42DBB" w:rsidRPr="00490651">
        <w:t xml:space="preserve">bei išanalizuoti skirtingus </w:t>
      </w:r>
      <w:r w:rsidR="00445C7E" w:rsidRPr="00490651">
        <w:t xml:space="preserve">pensijų fondų investavimo reguliavimo </w:t>
      </w:r>
      <w:r w:rsidR="00C42DBB" w:rsidRPr="00490651">
        <w:t>metodus</w:t>
      </w:r>
      <w:r w:rsidRPr="00490651">
        <w:t xml:space="preserve"> </w:t>
      </w:r>
      <w:r w:rsidR="00445C7E" w:rsidRPr="00490651">
        <w:t xml:space="preserve">bei </w:t>
      </w:r>
      <w:r w:rsidRPr="00490651">
        <w:t xml:space="preserve">išanalizuoti jų pritaikymą pensijų fondų veikloje lemiančius </w:t>
      </w:r>
      <w:r w:rsidR="00445C7E" w:rsidRPr="00490651">
        <w:t>veiksnius</w:t>
      </w:r>
      <w:r w:rsidRPr="00490651">
        <w:t>.</w:t>
      </w:r>
      <w:r w:rsidR="00445C7E" w:rsidRPr="00490651">
        <w:t xml:space="preserve"> </w:t>
      </w:r>
    </w:p>
    <w:p w:rsidR="00445C7E" w:rsidRPr="00490651" w:rsidRDefault="00445C7E" w:rsidP="00D7085D">
      <w:pPr>
        <w:pStyle w:val="Betarp"/>
        <w:spacing w:line="360" w:lineRule="auto"/>
        <w:ind w:firstLine="567"/>
        <w:rPr>
          <w:lang w:val="es-ES"/>
        </w:rPr>
      </w:pPr>
      <w:r w:rsidRPr="00490651">
        <w:rPr>
          <w:lang w:val="es-ES"/>
        </w:rPr>
        <w:t>3. Išanalizuoti II pakopos pensijų fondų investavimo teisinio reguliavimo ypatumus Lietuvoje bei išsikirti su tuo susijusias problemas.</w:t>
      </w:r>
    </w:p>
    <w:p w:rsidR="00445C7E" w:rsidRPr="00490651" w:rsidRDefault="00445C7E" w:rsidP="00D7085D">
      <w:pPr>
        <w:pStyle w:val="Betarp"/>
        <w:spacing w:line="360" w:lineRule="auto"/>
        <w:ind w:firstLine="567"/>
        <w:rPr>
          <w:lang w:val="es-ES"/>
        </w:rPr>
      </w:pPr>
      <w:r w:rsidRPr="00490651">
        <w:rPr>
          <w:lang w:val="es-ES"/>
        </w:rPr>
        <w:t>4. Pateikti išvadas dėl II pakopos pensijų fondų investavimo teisinio reguliavimo bei nurodyti tobulinimo kryptis.</w:t>
      </w:r>
    </w:p>
    <w:p w:rsidR="00445C7E" w:rsidRPr="00490651" w:rsidRDefault="00445C7E" w:rsidP="00D7085D">
      <w:pPr>
        <w:pStyle w:val="Betarp"/>
        <w:spacing w:line="360" w:lineRule="auto"/>
        <w:ind w:firstLine="567"/>
      </w:pPr>
      <w:r w:rsidRPr="00490651">
        <w:rPr>
          <w:b/>
        </w:rPr>
        <w:lastRenderedPageBreak/>
        <w:t xml:space="preserve">Tyrimo hipotezė. </w:t>
      </w:r>
      <w:r w:rsidRPr="00490651">
        <w:t xml:space="preserve">Tyrime keliama hipotezė, kad </w:t>
      </w:r>
      <w:r w:rsidR="00B23D03" w:rsidRPr="00490651">
        <w:t xml:space="preserve">dabartinis II pakopos pensijų fondų investavimo teisinis reguliavimas Lietuvoje neužtikrina </w:t>
      </w:r>
      <w:r w:rsidR="00D3700A" w:rsidRPr="00490651">
        <w:t xml:space="preserve">sėkmingos pensijų fondų veiklos ir </w:t>
      </w:r>
      <w:r w:rsidR="00B23D03" w:rsidRPr="00490651">
        <w:t>pensijų kau</w:t>
      </w:r>
      <w:r w:rsidR="002A3711" w:rsidRPr="00490651">
        <w:t>pimo daly</w:t>
      </w:r>
      <w:r w:rsidR="009123C6" w:rsidRPr="00490651">
        <w:t>vių interesų saugumo. Atsižvelgiant į tai, būtina tobulinti dabartinį reguliavimą.</w:t>
      </w:r>
    </w:p>
    <w:p w:rsidR="00445C7E" w:rsidRDefault="00445C7E" w:rsidP="00D7085D">
      <w:pPr>
        <w:pStyle w:val="Betarp"/>
        <w:spacing w:line="360" w:lineRule="auto"/>
        <w:ind w:firstLine="567"/>
      </w:pPr>
      <w:r w:rsidRPr="00490651">
        <w:rPr>
          <w:b/>
        </w:rPr>
        <w:t xml:space="preserve">Tyrimo šaltiniai. </w:t>
      </w:r>
      <w:r w:rsidR="005E7566" w:rsidRPr="00490651">
        <w:t xml:space="preserve">Šiame darbe </w:t>
      </w:r>
      <w:r w:rsidRPr="00490651">
        <w:t>remiamasi</w:t>
      </w:r>
      <w:r w:rsidRPr="00490651">
        <w:rPr>
          <w:b/>
        </w:rPr>
        <w:t xml:space="preserve"> </w:t>
      </w:r>
      <w:r w:rsidRPr="00490651">
        <w:t xml:space="preserve">Tarptautinės ekonominio bendradarbiavimo ir plėtros </w:t>
      </w:r>
      <w:r>
        <w:t xml:space="preserve">organizacijos (angl. </w:t>
      </w:r>
      <w:r w:rsidRPr="009123C6">
        <w:t>Organization f</w:t>
      </w:r>
      <w:r w:rsidRPr="00277002">
        <w:rPr>
          <w:lang w:val="en-US"/>
        </w:rPr>
        <w:t>or Economic Cooperation and Development</w:t>
      </w:r>
      <w:r>
        <w:t>, OECD) (toliau – TEBIPO), taip</w:t>
      </w:r>
      <w:r w:rsidR="001D687A">
        <w:t xml:space="preserve"> pat</w:t>
      </w:r>
      <w:r>
        <w:t xml:space="preserve"> </w:t>
      </w:r>
      <w:r w:rsidRPr="00CB262B">
        <w:t xml:space="preserve">Europos Sąjungos (toliau – ES) institucijų </w:t>
      </w:r>
      <w:r w:rsidRPr="00C42DBB">
        <w:t>atliktais tyrimais bei kitais pateiktais dokumentais.</w:t>
      </w:r>
      <w:r>
        <w:t xml:space="preserve"> </w:t>
      </w:r>
      <w:r w:rsidRPr="00CB262B">
        <w:t xml:space="preserve">Siekiant atskleisti </w:t>
      </w:r>
      <w:r>
        <w:t>nustatyto II pakopos pensijų fondų investavimo teisinio reguliavimo prielaidas Lietuvoje, analizuoja</w:t>
      </w:r>
      <w:r w:rsidR="005E7566">
        <w:t xml:space="preserve">mos ES teisės aktų nuostatos, turinčios įtakos pensijų fondų investavimo reguliavimui, taip pat </w:t>
      </w:r>
      <w:r w:rsidRPr="001A08AB">
        <w:t xml:space="preserve">Lietuvos Respublikos (toliau – LR) pensijų kaupimo veiklą reglamentuojančių įstatymų bei LR </w:t>
      </w:r>
      <w:r>
        <w:t xml:space="preserve">Civilinio kodekso </w:t>
      </w:r>
      <w:r w:rsidR="005E7566">
        <w:t xml:space="preserve">(toliau – CK) </w:t>
      </w:r>
      <w:r>
        <w:t xml:space="preserve">tam tikros nuostatos. Darbe taip pat pasitelkiama </w:t>
      </w:r>
      <w:r w:rsidR="003B04F2">
        <w:t>moksline literatūra</w:t>
      </w:r>
      <w:r>
        <w:t xml:space="preserve">, kurioje yra pasisakę lietuvių autoriai (Bitinas A., Lazutka R., Gudaitis T., Sakavičius J., Sakalauskas V. bei kt.), taip pat užsienio </w:t>
      </w:r>
      <w:r w:rsidRPr="00501D6E">
        <w:t>autoriai (</w:t>
      </w:r>
      <w:r w:rsidR="003B04F2" w:rsidRPr="00501D6E">
        <w:t>Muralidhar A</w:t>
      </w:r>
      <w:r w:rsidR="003B04F2">
        <w:t xml:space="preserve">., </w:t>
      </w:r>
      <w:r w:rsidR="002D3ECA">
        <w:t>Nunen A.</w:t>
      </w:r>
      <w:r>
        <w:t>)  Be to yra naudojamasi ir kita informacija, pateikta internete.</w:t>
      </w:r>
    </w:p>
    <w:p w:rsidR="00445C7E" w:rsidRPr="00D73DDA" w:rsidRDefault="00C42DBB" w:rsidP="00D7085D">
      <w:pPr>
        <w:pStyle w:val="Betarp"/>
        <w:spacing w:line="360" w:lineRule="auto"/>
        <w:ind w:firstLine="567"/>
      </w:pPr>
      <w:r>
        <w:rPr>
          <w:b/>
        </w:rPr>
        <w:t>Tyrimo</w:t>
      </w:r>
      <w:r w:rsidR="00445C7E" w:rsidRPr="005118C4">
        <w:rPr>
          <w:b/>
        </w:rPr>
        <w:t xml:space="preserve"> metodai. </w:t>
      </w:r>
      <w:r w:rsidR="00445C7E">
        <w:t xml:space="preserve">Darbe naudojami šie tyrimo metodai: istorinis, apibendrinimo, analitinis, lyginimo, dedukcijos ir loginis </w:t>
      </w:r>
      <w:r w:rsidR="00445C7E" w:rsidRPr="00CB262B">
        <w:t xml:space="preserve">metodas. Istorinio metodo pagalba trumpai nurodomos pensijų fondų kūrimąsi </w:t>
      </w:r>
      <w:r w:rsidR="005E7566">
        <w:t>Lietuvoje paskatinusios prielaidos</w:t>
      </w:r>
      <w:r w:rsidR="005E7566" w:rsidRPr="00D96680">
        <w:t>, taip pat patikėjimo teisės</w:t>
      </w:r>
      <w:r w:rsidR="00756F4F" w:rsidRPr="00D96680">
        <w:t xml:space="preserve"> instituto</w:t>
      </w:r>
      <w:r w:rsidR="005E7566" w:rsidRPr="00D96680">
        <w:t xml:space="preserve">, </w:t>
      </w:r>
      <w:r w:rsidR="00756F4F" w:rsidRPr="00D96680">
        <w:t>kurio skirtinga samprata turi</w:t>
      </w:r>
      <w:r w:rsidR="005E7566" w:rsidRPr="00D96680">
        <w:t xml:space="preserve"> įtakos pensijų fondų investavimo </w:t>
      </w:r>
      <w:r w:rsidR="00756F4F" w:rsidRPr="00D96680">
        <w:t xml:space="preserve">teisiniam </w:t>
      </w:r>
      <w:r w:rsidR="005E7566" w:rsidRPr="00D96680">
        <w:t>reguliavimui, atsiradimo ištakos.</w:t>
      </w:r>
      <w:r w:rsidR="00445C7E" w:rsidRPr="00D96680">
        <w:t xml:space="preserve"> </w:t>
      </w:r>
      <w:r w:rsidR="00126D5C" w:rsidRPr="00D96680">
        <w:t>Sisteminio, a</w:t>
      </w:r>
      <w:r w:rsidR="00445C7E" w:rsidRPr="00D96680">
        <w:t xml:space="preserve">nalitinio ir apibendrinimo metodų pagalba yra </w:t>
      </w:r>
      <w:r w:rsidR="00501D6E">
        <w:t>analizuojami</w:t>
      </w:r>
      <w:r w:rsidR="00126D5C">
        <w:t xml:space="preserve"> TEBIPO ir ES atlikti tyrimai bei kiti dokumentai, taip pat </w:t>
      </w:r>
      <w:r w:rsidR="003B04F2">
        <w:t xml:space="preserve">tam tikros </w:t>
      </w:r>
      <w:r w:rsidR="00126D5C">
        <w:t>ES ir LR</w:t>
      </w:r>
      <w:r w:rsidR="003B04F2">
        <w:t xml:space="preserve"> norminių teisės aktų nuostatos, susijusios su pensijų fondų investicin</w:t>
      </w:r>
      <w:r w:rsidR="00501D6E">
        <w:t xml:space="preserve">e veikla. </w:t>
      </w:r>
      <w:r w:rsidR="00126D5C">
        <w:t>Lyginamasis metodas yra naudojamas siekiant palyginti skirtingus pensijų fondų investavimo teisi</w:t>
      </w:r>
      <w:r w:rsidR="006668BA">
        <w:t xml:space="preserve">nius reguliavimo požiūrius bei </w:t>
      </w:r>
      <w:r w:rsidR="00126D5C">
        <w:t xml:space="preserve">tokio reguliavimo pritaikymą įtakojančius veiksnius. </w:t>
      </w:r>
      <w:r w:rsidR="00445C7E" w:rsidRPr="00CB262B">
        <w:t xml:space="preserve">Loginio, dedukcinio ir apibendrinimo metodų pagalba yra formuluojamos šio tyrimo išvados bei pateikiamos </w:t>
      </w:r>
      <w:r w:rsidR="00445C7E">
        <w:t>tobulinimo kryptys.</w:t>
      </w:r>
    </w:p>
    <w:p w:rsidR="00445C7E" w:rsidRPr="00D73DDA" w:rsidRDefault="00445C7E" w:rsidP="00D7085D">
      <w:pPr>
        <w:pStyle w:val="Betarp"/>
        <w:spacing w:line="360" w:lineRule="auto"/>
        <w:ind w:firstLine="567"/>
      </w:pPr>
      <w:r w:rsidRPr="005118C4">
        <w:rPr>
          <w:b/>
        </w:rPr>
        <w:t>Darbo struktūra.</w:t>
      </w:r>
      <w:r>
        <w:rPr>
          <w:b/>
        </w:rPr>
        <w:t xml:space="preserve"> </w:t>
      </w:r>
      <w:r>
        <w:t xml:space="preserve">Darbą sudaro įvadas, </w:t>
      </w:r>
      <w:r w:rsidRPr="00575079">
        <w:t xml:space="preserve">3 skyriai ir </w:t>
      </w:r>
      <w:r>
        <w:t xml:space="preserve">išvados bei nurodomos </w:t>
      </w:r>
      <w:r w:rsidRPr="00CB262B">
        <w:t xml:space="preserve">tobulinimo kryptys. </w:t>
      </w:r>
      <w:r>
        <w:t>Pirmajame skyriuje aptariama II pakopos pensijų fondų kūrimosi prielaidos, š</w:t>
      </w:r>
      <w:r w:rsidR="00ED659E">
        <w:t>ių pensijų fondų esmė ir svarba.</w:t>
      </w:r>
      <w:r>
        <w:t xml:space="preserve"> </w:t>
      </w:r>
      <w:r w:rsidR="00ED659E">
        <w:t>T</w:t>
      </w:r>
      <w:r>
        <w:t xml:space="preserve">aip pat nurodomos pagrindinės pensijų fondų </w:t>
      </w:r>
      <w:r w:rsidRPr="00CB262B">
        <w:t xml:space="preserve">investavimo teisinio </w:t>
      </w:r>
      <w:r>
        <w:t xml:space="preserve">reguliavimo prielaidos. Antrame skyriuje </w:t>
      </w:r>
      <w:r w:rsidR="00C959FE">
        <w:t>nurodomi</w:t>
      </w:r>
      <w:r>
        <w:t xml:space="preserve"> </w:t>
      </w:r>
      <w:r w:rsidR="00C959FE">
        <w:t xml:space="preserve">pensijų fondų investavimo reguliavimo metodai bei jų </w:t>
      </w:r>
      <w:r>
        <w:t>ypatumai,</w:t>
      </w:r>
      <w:r w:rsidR="00C959FE">
        <w:t xml:space="preserve"> taip pat analizuojami jų pritaikymą pensijų fondų veikloje lemiantys veiksniai,</w:t>
      </w:r>
      <w:r w:rsidR="00ED659E">
        <w:t xml:space="preserve"> o trečiame skyriuje</w:t>
      </w:r>
      <w:r>
        <w:t xml:space="preserve"> nagrinėjama II pakopos pensijų fondų investavimo teisinio reguliavimo ypatumai Lietuvoje bei su įtvirtintu reguliavimu susijusios problemos.</w:t>
      </w:r>
    </w:p>
    <w:p w:rsidR="00445C7E" w:rsidRDefault="00445C7E" w:rsidP="005A515F">
      <w:pPr>
        <w:pStyle w:val="Betarp"/>
        <w:jc w:val="center"/>
      </w:pPr>
      <w:r>
        <w:br w:type="page"/>
      </w:r>
    </w:p>
    <w:p w:rsidR="00445C7E" w:rsidRDefault="00445C7E" w:rsidP="006A0C7C">
      <w:pPr>
        <w:pStyle w:val="Betarp"/>
        <w:spacing w:line="360" w:lineRule="auto"/>
        <w:ind w:firstLine="0"/>
        <w:jc w:val="center"/>
        <w:rPr>
          <w:b/>
          <w:sz w:val="28"/>
          <w:szCs w:val="28"/>
        </w:rPr>
      </w:pPr>
    </w:p>
    <w:p w:rsidR="00445C7E" w:rsidRPr="00EC4418" w:rsidRDefault="00445C7E" w:rsidP="006A0C7C">
      <w:pPr>
        <w:pStyle w:val="Betarp"/>
        <w:spacing w:line="360" w:lineRule="auto"/>
        <w:ind w:firstLine="0"/>
        <w:jc w:val="center"/>
        <w:rPr>
          <w:b/>
          <w:sz w:val="28"/>
          <w:szCs w:val="28"/>
        </w:rPr>
      </w:pPr>
      <w:r w:rsidRPr="00EC4418">
        <w:rPr>
          <w:b/>
          <w:sz w:val="28"/>
          <w:szCs w:val="28"/>
        </w:rPr>
        <w:t>1. II PAKOPOS PENSIJŲ FONDŲ REIKŠMĖ, JŲ VEIKLOS RIZIKOS</w:t>
      </w:r>
    </w:p>
    <w:p w:rsidR="00445C7E" w:rsidRDefault="00445C7E" w:rsidP="002876F2">
      <w:pPr>
        <w:pStyle w:val="Betarp"/>
        <w:spacing w:line="360" w:lineRule="auto"/>
        <w:ind w:firstLine="0"/>
        <w:jc w:val="center"/>
        <w:rPr>
          <w:b/>
          <w:bCs/>
        </w:rPr>
      </w:pPr>
    </w:p>
    <w:p w:rsidR="00445C7E" w:rsidRPr="006A0C7C" w:rsidRDefault="00445C7E" w:rsidP="002876F2">
      <w:pPr>
        <w:pStyle w:val="Betarp"/>
        <w:spacing w:line="360" w:lineRule="auto"/>
        <w:ind w:firstLine="567"/>
        <w:rPr>
          <w:rStyle w:val="hps"/>
          <w:b/>
        </w:rPr>
      </w:pPr>
      <w:r w:rsidRPr="002876F2">
        <w:rPr>
          <w:b/>
        </w:rPr>
        <w:t xml:space="preserve">1.1. </w:t>
      </w:r>
      <w:r w:rsidRPr="002876F2">
        <w:rPr>
          <w:rStyle w:val="hps"/>
          <w:b/>
        </w:rPr>
        <w:t>Pensijų</w:t>
      </w:r>
      <w:r>
        <w:rPr>
          <w:rStyle w:val="hps"/>
          <w:b/>
        </w:rPr>
        <w:t xml:space="preserve"> sistemų pakopos</w:t>
      </w:r>
    </w:p>
    <w:p w:rsidR="00445C7E" w:rsidRDefault="00445C7E" w:rsidP="002876F2">
      <w:pPr>
        <w:pStyle w:val="Betarp"/>
        <w:spacing w:line="360" w:lineRule="auto"/>
        <w:ind w:firstLine="567"/>
      </w:pPr>
    </w:p>
    <w:p w:rsidR="00445C7E" w:rsidRPr="002A708F" w:rsidRDefault="00445C7E" w:rsidP="002876F2">
      <w:pPr>
        <w:pStyle w:val="Betarp"/>
        <w:spacing w:line="360" w:lineRule="auto"/>
        <w:ind w:firstLine="567"/>
        <w:rPr>
          <w:rStyle w:val="hps"/>
        </w:rPr>
      </w:pPr>
      <w:r w:rsidRPr="002A708F">
        <w:t xml:space="preserve">Pensinio aprūpinimo sistemos susiformavo per ilgą istorinį laikotarpį, kurios buvo veikiamos skirtingose šalyse veikusių skirtingų ekonominių, politinių bei kultūrinių sąlygų, todėl pensijų sistemos </w:t>
      </w:r>
      <w:r w:rsidRPr="002A708F">
        <w:rPr>
          <w:rStyle w:val="hps"/>
        </w:rPr>
        <w:t>skiriasi</w:t>
      </w:r>
      <w:r w:rsidRPr="002A708F">
        <w:t xml:space="preserve"> </w:t>
      </w:r>
      <w:r w:rsidRPr="002A708F">
        <w:rPr>
          <w:rStyle w:val="hps"/>
        </w:rPr>
        <w:t>visose</w:t>
      </w:r>
      <w:r w:rsidRPr="002A708F">
        <w:t xml:space="preserve"> pasaulio</w:t>
      </w:r>
      <w:r w:rsidRPr="002A708F">
        <w:rPr>
          <w:rStyle w:val="hps"/>
        </w:rPr>
        <w:t xml:space="preserve"> valstybėse</w:t>
      </w:r>
      <w:r w:rsidR="0068798F">
        <w:rPr>
          <w:rStyle w:val="hps"/>
        </w:rPr>
        <w:t>.</w:t>
      </w:r>
      <w:r w:rsidR="0068798F">
        <w:rPr>
          <w:rStyle w:val="Puslapioinaosnuoroda"/>
        </w:rPr>
        <w:footnoteReference w:id="7"/>
      </w:r>
      <w:r w:rsidR="00A9259E">
        <w:t xml:space="preserve"> Be to</w:t>
      </w:r>
      <w:r w:rsidRPr="002A708F">
        <w:t>, pastaruoju metu,</w:t>
      </w:r>
      <w:r w:rsidR="00A9259E">
        <w:t xml:space="preserve"> kaip nurodoma „Žaliojoje knygoje“</w:t>
      </w:r>
      <w:r w:rsidR="00A9259E">
        <w:rPr>
          <w:rStyle w:val="Puslapioinaosnuoroda"/>
        </w:rPr>
        <w:footnoteReference w:id="8"/>
      </w:r>
      <w:r w:rsidR="00A9259E">
        <w:t xml:space="preserve">, </w:t>
      </w:r>
      <w:r w:rsidRPr="002A708F">
        <w:t xml:space="preserve"> v</w:t>
      </w:r>
      <w:r w:rsidRPr="002A708F">
        <w:rPr>
          <w:lang w:eastAsia="lt-LT"/>
        </w:rPr>
        <w:t xml:space="preserve">isame pasaulyje pastebima perėjimo nuo vienpakopių prie daugiapakopių pensijų sistemų tendencija. </w:t>
      </w:r>
      <w:r w:rsidRPr="002A708F">
        <w:t xml:space="preserve">Šis tyrimas negali apimti </w:t>
      </w:r>
      <w:r w:rsidRPr="002A708F">
        <w:rPr>
          <w:rStyle w:val="hps"/>
        </w:rPr>
        <w:t>kiekvienos valstybės narės analizės</w:t>
      </w:r>
      <w:r w:rsidRPr="002A708F">
        <w:t>, tačiau</w:t>
      </w:r>
      <w:r w:rsidR="00ED659E">
        <w:t>,</w:t>
      </w:r>
      <w:r w:rsidRPr="002A708F">
        <w:t xml:space="preserve"> siekiant parodyti Lietuvoje bei kitose šalyse veikiančių II pakopos pensijų fondų vietą pensijų sistemoje, </w:t>
      </w:r>
      <w:r w:rsidR="00ED659E">
        <w:rPr>
          <w:rStyle w:val="hps"/>
        </w:rPr>
        <w:t>šiame poskyry</w:t>
      </w:r>
      <w:r w:rsidRPr="002A708F">
        <w:rPr>
          <w:rStyle w:val="hps"/>
        </w:rPr>
        <w:t>je pateikiama</w:t>
      </w:r>
      <w:r w:rsidRPr="002A708F">
        <w:t xml:space="preserve"> </w:t>
      </w:r>
      <w:r w:rsidRPr="002A708F">
        <w:rPr>
          <w:rStyle w:val="hps"/>
        </w:rPr>
        <w:t>bendra valstybių pensijų sistemų</w:t>
      </w:r>
      <w:r w:rsidRPr="002A708F">
        <w:t xml:space="preserve"> </w:t>
      </w:r>
      <w:r w:rsidRPr="002A708F">
        <w:rPr>
          <w:rStyle w:val="hps"/>
        </w:rPr>
        <w:t>apžvalga. Dažniausiai yra išskiriamos trys senatvės apsaugos sistemų pakopos.</w:t>
      </w:r>
    </w:p>
    <w:p w:rsidR="00445C7E" w:rsidRPr="002A708F" w:rsidRDefault="00445C7E" w:rsidP="006A0C7C">
      <w:pPr>
        <w:pStyle w:val="Betarp"/>
        <w:spacing w:line="360" w:lineRule="auto"/>
        <w:ind w:firstLine="567"/>
        <w:rPr>
          <w:lang w:eastAsia="lt-LT"/>
        </w:rPr>
      </w:pPr>
      <w:r w:rsidRPr="002A708F">
        <w:rPr>
          <w:lang w:eastAsia="lt-LT"/>
        </w:rPr>
        <w:t xml:space="preserve">Įdomu tai, kad </w:t>
      </w:r>
      <w:r w:rsidRPr="002A708F">
        <w:rPr>
          <w:rStyle w:val="hps"/>
        </w:rPr>
        <w:t>Pasaulio Banko ir ES dokumentuose pensijų pakopų samprata skiriasi, todėl į</w:t>
      </w:r>
      <w:r w:rsidRPr="002A708F">
        <w:rPr>
          <w:lang w:eastAsia="lt-LT"/>
        </w:rPr>
        <w:t xml:space="preserve">vairių valstybių pensijų sistemos varijuoja ir skiriasi ne tik struktūra, bet taip pat ir vartojama terminologija. </w:t>
      </w:r>
    </w:p>
    <w:p w:rsidR="00445C7E" w:rsidRPr="002A708F" w:rsidRDefault="00445C7E" w:rsidP="006A0C7C">
      <w:pPr>
        <w:pStyle w:val="Betarp"/>
        <w:spacing w:line="360" w:lineRule="auto"/>
        <w:ind w:firstLine="567"/>
        <w:rPr>
          <w:lang w:eastAsia="lt-LT"/>
        </w:rPr>
      </w:pPr>
      <w:r w:rsidRPr="002A708F">
        <w:rPr>
          <w:b/>
          <w:lang w:eastAsia="lt-LT"/>
        </w:rPr>
        <w:t>Pensijų pakopų samprata ES.</w:t>
      </w:r>
      <w:r w:rsidRPr="002A708F">
        <w:rPr>
          <w:lang w:eastAsia="lt-LT"/>
        </w:rPr>
        <w:t xml:space="preserve"> Platesne prasme, asmenys gali gauti pensijas iš:</w:t>
      </w:r>
    </w:p>
    <w:p w:rsidR="00445C7E" w:rsidRPr="002A708F" w:rsidRDefault="00445C7E" w:rsidP="006A0C7C">
      <w:pPr>
        <w:pStyle w:val="Betarp"/>
        <w:spacing w:line="360" w:lineRule="auto"/>
        <w:ind w:firstLine="567"/>
        <w:rPr>
          <w:lang w:eastAsia="lt-LT"/>
        </w:rPr>
      </w:pPr>
      <w:r w:rsidRPr="002A708F">
        <w:rPr>
          <w:lang w:eastAsia="lt-LT"/>
        </w:rPr>
        <w:t>- įstatymais numatytų socialinio draudimo schemų (1 pakopa). Socialinio draudimo pensijas įstatymais apibrėžia ir jų veikimą užtikrina valstybė.</w:t>
      </w:r>
    </w:p>
    <w:p w:rsidR="00445C7E" w:rsidRPr="002A708F" w:rsidRDefault="00445C7E" w:rsidP="006A0C7C">
      <w:pPr>
        <w:pStyle w:val="Betarp"/>
        <w:spacing w:line="360" w:lineRule="auto"/>
        <w:ind w:firstLine="567"/>
        <w:rPr>
          <w:lang w:eastAsia="lt-LT"/>
        </w:rPr>
      </w:pPr>
      <w:r w:rsidRPr="002A708F">
        <w:rPr>
          <w:lang w:eastAsia="lt-LT"/>
        </w:rPr>
        <w:t>- darbdavio (ang. occupational) pensijų sistemų, kitaip dar vadinamųjų profesinių pensijų schemų (2 pakopa). Šias pensijas teikia individualūs darbdaviai arba jų asociacijos, ar</w:t>
      </w:r>
      <w:r w:rsidR="00ED659E">
        <w:rPr>
          <w:lang w:eastAsia="lt-LT"/>
        </w:rPr>
        <w:t>ba</w:t>
      </w:r>
      <w:r w:rsidRPr="002A708F">
        <w:rPr>
          <w:lang w:eastAsia="lt-LT"/>
        </w:rPr>
        <w:t xml:space="preserve"> profesinės sąjungos.</w:t>
      </w:r>
    </w:p>
    <w:p w:rsidR="00445C7E" w:rsidRPr="006A0C7C" w:rsidRDefault="00445C7E" w:rsidP="006A0C7C">
      <w:pPr>
        <w:pStyle w:val="Betarp"/>
        <w:spacing w:line="360" w:lineRule="auto"/>
        <w:ind w:firstLine="567"/>
        <w:rPr>
          <w:lang w:eastAsia="lt-LT"/>
        </w:rPr>
      </w:pPr>
      <w:r w:rsidRPr="002A708F">
        <w:rPr>
          <w:lang w:eastAsia="lt-LT"/>
        </w:rPr>
        <w:t xml:space="preserve">- individualių </w:t>
      </w:r>
      <w:r w:rsidRPr="006A0C7C">
        <w:rPr>
          <w:lang w:eastAsia="lt-LT"/>
        </w:rPr>
        <w:t>pensijų santaupų, kaupiamų remiantis atskirais savanoriškais sprendimais, kurie nepriklauso nuo darbinės padėties (3 pakopa).</w:t>
      </w:r>
      <w:r w:rsidRPr="006A0C7C">
        <w:rPr>
          <w:rStyle w:val="Puslapioinaosnuoroda"/>
          <w:lang w:eastAsia="lt-LT"/>
        </w:rPr>
        <w:footnoteReference w:id="9"/>
      </w:r>
    </w:p>
    <w:p w:rsidR="00445C7E" w:rsidRDefault="00445C7E" w:rsidP="006A0C7C">
      <w:pPr>
        <w:pStyle w:val="Betarp"/>
        <w:spacing w:line="360" w:lineRule="auto"/>
        <w:ind w:firstLine="567"/>
      </w:pPr>
      <w:r w:rsidRPr="002876F2">
        <w:rPr>
          <w:lang w:eastAsia="lt-LT"/>
        </w:rPr>
        <w:t xml:space="preserve">Paprastai ši pensijų pakopų samprata randama </w:t>
      </w:r>
      <w:r w:rsidRPr="00491501">
        <w:rPr>
          <w:lang w:eastAsia="lt-LT"/>
        </w:rPr>
        <w:t xml:space="preserve">ES </w:t>
      </w:r>
      <w:r w:rsidRPr="00C46468">
        <w:rPr>
          <w:lang w:eastAsia="lt-LT"/>
        </w:rPr>
        <w:t xml:space="preserve">dokumentuose, tačiau </w:t>
      </w:r>
      <w:r w:rsidRPr="00491501">
        <w:rPr>
          <w:lang w:eastAsia="lt-LT"/>
        </w:rPr>
        <w:t>nėra įtvirtinta ES</w:t>
      </w:r>
      <w:r w:rsidRPr="002876F2">
        <w:rPr>
          <w:lang w:eastAsia="lt-LT"/>
        </w:rPr>
        <w:t xml:space="preserve"> teisės aktais. </w:t>
      </w:r>
      <w:r w:rsidRPr="002876F2">
        <w:t xml:space="preserve">Toks </w:t>
      </w:r>
      <w:r w:rsidRPr="006A0C7C">
        <w:t>skirstymas</w:t>
      </w:r>
      <w:r w:rsidR="00DC1EC3" w:rsidRPr="00501D6E">
        <w:t>,</w:t>
      </w:r>
      <w:r w:rsidRPr="00501D6E">
        <w:t xml:space="preserve"> </w:t>
      </w:r>
      <w:r w:rsidR="00DC1EC3" w:rsidRPr="00501D6E">
        <w:t xml:space="preserve">kaip nurodo Lazutka R., </w:t>
      </w:r>
      <w:r w:rsidRPr="00501D6E">
        <w:t xml:space="preserve">remiasi </w:t>
      </w:r>
      <w:r w:rsidRPr="006A0C7C">
        <w:t>gyve</w:t>
      </w:r>
      <w:r w:rsidR="00DC1EC3">
        <w:t>ntojų aprėpimo kriterijumi -</w:t>
      </w:r>
      <w:r w:rsidRPr="006A0C7C">
        <w:t xml:space="preserve"> kiekviena pakopa apima skirtingą gyventojų skaičių. Pirmoji apima daugiausiai (dažnai visus ar b</w:t>
      </w:r>
      <w:r w:rsidR="00ED659E">
        <w:t xml:space="preserve">ent </w:t>
      </w:r>
      <w:r w:rsidR="00DC1EC3">
        <w:t xml:space="preserve">jau </w:t>
      </w:r>
      <w:r w:rsidR="00ED659E">
        <w:t>pagrindinę dalį darbuotojų).</w:t>
      </w:r>
      <w:r w:rsidRPr="006A0C7C">
        <w:t xml:space="preserve"> </w:t>
      </w:r>
      <w:r w:rsidR="00ED659E">
        <w:t>A</w:t>
      </w:r>
      <w:r w:rsidRPr="006A0C7C">
        <w:t>ntroji</w:t>
      </w:r>
      <w:r>
        <w:t xml:space="preserve"> pakopa -</w:t>
      </w:r>
      <w:r w:rsidRPr="006A0C7C">
        <w:t xml:space="preserve"> atskiras darbuotojų grupes, o trečioji – tik tuos individus, kurie draudžiasi savo noru.</w:t>
      </w:r>
      <w:r w:rsidRPr="00B2612A">
        <w:rPr>
          <w:b/>
        </w:rPr>
        <w:t xml:space="preserve"> </w:t>
      </w:r>
      <w:r w:rsidRPr="00B2612A">
        <w:t xml:space="preserve">Kiekvienai iš </w:t>
      </w:r>
      <w:r w:rsidR="00DC1EC3">
        <w:t xml:space="preserve">šių </w:t>
      </w:r>
      <w:r w:rsidRPr="00B2612A">
        <w:t xml:space="preserve">trijų pakopų priskiriamos pensijos </w:t>
      </w:r>
      <w:r w:rsidR="00DC1EC3">
        <w:t xml:space="preserve">taip pat </w:t>
      </w:r>
      <w:r w:rsidRPr="00B2612A">
        <w:t xml:space="preserve">turi ir bendrų </w:t>
      </w:r>
      <w:r w:rsidRPr="00B2612A">
        <w:lastRenderedPageBreak/>
        <w:t xml:space="preserve">bruožų: pirmos ir antros pakopos pensijos remiasi darbu, </w:t>
      </w:r>
      <w:r w:rsidR="00DC1EC3">
        <w:t xml:space="preserve">o </w:t>
      </w:r>
      <w:r w:rsidRPr="00B2612A">
        <w:t>antros ir trečios pakopos panašios tuo, kad jos abi gali būti organizuojamos kaupimo principu.</w:t>
      </w:r>
      <w:r w:rsidRPr="00B2612A">
        <w:rPr>
          <w:rStyle w:val="Puslapioinaosnuoroda"/>
          <w:lang w:eastAsia="lt-LT"/>
        </w:rPr>
        <w:footnoteReference w:id="10"/>
      </w:r>
    </w:p>
    <w:p w:rsidR="00445C7E" w:rsidRPr="00B53CCF" w:rsidRDefault="00445C7E" w:rsidP="000414FA">
      <w:pPr>
        <w:pStyle w:val="Betarp"/>
        <w:spacing w:line="360" w:lineRule="auto"/>
        <w:ind w:firstLine="567"/>
        <w:rPr>
          <w:lang w:eastAsia="lt-LT"/>
        </w:rPr>
      </w:pPr>
      <w:r w:rsidRPr="00B53CCF">
        <w:rPr>
          <w:lang w:eastAsia="lt-LT"/>
        </w:rPr>
        <w:t>Daugelis ES valstybių narių ėmėsi veiksmų reformuoti savo pensijų sistemas. Svarbu pažymėti, kad be profesinių ir privačių pensijų sistemų, priklausančių 2 ir 3 pakopoms, plėtojimo, jos reformuoja savo socialinio draudimo sistemas įvesdamos ir plėtodamos finansavimo elementus, papildančius tradicines einamųjų finansavimo sistemų (angl. pay-as-you-go (PAYG)) struktūras.</w:t>
      </w:r>
      <w:r w:rsidRPr="002A708F">
        <w:rPr>
          <w:rStyle w:val="Puslapioinaosnuoroda"/>
        </w:rPr>
        <w:footnoteReference w:id="11"/>
      </w:r>
      <w:r w:rsidRPr="002A708F">
        <w:rPr>
          <w:lang w:eastAsia="lt-LT"/>
        </w:rPr>
        <w:t xml:space="preserve"> </w:t>
      </w:r>
      <w:r w:rsidRPr="00B53CCF">
        <w:rPr>
          <w:rStyle w:val="hps"/>
        </w:rPr>
        <w:t>1 pav.</w:t>
      </w:r>
      <w:r w:rsidRPr="00B53CCF">
        <w:t xml:space="preserve"> </w:t>
      </w:r>
      <w:r w:rsidRPr="00B53CCF">
        <w:rPr>
          <w:rStyle w:val="hps"/>
        </w:rPr>
        <w:t>pateikiama bendra</w:t>
      </w:r>
      <w:r w:rsidRPr="00B53CCF">
        <w:t xml:space="preserve"> </w:t>
      </w:r>
      <w:r w:rsidRPr="00B53CCF">
        <w:rPr>
          <w:rStyle w:val="hps"/>
        </w:rPr>
        <w:t>pensijų</w:t>
      </w:r>
      <w:r w:rsidRPr="00B53CCF">
        <w:t xml:space="preserve"> </w:t>
      </w:r>
      <w:r w:rsidR="000414FA">
        <w:rPr>
          <w:rStyle w:val="hps"/>
        </w:rPr>
        <w:t>sistemos</w:t>
      </w:r>
      <w:r w:rsidRPr="00B53CCF">
        <w:rPr>
          <w:rStyle w:val="hps"/>
        </w:rPr>
        <w:t xml:space="preserve"> klasifikacija</w:t>
      </w:r>
      <w:r w:rsidRPr="00B53CCF">
        <w:t xml:space="preserve">, </w:t>
      </w:r>
      <w:r w:rsidRPr="00B53CCF">
        <w:rPr>
          <w:rStyle w:val="hps"/>
        </w:rPr>
        <w:t>suskirstyta pagal</w:t>
      </w:r>
      <w:r w:rsidRPr="00B53CCF">
        <w:t xml:space="preserve"> </w:t>
      </w:r>
      <w:r w:rsidRPr="00B53CCF">
        <w:rPr>
          <w:rStyle w:val="hps"/>
        </w:rPr>
        <w:t>pakopas</w:t>
      </w:r>
      <w:r w:rsidRPr="00B53CCF">
        <w:t>.</w:t>
      </w:r>
    </w:p>
    <w:p w:rsidR="00445C7E" w:rsidRPr="00800AAB" w:rsidRDefault="00445C7E" w:rsidP="007E32D1">
      <w:pPr>
        <w:pStyle w:val="Betarp"/>
        <w:spacing w:line="360" w:lineRule="auto"/>
        <w:ind w:firstLine="567"/>
        <w:rPr>
          <w:color w:val="943634"/>
          <w:lang w:eastAsia="lt-LT"/>
        </w:rPr>
      </w:pPr>
    </w:p>
    <w:p w:rsidR="00445C7E" w:rsidRDefault="002D33D9" w:rsidP="00195F38">
      <w:pPr>
        <w:spacing w:after="0" w:line="360" w:lineRule="auto"/>
        <w:jc w:val="both"/>
      </w:pPr>
      <w:r>
        <w:rPr>
          <w:noProof/>
          <w:lang w:eastAsia="lt-LT"/>
        </w:rPr>
        <w:drawing>
          <wp:inline distT="0" distB="0" distL="0" distR="0" wp14:anchorId="18ADEC14" wp14:editId="63466A05">
            <wp:extent cx="6166884" cy="2753833"/>
            <wp:effectExtent l="0" t="0" r="0" b="46990"/>
            <wp:docPr id="13"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5C7E" w:rsidRPr="00D731EC" w:rsidRDefault="00445C7E" w:rsidP="007E32D1">
      <w:pPr>
        <w:pStyle w:val="Betarp"/>
        <w:spacing w:line="360" w:lineRule="auto"/>
        <w:ind w:firstLine="567"/>
        <w:rPr>
          <w:b/>
          <w:lang w:eastAsia="lt-LT"/>
        </w:rPr>
      </w:pPr>
    </w:p>
    <w:p w:rsidR="00483370" w:rsidRDefault="00445C7E" w:rsidP="00483370">
      <w:pPr>
        <w:pStyle w:val="Betarp"/>
        <w:spacing w:line="360" w:lineRule="auto"/>
        <w:ind w:firstLine="567"/>
        <w:rPr>
          <w:sz w:val="20"/>
          <w:szCs w:val="20"/>
          <w:lang w:val="en-US" w:eastAsia="lt-LT"/>
        </w:rPr>
      </w:pPr>
      <w:r w:rsidRPr="008331D9">
        <w:rPr>
          <w:b/>
          <w:sz w:val="20"/>
          <w:szCs w:val="20"/>
          <w:lang w:eastAsia="lt-LT"/>
        </w:rPr>
        <w:t xml:space="preserve">Šaltinis: </w:t>
      </w:r>
      <w:r w:rsidRPr="008331D9">
        <w:rPr>
          <w:sz w:val="20"/>
          <w:szCs w:val="20"/>
          <w:lang w:val="en-US" w:eastAsia="lt-LT"/>
        </w:rPr>
        <w:t>European Parliament, Directorate General for Internal Policies. Pension systems in the EU – contingent</w:t>
      </w:r>
      <w:r w:rsidRPr="008331D9">
        <w:rPr>
          <w:sz w:val="20"/>
          <w:szCs w:val="20"/>
          <w:lang w:eastAsia="lt-LT"/>
        </w:rPr>
        <w:t xml:space="preserve"> </w:t>
      </w:r>
      <w:r w:rsidRPr="008331D9">
        <w:rPr>
          <w:sz w:val="20"/>
          <w:szCs w:val="20"/>
          <w:lang w:val="en-US" w:eastAsia="lt-LT"/>
        </w:rPr>
        <w:t xml:space="preserve">liabilities and assets in the public and private sector. </w:t>
      </w:r>
    </w:p>
    <w:p w:rsidR="00445C7E" w:rsidRPr="00483370" w:rsidRDefault="00173912" w:rsidP="00483370">
      <w:pPr>
        <w:pStyle w:val="Betarp"/>
        <w:spacing w:line="360" w:lineRule="auto"/>
        <w:ind w:firstLine="0"/>
        <w:rPr>
          <w:sz w:val="20"/>
          <w:szCs w:val="20"/>
          <w:lang w:val="es-ES" w:eastAsia="lt-LT"/>
        </w:rPr>
      </w:pPr>
      <w:hyperlink r:id="rId15" w:history="1">
        <w:r w:rsidR="000414FA" w:rsidRPr="000414FA">
          <w:rPr>
            <w:rStyle w:val="Hipersaitas"/>
            <w:color w:val="auto"/>
            <w:sz w:val="20"/>
            <w:szCs w:val="20"/>
            <w:lang w:val="es-ES"/>
          </w:rPr>
          <w:t>http://www.europarl.europa.eu/document/activities/cont/201111/20111121ATT32055/20111121ATT32055EN.pdf</w:t>
        </w:r>
      </w:hyperlink>
      <w:r w:rsidR="000414FA" w:rsidRPr="000414FA">
        <w:rPr>
          <w:sz w:val="20"/>
          <w:szCs w:val="20"/>
          <w:lang w:val="es-ES"/>
        </w:rPr>
        <w:t xml:space="preserve"> [</w:t>
      </w:r>
      <w:r w:rsidR="000414FA" w:rsidRPr="000414FA">
        <w:rPr>
          <w:sz w:val="20"/>
          <w:szCs w:val="20"/>
        </w:rPr>
        <w:t xml:space="preserve">žiūrėta </w:t>
      </w:r>
      <w:r w:rsidR="000414FA" w:rsidRPr="000414FA">
        <w:rPr>
          <w:sz w:val="20"/>
          <w:szCs w:val="20"/>
          <w:lang w:val="es-ES"/>
        </w:rPr>
        <w:t>2013 02 26]</w:t>
      </w:r>
      <w:r w:rsidR="000414FA" w:rsidRPr="000414FA">
        <w:rPr>
          <w:sz w:val="20"/>
          <w:szCs w:val="20"/>
        </w:rPr>
        <w:t>.</w:t>
      </w:r>
      <w:r w:rsidR="00483370">
        <w:rPr>
          <w:sz w:val="20"/>
          <w:szCs w:val="20"/>
        </w:rPr>
        <w:t xml:space="preserve"> </w:t>
      </w:r>
      <w:r w:rsidR="00483370" w:rsidRPr="00661412">
        <w:rPr>
          <w:sz w:val="20"/>
          <w:szCs w:val="20"/>
          <w:lang w:eastAsia="lt-LT"/>
        </w:rPr>
        <w:t>p. 26</w:t>
      </w:r>
      <w:r w:rsidR="00483370" w:rsidRPr="00483370">
        <w:rPr>
          <w:sz w:val="20"/>
          <w:szCs w:val="20"/>
          <w:lang w:val="es-ES" w:eastAsia="lt-LT"/>
        </w:rPr>
        <w:t>.</w:t>
      </w:r>
    </w:p>
    <w:p w:rsidR="00445C7E" w:rsidRDefault="00445C7E" w:rsidP="0021249B">
      <w:pPr>
        <w:pStyle w:val="Betarp"/>
        <w:ind w:firstLine="567"/>
        <w:jc w:val="center"/>
        <w:rPr>
          <w:lang w:eastAsia="lt-LT"/>
        </w:rPr>
      </w:pPr>
    </w:p>
    <w:p w:rsidR="00445C7E" w:rsidRPr="00C8376F" w:rsidRDefault="00445C7E" w:rsidP="0021249B">
      <w:pPr>
        <w:pStyle w:val="Betarp"/>
        <w:ind w:firstLine="567"/>
        <w:jc w:val="center"/>
        <w:rPr>
          <w:sz w:val="20"/>
          <w:szCs w:val="20"/>
          <w:lang w:eastAsia="lt-LT"/>
        </w:rPr>
      </w:pPr>
      <w:r w:rsidRPr="00C8376F">
        <w:rPr>
          <w:sz w:val="20"/>
          <w:szCs w:val="20"/>
          <w:lang w:eastAsia="lt-LT"/>
        </w:rPr>
        <w:t xml:space="preserve">1 pav. </w:t>
      </w:r>
      <w:r w:rsidRPr="00C8376F">
        <w:rPr>
          <w:b/>
          <w:sz w:val="20"/>
          <w:szCs w:val="20"/>
          <w:lang w:eastAsia="lt-LT"/>
        </w:rPr>
        <w:t>Pensijų sistemų klasifikacija</w:t>
      </w:r>
    </w:p>
    <w:p w:rsidR="00445C7E" w:rsidRDefault="00445C7E" w:rsidP="0099230B">
      <w:pPr>
        <w:pStyle w:val="Betarp"/>
        <w:spacing w:line="360" w:lineRule="auto"/>
        <w:rPr>
          <w:lang w:eastAsia="lt-LT"/>
        </w:rPr>
      </w:pPr>
    </w:p>
    <w:p w:rsidR="00445C7E" w:rsidRPr="00690A3A" w:rsidRDefault="00445C7E" w:rsidP="0021249B">
      <w:pPr>
        <w:pStyle w:val="Betarp"/>
        <w:spacing w:line="360" w:lineRule="auto"/>
        <w:ind w:firstLine="567"/>
        <w:rPr>
          <w:rStyle w:val="hps"/>
        </w:rPr>
      </w:pPr>
      <w:r w:rsidRPr="00B240AC">
        <w:t xml:space="preserve">Aktyvų </w:t>
      </w:r>
      <w:r w:rsidRPr="00B240AC">
        <w:rPr>
          <w:rStyle w:val="hps"/>
        </w:rPr>
        <w:t>viešojo sektoriaus</w:t>
      </w:r>
      <w:r w:rsidRPr="00B240AC">
        <w:t xml:space="preserve"> dalyvavimą parodo valstybinė socialinio draudimo sistema, kurią sudaro einamoji pensijų sistema ir įstatymais numatytos privačiai</w:t>
      </w:r>
      <w:r>
        <w:t xml:space="preserve"> finansuojamos pensijų schemos (</w:t>
      </w:r>
      <w:r w:rsidRPr="00B240AC">
        <w:rPr>
          <w:rStyle w:val="hps"/>
        </w:rPr>
        <w:t>1</w:t>
      </w:r>
      <w:r w:rsidRPr="00B240AC">
        <w:t xml:space="preserve"> </w:t>
      </w:r>
      <w:r w:rsidRPr="00B240AC">
        <w:rPr>
          <w:rStyle w:val="hps"/>
        </w:rPr>
        <w:t>pav.</w:t>
      </w:r>
      <w:r>
        <w:rPr>
          <w:rStyle w:val="hps"/>
        </w:rPr>
        <w:t xml:space="preserve">). </w:t>
      </w:r>
      <w:r w:rsidRPr="00B240AC">
        <w:t xml:space="preserve">Toks valstybinės socialinio draudimo sistemos suskaidymas </w:t>
      </w:r>
      <w:r w:rsidRPr="00B240AC">
        <w:rPr>
          <w:rStyle w:val="hps"/>
        </w:rPr>
        <w:t>atsirado</w:t>
      </w:r>
      <w:r w:rsidRPr="00B240AC">
        <w:t xml:space="preserve"> </w:t>
      </w:r>
      <w:r w:rsidRPr="00B240AC">
        <w:rPr>
          <w:rStyle w:val="hps"/>
        </w:rPr>
        <w:t>neseniai</w:t>
      </w:r>
      <w:r w:rsidRPr="008331D9">
        <w:t xml:space="preserve">, </w:t>
      </w:r>
      <w:r w:rsidRPr="008331D9">
        <w:rPr>
          <w:rStyle w:val="hps"/>
        </w:rPr>
        <w:t>kadangi kai kurios šalys</w:t>
      </w:r>
      <w:r w:rsidRPr="008331D9">
        <w:t xml:space="preserve"> </w:t>
      </w:r>
      <w:r w:rsidRPr="008331D9">
        <w:rPr>
          <w:rStyle w:val="hps"/>
        </w:rPr>
        <w:t>perdavė</w:t>
      </w:r>
      <w:r w:rsidRPr="008331D9">
        <w:t xml:space="preserve"> </w:t>
      </w:r>
      <w:r w:rsidRPr="008331D9">
        <w:rPr>
          <w:rStyle w:val="hps"/>
        </w:rPr>
        <w:t>dalį</w:t>
      </w:r>
      <w:r w:rsidRPr="008331D9">
        <w:t xml:space="preserve"> </w:t>
      </w:r>
      <w:r w:rsidRPr="008331D9">
        <w:rPr>
          <w:rStyle w:val="hps"/>
        </w:rPr>
        <w:t>savo</w:t>
      </w:r>
      <w:r w:rsidRPr="008331D9">
        <w:t xml:space="preserve"> </w:t>
      </w:r>
      <w:r w:rsidRPr="008331D9">
        <w:rPr>
          <w:rStyle w:val="hps"/>
        </w:rPr>
        <w:t>socialinio draudimo pensijų sistemų</w:t>
      </w:r>
      <w:r w:rsidRPr="008331D9">
        <w:t xml:space="preserve"> </w:t>
      </w:r>
      <w:r w:rsidRPr="008331D9">
        <w:rPr>
          <w:rStyle w:val="hps"/>
        </w:rPr>
        <w:t>į</w:t>
      </w:r>
      <w:r w:rsidRPr="008331D9">
        <w:t xml:space="preserve"> </w:t>
      </w:r>
      <w:r w:rsidRPr="008331D9">
        <w:rPr>
          <w:rStyle w:val="hps"/>
        </w:rPr>
        <w:t>kaupimo sistemas</w:t>
      </w:r>
      <w:r w:rsidRPr="008331D9">
        <w:t>,</w:t>
      </w:r>
      <w:r w:rsidRPr="00B240AC">
        <w:t xml:space="preserve"> kurias paprastai </w:t>
      </w:r>
      <w:r w:rsidRPr="00B240AC">
        <w:rPr>
          <w:rStyle w:val="hps"/>
        </w:rPr>
        <w:t>įgyvendina ir valdo</w:t>
      </w:r>
      <w:r w:rsidRPr="00B240AC">
        <w:t xml:space="preserve"> </w:t>
      </w:r>
      <w:r w:rsidRPr="00B240AC">
        <w:rPr>
          <w:rStyle w:val="hps"/>
        </w:rPr>
        <w:t>privačios institucijos</w:t>
      </w:r>
      <w:r w:rsidRPr="00B240AC">
        <w:t xml:space="preserve">. Sąlygos </w:t>
      </w:r>
      <w:r w:rsidRPr="00B240AC">
        <w:rPr>
          <w:rStyle w:val="hps"/>
        </w:rPr>
        <w:t>ir dalyvavimas</w:t>
      </w:r>
      <w:r w:rsidRPr="00B240AC">
        <w:t xml:space="preserve"> </w:t>
      </w:r>
      <w:r w:rsidRPr="00B240AC">
        <w:rPr>
          <w:rStyle w:val="hps"/>
        </w:rPr>
        <w:t>pensijų sistemose</w:t>
      </w:r>
      <w:r w:rsidRPr="00B240AC">
        <w:t xml:space="preserve"> </w:t>
      </w:r>
      <w:r w:rsidRPr="00B240AC">
        <w:rPr>
          <w:rStyle w:val="hps"/>
        </w:rPr>
        <w:t>paprastai yra</w:t>
      </w:r>
      <w:r w:rsidRPr="00B240AC">
        <w:t xml:space="preserve"> </w:t>
      </w:r>
      <w:r w:rsidRPr="00B240AC">
        <w:rPr>
          <w:rStyle w:val="hps"/>
        </w:rPr>
        <w:t>numatyti įstatymais</w:t>
      </w:r>
      <w:r w:rsidRPr="00B240AC">
        <w:t xml:space="preserve">. Valstybė </w:t>
      </w:r>
      <w:r w:rsidRPr="00B240AC">
        <w:rPr>
          <w:rStyle w:val="hps"/>
        </w:rPr>
        <w:t>vaidina</w:t>
      </w:r>
      <w:r w:rsidRPr="00B240AC">
        <w:t xml:space="preserve"> </w:t>
      </w:r>
      <w:r w:rsidRPr="00B240AC">
        <w:rPr>
          <w:rStyle w:val="hps"/>
        </w:rPr>
        <w:t>pagrindinį vaidmenį</w:t>
      </w:r>
      <w:r w:rsidRPr="00B240AC">
        <w:t xml:space="preserve"> </w:t>
      </w:r>
      <w:r w:rsidRPr="00B240AC">
        <w:rPr>
          <w:rStyle w:val="hps"/>
        </w:rPr>
        <w:t>šių schemų</w:t>
      </w:r>
      <w:r w:rsidRPr="00B240AC">
        <w:t xml:space="preserve"> </w:t>
      </w:r>
      <w:r w:rsidRPr="00B240AC">
        <w:rPr>
          <w:rStyle w:val="hps"/>
        </w:rPr>
        <w:t>ir</w:t>
      </w:r>
      <w:r w:rsidRPr="00B240AC">
        <w:t xml:space="preserve"> </w:t>
      </w:r>
      <w:r w:rsidRPr="00B240AC">
        <w:rPr>
          <w:rStyle w:val="hps"/>
        </w:rPr>
        <w:t>jų mechanizmų kūrime</w:t>
      </w:r>
      <w:r w:rsidRPr="00B240AC">
        <w:t xml:space="preserve"> </w:t>
      </w:r>
      <w:r w:rsidRPr="00B240AC">
        <w:rPr>
          <w:rStyle w:val="hps"/>
        </w:rPr>
        <w:t>(</w:t>
      </w:r>
      <w:r w:rsidRPr="00B240AC">
        <w:t xml:space="preserve">įmokų </w:t>
      </w:r>
      <w:r w:rsidRPr="00B240AC">
        <w:rPr>
          <w:rStyle w:val="hps"/>
        </w:rPr>
        <w:t>rinkimas</w:t>
      </w:r>
      <w:r w:rsidRPr="00B240AC">
        <w:t xml:space="preserve"> </w:t>
      </w:r>
      <w:r w:rsidRPr="00B240AC">
        <w:rPr>
          <w:rStyle w:val="hps"/>
        </w:rPr>
        <w:t>ir t.t.)</w:t>
      </w:r>
      <w:r w:rsidRPr="00B240AC">
        <w:t xml:space="preserve">. </w:t>
      </w:r>
      <w:r w:rsidRPr="00B240AC">
        <w:rPr>
          <w:rStyle w:val="hps"/>
        </w:rPr>
        <w:t>Devynios iš</w:t>
      </w:r>
      <w:r w:rsidRPr="00B240AC">
        <w:t xml:space="preserve"> </w:t>
      </w:r>
      <w:r w:rsidRPr="00B240AC">
        <w:rPr>
          <w:rStyle w:val="hps"/>
        </w:rPr>
        <w:t>27 ES valstybių narių</w:t>
      </w:r>
      <w:r w:rsidRPr="00B240AC">
        <w:t xml:space="preserve"> </w:t>
      </w:r>
      <w:r w:rsidRPr="00B240AC">
        <w:rPr>
          <w:rStyle w:val="hps"/>
        </w:rPr>
        <w:t>perdavė</w:t>
      </w:r>
      <w:r w:rsidRPr="00B240AC">
        <w:t xml:space="preserve"> </w:t>
      </w:r>
      <w:r w:rsidRPr="00B240AC">
        <w:rPr>
          <w:rStyle w:val="hps"/>
        </w:rPr>
        <w:t>socialinio draudimo</w:t>
      </w:r>
      <w:r w:rsidRPr="00B240AC">
        <w:t xml:space="preserve"> </w:t>
      </w:r>
      <w:r w:rsidRPr="00B240AC">
        <w:rPr>
          <w:rStyle w:val="hps"/>
        </w:rPr>
        <w:t>pensijų</w:t>
      </w:r>
      <w:r w:rsidRPr="00B240AC">
        <w:t xml:space="preserve"> </w:t>
      </w:r>
      <w:r w:rsidRPr="00B240AC">
        <w:rPr>
          <w:rStyle w:val="hps"/>
        </w:rPr>
        <w:t>kaupimą</w:t>
      </w:r>
      <w:r w:rsidRPr="00B240AC">
        <w:t xml:space="preserve"> </w:t>
      </w:r>
      <w:r w:rsidRPr="00B240AC">
        <w:rPr>
          <w:rStyle w:val="hps"/>
        </w:rPr>
        <w:t>į</w:t>
      </w:r>
      <w:r w:rsidRPr="00B240AC">
        <w:t xml:space="preserve"> </w:t>
      </w:r>
      <w:r w:rsidRPr="00B240AC">
        <w:rPr>
          <w:rStyle w:val="hps"/>
        </w:rPr>
        <w:t>teisės aktais reguliuojamas privačias pensijų schemas</w:t>
      </w:r>
      <w:r w:rsidRPr="00B240AC">
        <w:t xml:space="preserve">. Iš senųjų 15 </w:t>
      </w:r>
      <w:r w:rsidR="00B27443">
        <w:rPr>
          <w:rStyle w:val="hps"/>
        </w:rPr>
        <w:t>ES</w:t>
      </w:r>
      <w:r w:rsidRPr="00B240AC">
        <w:t xml:space="preserve"> valstybių narių, </w:t>
      </w:r>
      <w:r w:rsidRPr="00B240AC">
        <w:lastRenderedPageBreak/>
        <w:t xml:space="preserve">tokios privačios pensijų </w:t>
      </w:r>
      <w:r w:rsidRPr="00B240AC">
        <w:rPr>
          <w:rStyle w:val="hps"/>
        </w:rPr>
        <w:t>sistemos egzistuoja</w:t>
      </w:r>
      <w:r w:rsidRPr="00B240AC">
        <w:t xml:space="preserve"> </w:t>
      </w:r>
      <w:r w:rsidRPr="00B240AC">
        <w:rPr>
          <w:rStyle w:val="hps"/>
        </w:rPr>
        <w:t>Švedijoje ir Danijoje</w:t>
      </w:r>
      <w:r w:rsidRPr="00B240AC">
        <w:t xml:space="preserve">. </w:t>
      </w:r>
      <w:r>
        <w:t>T</w:t>
      </w:r>
      <w:r>
        <w:rPr>
          <w:rStyle w:val="hps"/>
        </w:rPr>
        <w:t>eisės aktais nustatytos schemos apima galimybę pasirinkti, ar</w:t>
      </w:r>
      <w:r>
        <w:t xml:space="preserve"> </w:t>
      </w:r>
      <w:r>
        <w:rPr>
          <w:rStyle w:val="hps"/>
        </w:rPr>
        <w:t>mokėti</w:t>
      </w:r>
      <w:r>
        <w:t xml:space="preserve"> </w:t>
      </w:r>
      <w:r>
        <w:rPr>
          <w:rStyle w:val="hps"/>
        </w:rPr>
        <w:t xml:space="preserve">visą privalomosios </w:t>
      </w:r>
      <w:r w:rsidRPr="00690A3A">
        <w:rPr>
          <w:rStyle w:val="hps"/>
        </w:rPr>
        <w:t>įmokos</w:t>
      </w:r>
      <w:r w:rsidRPr="00690A3A">
        <w:t xml:space="preserve"> </w:t>
      </w:r>
      <w:r w:rsidRPr="00690A3A">
        <w:rPr>
          <w:rStyle w:val="hps"/>
        </w:rPr>
        <w:t>sumą į</w:t>
      </w:r>
      <w:r w:rsidRPr="00690A3A">
        <w:t xml:space="preserve"> </w:t>
      </w:r>
      <w:r>
        <w:t xml:space="preserve">einamąją pensijų </w:t>
      </w:r>
      <w:r w:rsidRPr="00690A3A">
        <w:rPr>
          <w:rStyle w:val="hps"/>
        </w:rPr>
        <w:t>sistemą,</w:t>
      </w:r>
      <w:r w:rsidRPr="00690A3A">
        <w:t xml:space="preserve"> </w:t>
      </w:r>
      <w:r w:rsidRPr="00690A3A">
        <w:rPr>
          <w:rStyle w:val="hps"/>
        </w:rPr>
        <w:t>ar</w:t>
      </w:r>
      <w:r w:rsidRPr="00690A3A">
        <w:t xml:space="preserve"> </w:t>
      </w:r>
      <w:r w:rsidRPr="00690A3A">
        <w:rPr>
          <w:rStyle w:val="hps"/>
        </w:rPr>
        <w:t>nukreipti</w:t>
      </w:r>
      <w:r w:rsidRPr="00690A3A">
        <w:t xml:space="preserve"> </w:t>
      </w:r>
      <w:r w:rsidRPr="00690A3A">
        <w:rPr>
          <w:rStyle w:val="hps"/>
        </w:rPr>
        <w:t>dalį</w:t>
      </w:r>
      <w:r w:rsidRPr="00690A3A">
        <w:t xml:space="preserve"> </w:t>
      </w:r>
      <w:r w:rsidRPr="00690A3A">
        <w:rPr>
          <w:rStyle w:val="hps"/>
        </w:rPr>
        <w:t>lėšų į</w:t>
      </w:r>
      <w:r w:rsidRPr="00690A3A">
        <w:t xml:space="preserve"> </w:t>
      </w:r>
      <w:r w:rsidRPr="00690A3A">
        <w:rPr>
          <w:rStyle w:val="hps"/>
        </w:rPr>
        <w:t>privačiai</w:t>
      </w:r>
      <w:r w:rsidRPr="00690A3A">
        <w:t xml:space="preserve"> </w:t>
      </w:r>
      <w:r w:rsidRPr="00690A3A">
        <w:rPr>
          <w:rStyle w:val="hps"/>
        </w:rPr>
        <w:t>valdomus</w:t>
      </w:r>
      <w:r w:rsidRPr="00690A3A">
        <w:t xml:space="preserve"> </w:t>
      </w:r>
      <w:r w:rsidRPr="00690A3A">
        <w:rPr>
          <w:rStyle w:val="hps"/>
        </w:rPr>
        <w:t>fondus</w:t>
      </w:r>
      <w:r w:rsidRPr="00690A3A">
        <w:t xml:space="preserve">, kurie suteikia teisę į kitą pensiją atskirai nuo </w:t>
      </w:r>
      <w:r w:rsidRPr="004D6622">
        <w:t>einamosios pensijų sistemos schemos.</w:t>
      </w:r>
      <w:r w:rsidRPr="004D6622">
        <w:rPr>
          <w:rStyle w:val="Puslapioinaosnuoroda"/>
        </w:rPr>
        <w:footnoteReference w:id="12"/>
      </w:r>
    </w:p>
    <w:p w:rsidR="00445C7E" w:rsidRPr="00D91FC4" w:rsidRDefault="00445C7E" w:rsidP="0021249B">
      <w:pPr>
        <w:pStyle w:val="Betarp"/>
        <w:spacing w:line="360" w:lineRule="auto"/>
        <w:ind w:firstLine="567"/>
      </w:pPr>
      <w:r w:rsidRPr="00650DC6">
        <w:rPr>
          <w:b/>
        </w:rPr>
        <w:t>Pasaulio banko pensijų pakopų samprata.</w:t>
      </w:r>
      <w:r w:rsidRPr="00D91FC4">
        <w:rPr>
          <w:rStyle w:val="hps"/>
        </w:rPr>
        <w:t xml:space="preserve"> Daugelis</w:t>
      </w:r>
      <w:r w:rsidRPr="00D91FC4">
        <w:t xml:space="preserve"> </w:t>
      </w:r>
      <w:r w:rsidRPr="00D91FC4">
        <w:rPr>
          <w:rStyle w:val="hps"/>
        </w:rPr>
        <w:t>naujųjų ES valstybių narių</w:t>
      </w:r>
      <w:r>
        <w:t xml:space="preserve"> pritaikė Pasaulio</w:t>
      </w:r>
      <w:r w:rsidRPr="00D91FC4">
        <w:t xml:space="preserve"> banko </w:t>
      </w:r>
      <w:r w:rsidRPr="00D91FC4">
        <w:rPr>
          <w:rStyle w:val="hps"/>
        </w:rPr>
        <w:t>trijų pakopų</w:t>
      </w:r>
      <w:r w:rsidRPr="00D91FC4">
        <w:t xml:space="preserve"> </w:t>
      </w:r>
      <w:r w:rsidRPr="00D91FC4">
        <w:rPr>
          <w:rStyle w:val="hps"/>
        </w:rPr>
        <w:t>klasifikaciją</w:t>
      </w:r>
      <w:r w:rsidRPr="00D91FC4">
        <w:t xml:space="preserve">, kuri </w:t>
      </w:r>
      <w:r>
        <w:t xml:space="preserve">remiasi finansavimo ir privalomumo aspektais bei </w:t>
      </w:r>
      <w:r w:rsidRPr="00D91FC4">
        <w:t>apima:</w:t>
      </w:r>
    </w:p>
    <w:p w:rsidR="00445C7E" w:rsidRPr="00D91FC4" w:rsidRDefault="00445C7E" w:rsidP="0021249B">
      <w:pPr>
        <w:pStyle w:val="Betarp"/>
        <w:spacing w:line="360" w:lineRule="auto"/>
        <w:ind w:firstLine="567"/>
      </w:pPr>
      <w:r w:rsidRPr="00D91FC4">
        <w:t>- pirmąją pakopą</w:t>
      </w:r>
      <w:r>
        <w:t>, kuri yra visuomeninė ir finansuojama</w:t>
      </w:r>
      <w:r w:rsidRPr="00D91FC4">
        <w:t xml:space="preserve"> so</w:t>
      </w:r>
      <w:r w:rsidRPr="00D91FC4">
        <w:rPr>
          <w:rStyle w:val="hps"/>
        </w:rPr>
        <w:t>cialinio draudimo įmokomis arba</w:t>
      </w:r>
      <w:r w:rsidRPr="00D91FC4">
        <w:t xml:space="preserve"> </w:t>
      </w:r>
      <w:r w:rsidRPr="00D91FC4">
        <w:rPr>
          <w:rStyle w:val="hps"/>
        </w:rPr>
        <w:t>bendromis mokesčių</w:t>
      </w:r>
      <w:r w:rsidRPr="00D91FC4">
        <w:t xml:space="preserve"> </w:t>
      </w:r>
      <w:r w:rsidRPr="00D91FC4">
        <w:rPr>
          <w:rStyle w:val="hps"/>
        </w:rPr>
        <w:t>pajamomis</w:t>
      </w:r>
      <w:r w:rsidRPr="00D91FC4">
        <w:t xml:space="preserve">. </w:t>
      </w:r>
      <w:r>
        <w:rPr>
          <w:rStyle w:val="hps"/>
        </w:rPr>
        <w:t>Ji skirta</w:t>
      </w:r>
      <w:r w:rsidRPr="00D91FC4">
        <w:t xml:space="preserve"> sukurti </w:t>
      </w:r>
      <w:r w:rsidRPr="00D91FC4">
        <w:rPr>
          <w:rStyle w:val="hps"/>
        </w:rPr>
        <w:t>socialinio draudimo</w:t>
      </w:r>
      <w:r w:rsidRPr="00D91FC4">
        <w:t xml:space="preserve"> </w:t>
      </w:r>
      <w:r w:rsidRPr="00D91FC4">
        <w:rPr>
          <w:rStyle w:val="hps"/>
        </w:rPr>
        <w:t>saugumo sistemą</w:t>
      </w:r>
      <w:r w:rsidRPr="00D91FC4">
        <w:t xml:space="preserve"> </w:t>
      </w:r>
      <w:r w:rsidRPr="00D91FC4">
        <w:rPr>
          <w:rStyle w:val="hps"/>
        </w:rPr>
        <w:t>pagyvenusiems žmonėms</w:t>
      </w:r>
      <w:r w:rsidRPr="00D91FC4">
        <w:t xml:space="preserve">, </w:t>
      </w:r>
      <w:r w:rsidRPr="00D91FC4">
        <w:rPr>
          <w:rStyle w:val="hps"/>
        </w:rPr>
        <w:t>ypač</w:t>
      </w:r>
      <w:r w:rsidRPr="00D91FC4">
        <w:t xml:space="preserve"> </w:t>
      </w:r>
      <w:r w:rsidRPr="00D91FC4">
        <w:rPr>
          <w:rStyle w:val="hps"/>
        </w:rPr>
        <w:t>gaunantiems mažas pajamas</w:t>
      </w:r>
      <w:r w:rsidRPr="00D91FC4">
        <w:t>.</w:t>
      </w:r>
    </w:p>
    <w:p w:rsidR="00445C7E" w:rsidRPr="00BD2EAA" w:rsidRDefault="00445C7E" w:rsidP="0021249B">
      <w:pPr>
        <w:pStyle w:val="Betarp"/>
        <w:spacing w:line="360" w:lineRule="auto"/>
        <w:ind w:firstLine="567"/>
        <w:rPr>
          <w:rStyle w:val="hps"/>
        </w:rPr>
      </w:pPr>
      <w:r w:rsidRPr="00BD2EAA">
        <w:t xml:space="preserve">- </w:t>
      </w:r>
      <w:r w:rsidRPr="00BD2EAA">
        <w:rPr>
          <w:rStyle w:val="hps"/>
        </w:rPr>
        <w:t>antrąją pakopą</w:t>
      </w:r>
      <w:r w:rsidRPr="00BD2EAA">
        <w:t xml:space="preserve">, kuri yra finansuojama </w:t>
      </w:r>
      <w:r w:rsidRPr="00BD2EAA">
        <w:rPr>
          <w:rStyle w:val="hps"/>
        </w:rPr>
        <w:t>ir paprastai privaloma</w:t>
      </w:r>
      <w:r w:rsidRPr="00BD2EAA">
        <w:t xml:space="preserve"> </w:t>
      </w:r>
      <w:r w:rsidRPr="00BD2EAA">
        <w:rPr>
          <w:rStyle w:val="hps"/>
        </w:rPr>
        <w:t>siekiant užtikrinti</w:t>
      </w:r>
      <w:r w:rsidRPr="00BD2EAA">
        <w:t xml:space="preserve"> </w:t>
      </w:r>
      <w:r w:rsidRPr="00BD2EAA">
        <w:rPr>
          <w:rStyle w:val="hps"/>
        </w:rPr>
        <w:t>maksimalų dalyvavimą</w:t>
      </w:r>
      <w:r w:rsidRPr="00BD2EAA">
        <w:t xml:space="preserve">. </w:t>
      </w:r>
      <w:r w:rsidRPr="00BD2EAA">
        <w:rPr>
          <w:rStyle w:val="hps"/>
        </w:rPr>
        <w:t>Atskiros</w:t>
      </w:r>
      <w:r w:rsidRPr="00BD2EAA">
        <w:t xml:space="preserve"> </w:t>
      </w:r>
      <w:r w:rsidRPr="00BD2EAA">
        <w:rPr>
          <w:rStyle w:val="hps"/>
        </w:rPr>
        <w:t>įmokos</w:t>
      </w:r>
      <w:r w:rsidRPr="00BD2EAA">
        <w:t xml:space="preserve"> yra </w:t>
      </w:r>
      <w:r w:rsidRPr="00BD2EAA">
        <w:rPr>
          <w:rStyle w:val="hps"/>
        </w:rPr>
        <w:t>valdomos</w:t>
      </w:r>
      <w:r w:rsidRPr="00BD2EAA">
        <w:t xml:space="preserve"> </w:t>
      </w:r>
      <w:r w:rsidRPr="00BD2EAA">
        <w:rPr>
          <w:rStyle w:val="hps"/>
        </w:rPr>
        <w:t>privačiai</w:t>
      </w:r>
      <w:r w:rsidRPr="00BD2EAA">
        <w:t xml:space="preserve"> </w:t>
      </w:r>
      <w:r w:rsidRPr="00BD2EAA">
        <w:rPr>
          <w:rStyle w:val="hps"/>
        </w:rPr>
        <w:t>ir investuojamos</w:t>
      </w:r>
      <w:r w:rsidRPr="00BD2EAA">
        <w:t xml:space="preserve"> </w:t>
      </w:r>
      <w:r w:rsidRPr="00BD2EAA">
        <w:rPr>
          <w:rStyle w:val="hps"/>
        </w:rPr>
        <w:t>būsimų pensijų išmokėjimo tikslais.</w:t>
      </w:r>
    </w:p>
    <w:p w:rsidR="00445C7E" w:rsidRPr="00D91FC4" w:rsidRDefault="00445C7E" w:rsidP="0021249B">
      <w:pPr>
        <w:pStyle w:val="Betarp"/>
        <w:spacing w:line="360" w:lineRule="auto"/>
        <w:ind w:firstLine="567"/>
      </w:pPr>
      <w:r w:rsidRPr="00D91FC4">
        <w:t xml:space="preserve">- </w:t>
      </w:r>
      <w:r w:rsidRPr="00D91FC4">
        <w:rPr>
          <w:rStyle w:val="hps"/>
        </w:rPr>
        <w:t>trečiąjį pakopą</w:t>
      </w:r>
      <w:r w:rsidR="00ED659E">
        <w:t>, kurią</w:t>
      </w:r>
      <w:r w:rsidRPr="00D91FC4">
        <w:t xml:space="preserve"> sudaro </w:t>
      </w:r>
      <w:r w:rsidRPr="00D91FC4">
        <w:rPr>
          <w:rStyle w:val="hps"/>
        </w:rPr>
        <w:t>savanoriškos</w:t>
      </w:r>
      <w:r w:rsidRPr="00D91FC4">
        <w:t xml:space="preserve"> </w:t>
      </w:r>
      <w:r w:rsidRPr="00D91FC4">
        <w:rPr>
          <w:rStyle w:val="hps"/>
        </w:rPr>
        <w:t>pensijų santaupos (profesinės arba asmeninės)</w:t>
      </w:r>
      <w:r w:rsidRPr="00D91FC4">
        <w:t>.</w:t>
      </w:r>
    </w:p>
    <w:p w:rsidR="00445C7E" w:rsidRPr="0021249B" w:rsidRDefault="00445C7E" w:rsidP="0021249B">
      <w:pPr>
        <w:pStyle w:val="Betarp"/>
        <w:spacing w:line="360" w:lineRule="auto"/>
        <w:ind w:firstLine="567"/>
      </w:pPr>
      <w:r w:rsidRPr="0021249B">
        <w:t xml:space="preserve">Ši klasifikacija </w:t>
      </w:r>
      <w:r w:rsidRPr="0021249B">
        <w:rPr>
          <w:rStyle w:val="hps"/>
        </w:rPr>
        <w:t xml:space="preserve">iš esmės skiriasi </w:t>
      </w:r>
      <w:r w:rsidRPr="002A708F">
        <w:rPr>
          <w:rStyle w:val="hps"/>
        </w:rPr>
        <w:t>nuo</w:t>
      </w:r>
      <w:r w:rsidRPr="002A708F">
        <w:t xml:space="preserve"> </w:t>
      </w:r>
      <w:r w:rsidRPr="002A708F">
        <w:rPr>
          <w:rStyle w:val="hps"/>
        </w:rPr>
        <w:t>15 senųjų ES valstybių</w:t>
      </w:r>
      <w:r w:rsidRPr="004D6622">
        <w:rPr>
          <w:rStyle w:val="hps"/>
        </w:rPr>
        <w:t xml:space="preserve"> narių</w:t>
      </w:r>
      <w:r w:rsidRPr="004D6622">
        <w:t xml:space="preserve"> </w:t>
      </w:r>
      <w:r w:rsidRPr="004D6622">
        <w:rPr>
          <w:rStyle w:val="hps"/>
        </w:rPr>
        <w:t>vartojamos terminologijos,</w:t>
      </w:r>
      <w:r w:rsidRPr="0021249B">
        <w:rPr>
          <w:rStyle w:val="hps"/>
        </w:rPr>
        <w:t xml:space="preserve"> naudojamos </w:t>
      </w:r>
      <w:r w:rsidRPr="00C46468">
        <w:rPr>
          <w:rStyle w:val="hps"/>
        </w:rPr>
        <w:t>Europos</w:t>
      </w:r>
      <w:r w:rsidRPr="00C46468">
        <w:t xml:space="preserve"> </w:t>
      </w:r>
      <w:r w:rsidRPr="00C46468">
        <w:rPr>
          <w:rStyle w:val="hps"/>
        </w:rPr>
        <w:t>Komisijos tyrimuose</w:t>
      </w:r>
      <w:r w:rsidR="00ED659E">
        <w:rPr>
          <w:rStyle w:val="hps"/>
        </w:rPr>
        <w:t>,</w:t>
      </w:r>
      <w:r w:rsidRPr="00C46468">
        <w:t xml:space="preserve"> ir</w:t>
      </w:r>
      <w:r w:rsidRPr="004D6622">
        <w:t xml:space="preserve"> kuri bus naudojama šiame darbe.</w:t>
      </w:r>
      <w:r w:rsidRPr="0021249B">
        <w:t xml:space="preserve"> </w:t>
      </w:r>
      <w:r w:rsidRPr="0021249B">
        <w:rPr>
          <w:rStyle w:val="hps"/>
        </w:rPr>
        <w:t>Visų pirma,</w:t>
      </w:r>
      <w:r w:rsidRPr="0021249B">
        <w:t xml:space="preserve"> pagal </w:t>
      </w:r>
      <w:r>
        <w:t>Pasaulio Banko</w:t>
      </w:r>
      <w:r w:rsidRPr="0021249B">
        <w:t xml:space="preserve"> terminologiją </w:t>
      </w:r>
      <w:r w:rsidRPr="00D91FC4">
        <w:t xml:space="preserve">kaupiamoji </w:t>
      </w:r>
      <w:r>
        <w:t xml:space="preserve">pensijų </w:t>
      </w:r>
      <w:r w:rsidRPr="00D91FC4">
        <w:t>sistema, vykdoma privalomų socialinio draudimo įmokų sąskaita</w:t>
      </w:r>
      <w:r w:rsidRPr="0021249B">
        <w:rPr>
          <w:rStyle w:val="hps"/>
        </w:rPr>
        <w:t xml:space="preserve"> (draudiminiai pensijų fondai) – tai</w:t>
      </w:r>
      <w:r w:rsidRPr="0021249B">
        <w:t xml:space="preserve"> </w:t>
      </w:r>
      <w:r w:rsidRPr="0021249B">
        <w:rPr>
          <w:rStyle w:val="hps"/>
        </w:rPr>
        <w:t>antrosios pakopos</w:t>
      </w:r>
      <w:r w:rsidRPr="0021249B">
        <w:t xml:space="preserve"> </w:t>
      </w:r>
      <w:r w:rsidRPr="0021249B">
        <w:rPr>
          <w:rStyle w:val="hps"/>
        </w:rPr>
        <w:t>schemos, o ne</w:t>
      </w:r>
      <w:r w:rsidRPr="0021249B">
        <w:t xml:space="preserve"> </w:t>
      </w:r>
      <w:r w:rsidRPr="0021249B">
        <w:rPr>
          <w:rStyle w:val="hps"/>
        </w:rPr>
        <w:t>pirmosios pakopos (pirmojo pakopos antras lygmuo) schemos.</w:t>
      </w:r>
      <w:r w:rsidRPr="0021249B">
        <w:rPr>
          <w:rStyle w:val="Puslapioinaosnuoroda"/>
        </w:rPr>
        <w:footnoteReference w:id="13"/>
      </w:r>
    </w:p>
    <w:p w:rsidR="00445C7E" w:rsidRPr="004D6622" w:rsidRDefault="00445C7E" w:rsidP="005C5961">
      <w:pPr>
        <w:pStyle w:val="Betarp"/>
        <w:spacing w:line="360" w:lineRule="auto"/>
        <w:ind w:firstLine="567"/>
        <w:rPr>
          <w:color w:val="5F497A"/>
        </w:rPr>
      </w:pPr>
      <w:r w:rsidRPr="00AD258B">
        <w:t xml:space="preserve">Apžvelgę įvairių šalių patirtį, pastebėtume, jog daugelyje iš jų pensijų sistema apima visas tris pensijų pakopas, tačiau, </w:t>
      </w:r>
      <w:r w:rsidR="00AD258B" w:rsidRPr="00AD258B">
        <w:t>atsižvelgiant į konkrečioje šalyje dominuojančias politines, ekonomines ar socialines sąlygas</w:t>
      </w:r>
      <w:r w:rsidRPr="00AD258B">
        <w:t xml:space="preserve">, atskiroms pensijų sistemos pakopoms yra suteikiamas skirtingas vaidmuo. Vienose šalyse didesnį vaidmenį vaidina pirmoji, </w:t>
      </w:r>
      <w:r w:rsidR="00AD258B" w:rsidRPr="00AD258B">
        <w:t xml:space="preserve">tuo tarpu </w:t>
      </w:r>
      <w:r w:rsidRPr="00AD258B">
        <w:t>kitose - antroji ir trečioji pakopos. Pensijų sistemų klasifikacija pagal pensijų pakopas atspindi tiktai institucinę pensinio aprūpinimo pusę.</w:t>
      </w:r>
      <w:r w:rsidRPr="00AD258B">
        <w:rPr>
          <w:rStyle w:val="Puslapioinaosnuoroda"/>
        </w:rPr>
        <w:footnoteReference w:id="14"/>
      </w:r>
      <w:r w:rsidRPr="00AD258B">
        <w:t xml:space="preserve"> </w:t>
      </w:r>
      <w:r w:rsidRPr="0022290D">
        <w:t>Tinkamas s</w:t>
      </w:r>
      <w:r w:rsidRPr="0022290D">
        <w:rPr>
          <w:rStyle w:val="hps"/>
        </w:rPr>
        <w:t>kirtingų</w:t>
      </w:r>
      <w:r w:rsidRPr="0022290D">
        <w:t xml:space="preserve"> </w:t>
      </w:r>
      <w:r w:rsidRPr="0022290D">
        <w:rPr>
          <w:rStyle w:val="hps"/>
        </w:rPr>
        <w:t>pensijų pakopų derinys</w:t>
      </w:r>
      <w:r w:rsidRPr="0022290D">
        <w:t xml:space="preserve"> </w:t>
      </w:r>
      <w:r w:rsidRPr="0022290D">
        <w:rPr>
          <w:rStyle w:val="hps"/>
        </w:rPr>
        <w:t>gali padėti sukurti</w:t>
      </w:r>
      <w:r w:rsidRPr="0022290D">
        <w:t xml:space="preserve"> </w:t>
      </w:r>
      <w:r w:rsidRPr="0022290D">
        <w:rPr>
          <w:rStyle w:val="hps"/>
        </w:rPr>
        <w:t>tvarias</w:t>
      </w:r>
      <w:r w:rsidRPr="0022290D">
        <w:t xml:space="preserve"> </w:t>
      </w:r>
      <w:r w:rsidRPr="0022290D">
        <w:rPr>
          <w:rStyle w:val="hps"/>
        </w:rPr>
        <w:t>pensijų sistemas</w:t>
      </w:r>
      <w:r w:rsidRPr="0022290D">
        <w:t xml:space="preserve"> </w:t>
      </w:r>
      <w:r w:rsidRPr="0022290D">
        <w:rPr>
          <w:rStyle w:val="hps"/>
        </w:rPr>
        <w:t>intensyvaus</w:t>
      </w:r>
      <w:r w:rsidRPr="0022290D">
        <w:t xml:space="preserve"> </w:t>
      </w:r>
      <w:r w:rsidRPr="0022290D">
        <w:rPr>
          <w:rStyle w:val="hps"/>
        </w:rPr>
        <w:t>demografinių pokyčių</w:t>
      </w:r>
      <w:r w:rsidRPr="0022290D">
        <w:t xml:space="preserve"> </w:t>
      </w:r>
      <w:r w:rsidRPr="0022290D">
        <w:rPr>
          <w:rStyle w:val="hps"/>
        </w:rPr>
        <w:t>laikotarpiu ir padėti išvengti neadekvačių pensijų grėsmės, todėl l</w:t>
      </w:r>
      <w:r w:rsidRPr="0022290D">
        <w:t xml:space="preserve">abai svarbu, kad </w:t>
      </w:r>
      <w:r w:rsidRPr="0022290D">
        <w:rPr>
          <w:rStyle w:val="hps"/>
        </w:rPr>
        <w:t>sistemoje būtų dalijamasi</w:t>
      </w:r>
      <w:r w:rsidRPr="0022290D">
        <w:t xml:space="preserve"> </w:t>
      </w:r>
      <w:r w:rsidRPr="0022290D">
        <w:rPr>
          <w:rStyle w:val="hps"/>
        </w:rPr>
        <w:t>potencialiomis rizikomis</w:t>
      </w:r>
      <w:r w:rsidRPr="0022290D">
        <w:t xml:space="preserve">. </w:t>
      </w:r>
      <w:r w:rsidRPr="0022290D">
        <w:rPr>
          <w:rStyle w:val="hps"/>
        </w:rPr>
        <w:t>Tai gali būti padaryta</w:t>
      </w:r>
      <w:r w:rsidRPr="0022290D">
        <w:t xml:space="preserve"> </w:t>
      </w:r>
      <w:r w:rsidRPr="0022290D">
        <w:rPr>
          <w:rStyle w:val="hps"/>
        </w:rPr>
        <w:t>naudojant</w:t>
      </w:r>
      <w:r w:rsidRPr="0022290D">
        <w:t xml:space="preserve"> </w:t>
      </w:r>
      <w:r w:rsidRPr="0022290D">
        <w:rPr>
          <w:rStyle w:val="hps"/>
        </w:rPr>
        <w:t>kelias pakopas</w:t>
      </w:r>
      <w:r w:rsidRPr="0022290D">
        <w:t xml:space="preserve">, taip užtikrinant, kad nesėkmių atveju pensijų </w:t>
      </w:r>
      <w:r w:rsidRPr="0022290D">
        <w:rPr>
          <w:rStyle w:val="hps"/>
        </w:rPr>
        <w:t>sistema nesugrius dėl vienos</w:t>
      </w:r>
      <w:r w:rsidRPr="0022290D">
        <w:t xml:space="preserve"> </w:t>
      </w:r>
      <w:r w:rsidRPr="0022290D">
        <w:rPr>
          <w:rStyle w:val="hps"/>
        </w:rPr>
        <w:t>konkrečios problemos ir išliks patvaresnė nenumatytose situacijose dabar</w:t>
      </w:r>
      <w:r w:rsidRPr="0022290D">
        <w:t xml:space="preserve"> </w:t>
      </w:r>
      <w:r w:rsidRPr="0022290D">
        <w:rPr>
          <w:rStyle w:val="hps"/>
        </w:rPr>
        <w:t>ir ateityje</w:t>
      </w:r>
      <w:r w:rsidRPr="0022290D">
        <w:t>.</w:t>
      </w:r>
      <w:r w:rsidRPr="0022290D">
        <w:rPr>
          <w:rStyle w:val="Puslapioinaosnuoroda"/>
        </w:rPr>
        <w:footnoteReference w:id="15"/>
      </w:r>
    </w:p>
    <w:p w:rsidR="00445C7E" w:rsidRPr="004D6622" w:rsidRDefault="00445C7E" w:rsidP="005C5961">
      <w:pPr>
        <w:pStyle w:val="Betarp"/>
        <w:spacing w:line="360" w:lineRule="auto"/>
        <w:ind w:firstLine="567"/>
        <w:rPr>
          <w:color w:val="5F497A"/>
        </w:rPr>
      </w:pPr>
      <w:r>
        <w:lastRenderedPageBreak/>
        <w:t xml:space="preserve">Visose valstybėse </w:t>
      </w:r>
      <w:r>
        <w:rPr>
          <w:rStyle w:val="hps"/>
        </w:rPr>
        <w:t>viešasis sektorius</w:t>
      </w:r>
      <w:r>
        <w:t xml:space="preserve"> </w:t>
      </w:r>
      <w:r>
        <w:rPr>
          <w:rStyle w:val="hps"/>
        </w:rPr>
        <w:t xml:space="preserve">aktyviai dalyvauja pensijų sistemose – taip užtikrinama senatvės pensija. Tačiau vis didesnis dėmesys sutelkiamas į kaupiamąsias pensijų sistemas. </w:t>
      </w:r>
      <w:r w:rsidRPr="00A72A25">
        <w:t xml:space="preserve">II pakopos pensijų fondai iš kitų privačių pensijų fondų išsiskiria tuo, kad jie užtikrina papildomą pensijos dalį </w:t>
      </w:r>
      <w:r w:rsidRPr="002F4676">
        <w:t xml:space="preserve">nuo sumokėtų valstybinio socialinio draudimo </w:t>
      </w:r>
      <w:r w:rsidR="00A9259E" w:rsidRPr="00A9259E">
        <w:t xml:space="preserve">(toliau – VSD) </w:t>
      </w:r>
      <w:r w:rsidRPr="002F4676">
        <w:t>įmokų,</w:t>
      </w:r>
      <w:r w:rsidRPr="00A72A25">
        <w:t xml:space="preserve"> nemažinant vartojimo, kadangi nereikia mokėti papildomų įmokų, o dalis valstybiniam socialiniam draudimui sumokėtų įmokų yra nukreipiama į privačius pensijų fondus.</w:t>
      </w:r>
    </w:p>
    <w:p w:rsidR="00445C7E" w:rsidRDefault="00445C7E" w:rsidP="00B44EC4">
      <w:pPr>
        <w:pStyle w:val="Betarp"/>
        <w:spacing w:line="360" w:lineRule="auto"/>
        <w:ind w:firstLine="0"/>
        <w:jc w:val="center"/>
        <w:rPr>
          <w:b/>
          <w:bCs/>
        </w:rPr>
      </w:pPr>
    </w:p>
    <w:p w:rsidR="00445C7E" w:rsidRDefault="00445C7E" w:rsidP="004B7F27">
      <w:pPr>
        <w:pStyle w:val="Betarp"/>
        <w:spacing w:line="360" w:lineRule="auto"/>
        <w:ind w:firstLine="567"/>
        <w:jc w:val="left"/>
        <w:rPr>
          <w:b/>
          <w:bCs/>
        </w:rPr>
      </w:pPr>
      <w:r>
        <w:rPr>
          <w:b/>
          <w:bCs/>
        </w:rPr>
        <w:t>1.</w:t>
      </w:r>
      <w:r w:rsidRPr="00A72A25">
        <w:rPr>
          <w:b/>
          <w:bCs/>
        </w:rPr>
        <w:t>2</w:t>
      </w:r>
      <w:r w:rsidRPr="00EC4418">
        <w:rPr>
          <w:b/>
          <w:bCs/>
        </w:rPr>
        <w:t xml:space="preserve">. </w:t>
      </w:r>
      <w:r>
        <w:rPr>
          <w:b/>
          <w:bCs/>
        </w:rPr>
        <w:t>II pakopos p</w:t>
      </w:r>
      <w:r w:rsidRPr="00EC4418">
        <w:rPr>
          <w:b/>
          <w:bCs/>
        </w:rPr>
        <w:t xml:space="preserve">ensijų fondų </w:t>
      </w:r>
      <w:r>
        <w:rPr>
          <w:b/>
          <w:bCs/>
        </w:rPr>
        <w:t>kūrimosi Lietuvoje prielaidos, jų esmė</w:t>
      </w:r>
    </w:p>
    <w:p w:rsidR="00445C7E" w:rsidRDefault="00445C7E" w:rsidP="00B44EC4">
      <w:pPr>
        <w:pStyle w:val="Betarp"/>
        <w:spacing w:line="360" w:lineRule="auto"/>
        <w:ind w:firstLine="0"/>
        <w:jc w:val="center"/>
        <w:rPr>
          <w:b/>
          <w:bCs/>
        </w:rPr>
      </w:pPr>
    </w:p>
    <w:p w:rsidR="00445C7E" w:rsidRPr="002E4ED7" w:rsidRDefault="00B618E9" w:rsidP="006132BB">
      <w:pPr>
        <w:pStyle w:val="Betarp"/>
        <w:spacing w:line="360" w:lineRule="auto"/>
        <w:ind w:firstLine="567"/>
        <w:rPr>
          <w:b/>
          <w:bCs/>
        </w:rPr>
      </w:pPr>
      <w:r>
        <w:t>Pensijų fondų kūrimas</w:t>
      </w:r>
      <w:r w:rsidR="00445C7E" w:rsidRPr="00EC4418">
        <w:t xml:space="preserve"> nėra Lietuvoje sugalvota naujovė. </w:t>
      </w:r>
      <w:r>
        <w:t>Be valstybinio aprūpinimo v</w:t>
      </w:r>
      <w:r w:rsidR="00445C7E" w:rsidRPr="00EC4418">
        <w:t>akarų valstybėse</w:t>
      </w:r>
      <w:r w:rsidR="00445C7E">
        <w:t xml:space="preserve"> jau seniai</w:t>
      </w:r>
      <w:r w:rsidR="00445C7E" w:rsidRPr="00EC4418">
        <w:t xml:space="preserve"> </w:t>
      </w:r>
      <w:r w:rsidR="00445C7E">
        <w:t xml:space="preserve">yra privatus pensijų draudimas, </w:t>
      </w:r>
      <w:r>
        <w:t>kuriuo</w:t>
      </w:r>
      <w:r w:rsidR="00445C7E" w:rsidRPr="00EC4418">
        <w:t xml:space="preserve"> užsiima ne tik draudimo kompanijos, </w:t>
      </w:r>
      <w:r>
        <w:t>bet ir specialiai tam įsteigtos</w:t>
      </w:r>
      <w:r w:rsidR="00445C7E" w:rsidRPr="00EC4418">
        <w:t xml:space="preserve"> kaupimo institucijos – pensijų fondai. Centrinės ir Rytų Europos šalys, pradėjusios savo ekonomikos pertvarką, </w:t>
      </w:r>
      <w:r w:rsidR="00445C7E">
        <w:t xml:space="preserve">taip pat </w:t>
      </w:r>
      <w:r>
        <w:t>susirūpino pensinio aprūpinimo keitimu</w:t>
      </w:r>
      <w:r w:rsidR="00445C7E" w:rsidRPr="00EC4418">
        <w:t xml:space="preserve">, vis daugiau jo </w:t>
      </w:r>
      <w:r>
        <w:t>perduodamos</w:t>
      </w:r>
      <w:r w:rsidR="00445C7E" w:rsidRPr="00EC4418">
        <w:t xml:space="preserve"> privačiam draudimui.</w:t>
      </w:r>
      <w:r w:rsidR="00445C7E" w:rsidRPr="00EC4418">
        <w:rPr>
          <w:rStyle w:val="Puslapioinaosnuoroda"/>
        </w:rPr>
        <w:footnoteReference w:id="16"/>
      </w:r>
    </w:p>
    <w:p w:rsidR="00445C7E" w:rsidRDefault="00445C7E" w:rsidP="00B44EC4">
      <w:pPr>
        <w:pStyle w:val="Betarp"/>
        <w:spacing w:line="360" w:lineRule="auto"/>
        <w:ind w:firstLine="567"/>
      </w:pPr>
      <w:r>
        <w:t xml:space="preserve">Lietuvos pensijų sistemos reformos aktualumą lėmė šalies demografinė bei ekonominė padėtis: išlaidos pensijoms finansuoti Lietuvoje </w:t>
      </w:r>
      <w:r w:rsidRPr="00333C27">
        <w:t xml:space="preserve">2004 m. </w:t>
      </w:r>
      <w:r>
        <w:t>suda</w:t>
      </w:r>
      <w:r w:rsidRPr="00333C27">
        <w:t>rė</w:t>
      </w:r>
      <w:r>
        <w:t xml:space="preserve"> </w:t>
      </w:r>
      <w:r w:rsidRPr="00B44EC4">
        <w:t xml:space="preserve">63.2 proc. </w:t>
      </w:r>
      <w:r>
        <w:t>ES vidurkio, be to prognozuota</w:t>
      </w:r>
      <w:r w:rsidRPr="00EC4418">
        <w:t>, kad nuo 2004 iki 2050 m. vyresnio amžiaus žmonių Lietuvoje skaičius padidės nuo 15 iki 26.7 procentų. Tokį spartų augim</w:t>
      </w:r>
      <w:r>
        <w:t>ą įtakoja mažėjantis</w:t>
      </w:r>
      <w:r w:rsidRPr="00EC4418">
        <w:t xml:space="preserve"> gimstamumas, ilgėjanti būsimo gyvenimo trukmė bei emigracija, ko pasakoje gerokai sumažės dirbančiųjų skaičius. Tai reiškia, kad dė</w:t>
      </w:r>
      <w:r>
        <w:t xml:space="preserve">l didesnio pensininkų skaičiaus </w:t>
      </w:r>
      <w:r w:rsidRPr="00EC4418">
        <w:t xml:space="preserve">išlaidos pensijoms finansuoti išaugs </w:t>
      </w:r>
      <w:r>
        <w:t>ir turės būti didinamos valstybinio socialinio draudimo pensijos. Nors pensijos dydis tuo metu buvo padidėjęs tris kartus lyginant su prieš tai buvusiais keleriais metais, tačiau jis buvo mažesnis už minimalias ES valstybių senbuvių pensijas. Lietuvos narystė ES taip pat skatino reformuoti pensijų sistemą, kadangi Lietuva turi dalyvauti įgyvendinant ES socialinę politiką, tokiu būdu užtikrinant pakankamas bei stabilias pensijas.</w:t>
      </w:r>
      <w:r w:rsidRPr="00EC4418">
        <w:rPr>
          <w:rStyle w:val="Puslapioinaosnuoroda"/>
        </w:rPr>
        <w:footnoteReference w:id="17"/>
      </w:r>
      <w:r w:rsidRPr="00EC4418">
        <w:t xml:space="preserve"> </w:t>
      </w:r>
    </w:p>
    <w:p w:rsidR="00445C7E" w:rsidRPr="00501D6E" w:rsidRDefault="00445C7E" w:rsidP="00B44EC4">
      <w:pPr>
        <w:pStyle w:val="Betarp"/>
        <w:spacing w:line="360" w:lineRule="auto"/>
        <w:ind w:firstLine="567"/>
      </w:pPr>
      <w:r w:rsidRPr="000E1737">
        <w:t xml:space="preserve">Socialinio draudimo tikslas - </w:t>
      </w:r>
      <w:r w:rsidRPr="00930D96">
        <w:t>tik</w:t>
      </w:r>
      <w:r w:rsidRPr="000E1737">
        <w:t xml:space="preserve"> pe</w:t>
      </w:r>
      <w:r w:rsidR="00B618E9">
        <w:t>rskirstyti gyventojų pajamas ir</w:t>
      </w:r>
      <w:r w:rsidRPr="000E1737">
        <w:t xml:space="preserve"> išlaidas, </w:t>
      </w:r>
      <w:r w:rsidR="00B618E9">
        <w:t>išlyginant</w:t>
      </w:r>
      <w:r w:rsidRPr="000E1737">
        <w:t xml:space="preserve"> nesinchronizuotą gebėjimą už</w:t>
      </w:r>
      <w:r w:rsidR="00B618E9">
        <w:t>si</w:t>
      </w:r>
      <w:r w:rsidRPr="000E1737">
        <w:t xml:space="preserve">dirbti pajamas ir pageidaujamą </w:t>
      </w:r>
      <w:r w:rsidR="00B618E9">
        <w:t xml:space="preserve">savo </w:t>
      </w:r>
      <w:r w:rsidRPr="000E1737">
        <w:t xml:space="preserve">vartojimą per visą savo gyvenimo ciklą. </w:t>
      </w:r>
      <w:r w:rsidRPr="00130FFC">
        <w:t xml:space="preserve">Valstybinis socialinis draudimas remiasi kartų solidarumo principu: esami dirbantieji moka socialinio draudimo įmokas, kuriomis finansuojamos esamų pensininkų pensijos. </w:t>
      </w:r>
      <w:r w:rsidRPr="000E1737">
        <w:t xml:space="preserve">Pagal šią sistemą kiekviena </w:t>
      </w:r>
      <w:r w:rsidR="00130FFC">
        <w:t>vėlesnioji karta, mokėdama VSD įmokas,</w:t>
      </w:r>
      <w:r w:rsidRPr="000E1737">
        <w:t xml:space="preserve"> finansuoja ankstesnės kartos pensines išmokas. </w:t>
      </w:r>
      <w:r>
        <w:t>Tokiu b</w:t>
      </w:r>
      <w:r w:rsidR="00130FFC">
        <w:t>ūdu vienų metų pensijų išlaidos yra pa</w:t>
      </w:r>
      <w:r>
        <w:t xml:space="preserve">dengiamos tų pačių metų įmokomis. </w:t>
      </w:r>
      <w:r w:rsidRPr="000E1737">
        <w:t>Solidarumo išlaikymas</w:t>
      </w:r>
      <w:r w:rsidRPr="00EA2491">
        <w:t xml:space="preserve"> tarp skirtingų kartų yra būtina sąlyga tam, kad toks finansavimo mechanizmas funkcionuotų, </w:t>
      </w:r>
      <w:r w:rsidR="00130FFC">
        <w:t xml:space="preserve">t.y. ši sistema gali veikti pakankamai sklandžiai </w:t>
      </w:r>
      <w:r w:rsidR="00130FFC" w:rsidRPr="00130FFC">
        <w:t>tik esant</w:t>
      </w:r>
      <w:r w:rsidRPr="00130FFC">
        <w:t xml:space="preserve"> </w:t>
      </w:r>
      <w:r w:rsidR="00130FFC" w:rsidRPr="00130FFC">
        <w:t xml:space="preserve">panašiam kiekybiniam </w:t>
      </w:r>
      <w:r w:rsidR="00130FFC" w:rsidRPr="00130FFC">
        <w:lastRenderedPageBreak/>
        <w:t>santykiui</w:t>
      </w:r>
      <w:r w:rsidRPr="00130FFC">
        <w:t xml:space="preserve"> tarp kartų</w:t>
      </w:r>
      <w:r w:rsidR="00130FFC" w:rsidRPr="00130FFC">
        <w:t>.</w:t>
      </w:r>
      <w:r w:rsidRPr="00130FFC">
        <w:rPr>
          <w:rStyle w:val="Puslapioinaosnuoroda"/>
        </w:rPr>
        <w:footnoteReference w:id="18"/>
      </w:r>
      <w:r w:rsidRPr="00130FFC">
        <w:t xml:space="preserve"> </w:t>
      </w:r>
      <w:r w:rsidRPr="003A0274">
        <w:t>Kintančios ekonominės bei demografinės aplinkybės einamųjų įmokų pensijų sistemą padaro labai pažeidžiamą, nes išmokų dydis kartų solidarumo sistemoje priklauso nuo dirbančiųjų</w:t>
      </w:r>
      <w:r w:rsidR="003D00F5">
        <w:t xml:space="preserve"> visuomenės narių įmokų dydžių.</w:t>
      </w:r>
      <w:r w:rsidR="003D00F5" w:rsidRPr="003A0274">
        <w:rPr>
          <w:rStyle w:val="Puslapioinaosnuoroda"/>
        </w:rPr>
        <w:footnoteReference w:id="19"/>
      </w:r>
      <w:r w:rsidR="003D00F5">
        <w:t xml:space="preserve"> </w:t>
      </w:r>
      <w:r w:rsidR="003D00F5" w:rsidRPr="00501D6E">
        <w:t>D</w:t>
      </w:r>
      <w:r w:rsidRPr="00501D6E">
        <w:t>ėl</w:t>
      </w:r>
      <w:r w:rsidR="00F13495" w:rsidRPr="00501D6E">
        <w:t xml:space="preserve"> </w:t>
      </w:r>
      <w:r w:rsidRPr="00501D6E">
        <w:t xml:space="preserve">to valstybei </w:t>
      </w:r>
      <w:r w:rsidR="003D00F5" w:rsidRPr="00501D6E">
        <w:t>tampa vis sudėtingiau</w:t>
      </w:r>
      <w:r w:rsidRPr="00501D6E">
        <w:t xml:space="preserve"> spręsti pagy</w:t>
      </w:r>
      <w:r w:rsidR="00F13495" w:rsidRPr="00501D6E">
        <w:t>venusių žmonių gerovės klausimą ir</w:t>
      </w:r>
      <w:r w:rsidRPr="00501D6E">
        <w:t xml:space="preserve"> ji </w:t>
      </w:r>
      <w:r w:rsidR="00F13495" w:rsidRPr="00501D6E">
        <w:t xml:space="preserve">yra priversta ieškoti </w:t>
      </w:r>
      <w:r w:rsidR="003D00F5" w:rsidRPr="00501D6E">
        <w:t xml:space="preserve">konkrečių </w:t>
      </w:r>
      <w:r w:rsidR="00F13495" w:rsidRPr="00501D6E">
        <w:t>sprendimų.</w:t>
      </w:r>
      <w:r w:rsidRPr="00501D6E">
        <w:t xml:space="preserve"> </w:t>
      </w:r>
    </w:p>
    <w:p w:rsidR="00445C7E" w:rsidRDefault="009311B3" w:rsidP="00B44EC4">
      <w:pPr>
        <w:pStyle w:val="Betarp"/>
        <w:spacing w:line="360" w:lineRule="auto"/>
        <w:ind w:firstLine="567"/>
        <w:rPr>
          <w:color w:val="FF0000"/>
        </w:rPr>
      </w:pPr>
      <w:r w:rsidRPr="00501D6E">
        <w:t>Gudaičio T. teigimu, d</w:t>
      </w:r>
      <w:r w:rsidR="00445C7E" w:rsidRPr="00501D6E">
        <w:t xml:space="preserve">idėjant </w:t>
      </w:r>
      <w:r w:rsidR="003A0274" w:rsidRPr="00501D6E">
        <w:t>pensininkų</w:t>
      </w:r>
      <w:r w:rsidR="00445C7E" w:rsidRPr="00501D6E">
        <w:t xml:space="preserve"> skaičiui, paprasčiausi visuomenės senėjimo s</w:t>
      </w:r>
      <w:r w:rsidR="003A0274" w:rsidRPr="00501D6E">
        <w:t>ukeliamų problemų sprendimai būtų</w:t>
      </w:r>
      <w:r w:rsidR="00445C7E" w:rsidRPr="00501D6E">
        <w:t xml:space="preserve"> socialinės įmokos tarifo padidinimas arba pensijinio amžiaus didinimas. Tačiau</w:t>
      </w:r>
      <w:r w:rsidR="003A0274" w:rsidRPr="00501D6E">
        <w:t xml:space="preserve">, </w:t>
      </w:r>
      <w:r w:rsidRPr="00501D6E">
        <w:t xml:space="preserve">minėto autoriaus </w:t>
      </w:r>
      <w:r w:rsidR="003A0274" w:rsidRPr="00501D6E">
        <w:t>nuomone,</w:t>
      </w:r>
      <w:r w:rsidR="00445C7E" w:rsidRPr="00501D6E">
        <w:t xml:space="preserve"> </w:t>
      </w:r>
      <w:r w:rsidR="00445C7E" w:rsidRPr="009311B3">
        <w:t>šie sprendimai y</w:t>
      </w:r>
      <w:r w:rsidR="003A0274" w:rsidRPr="009311B3">
        <w:t>ra vertinami nevienareikšmiškai, kadangi s</w:t>
      </w:r>
      <w:r w:rsidR="00445C7E" w:rsidRPr="009311B3">
        <w:t>ocialinių įmokų tarifo didinimas sumažina įmo</w:t>
      </w:r>
      <w:r w:rsidR="003A0274" w:rsidRPr="009311B3">
        <w:t>kų mokėtojų vartojimo galimybes, o</w:t>
      </w:r>
      <w:r w:rsidR="00445C7E" w:rsidRPr="009311B3">
        <w:t xml:space="preserve"> didesni įmokų dydžiai gali sukelti neigiamų ekonominių pasekmių – brangsta darbo jėga. Tai </w:t>
      </w:r>
      <w:r w:rsidRPr="009311B3">
        <w:t xml:space="preserve">savo ruožtu </w:t>
      </w:r>
      <w:r w:rsidR="00445C7E" w:rsidRPr="009311B3">
        <w:t xml:space="preserve">gali įtakoti tiesioginių </w:t>
      </w:r>
      <w:r w:rsidRPr="009311B3">
        <w:t>užsienio investicijų sumažėjimą ir</w:t>
      </w:r>
      <w:r w:rsidR="00445C7E" w:rsidRPr="009311B3">
        <w:t xml:space="preserve"> šešėlinės ekonomikos didėjimą. </w:t>
      </w:r>
      <w:r w:rsidRPr="009311B3">
        <w:t>Tuo tarpu i</w:t>
      </w:r>
      <w:r w:rsidR="00445C7E" w:rsidRPr="009311B3">
        <w:t xml:space="preserve">šėjimo į pensiją amžiaus nukėlimas darbo rinkoje išlaikytų efektyviai dirbti jau negalinčius asmenis, todėl sumažėtų ekonominis efektyvumas. </w:t>
      </w:r>
      <w:r>
        <w:t>T</w:t>
      </w:r>
      <w:r w:rsidR="00445C7E" w:rsidRPr="009311B3">
        <w:t>am, kad ir toliau pensininkų karta gautų tinkamo dydžio išmokas, o dirbančiajai kartai įmokų našta būtų pakeliama, tokiu būdu užtikrinant senatvės pensijų sistemos veikimo efektyvumą, vis dažniau teigiama, kad ją turi sudaryti kelios pensijų pakopos, o jų valdymas turėtų būti paskirstytas tarp viešo ir privataus sektoriaus.</w:t>
      </w:r>
      <w:r w:rsidR="00576036" w:rsidRPr="00501D6E">
        <w:rPr>
          <w:rStyle w:val="Puslapioinaosnuoroda"/>
        </w:rPr>
        <w:footnoteReference w:id="20"/>
      </w:r>
      <w:r w:rsidR="00576036" w:rsidRPr="00501D6E">
        <w:t xml:space="preserve"> </w:t>
      </w:r>
      <w:r w:rsidR="00445C7E" w:rsidRPr="009311B3">
        <w:t xml:space="preserve"> </w:t>
      </w:r>
      <w:r w:rsidR="00445C7E">
        <w:t xml:space="preserve">Be to </w:t>
      </w:r>
      <w:r w:rsidR="00445C7E" w:rsidRPr="00EA2491">
        <w:t xml:space="preserve">Konstitucinis teismas dar 2002 m. lapkričio 25 d. </w:t>
      </w:r>
      <w:r w:rsidR="00445C7E" w:rsidRPr="004A2100">
        <w:t xml:space="preserve">nutarime yra pasakęs, kad „pilietinėje visuomenėje solidarumo principas nepaneigia asmeninės atsakomybės už savo likimą, todėl socialinės apsaugos teisinis reguliavimas turi būti toks, kad būtų sudarytos prielaidos ir paskatos kiekvienam visuomenės nariui pačiam pasirūpinti savo gerove &lt;..&gt;“. Tokia teismo pozicija įtvirtino individualią atsakomybę už savo gerovę. Tokiu būdu siekta, kad valstybinės pensijų sistemos reforma padidintų asmeninių santaupų vaidmenį senatvės pajamoms. </w:t>
      </w:r>
      <w:r w:rsidR="00F13495">
        <w:t>P</w:t>
      </w:r>
      <w:r w:rsidR="00445C7E" w:rsidRPr="00DC2ADD">
        <w:t>ensijų fondai socialine prasme pasaulyje vaidina svarbų vaidmenį aprūpinant reikiamų pajamų gavimą pensininkams. Tačiau</w:t>
      </w:r>
      <w:r w:rsidR="00445C7E" w:rsidRPr="004A2100">
        <w:t xml:space="preserve"> 2007 m. rugsėjo 26 d. Konstitucinio teismo nutarime teigiama</w:t>
      </w:r>
      <w:r w:rsidR="00445C7E" w:rsidRPr="00EA2491">
        <w:t xml:space="preserve">, kad </w:t>
      </w:r>
      <w:r w:rsidR="00445C7E" w:rsidRPr="004A2100">
        <w:t>„valstybė turi kurti tokią socialinio aprūpinimo sistemą, kuri padėtų išlaikyti asmens orumą atitinkančias gyvenimo sąlygas. Tam tikrų įsipareigojimų vykdymo našta tam tikra apimtimi turi būti paskirstyta ir visuomenės nariams, tačiau tas paskirstymas turi būti konstituciškai pagrįstas, jis negali būti neproporcingas, negali paneigti valstybės socialinės orientacijos ir iš Konstitucijos kylančių įsipareigojimų valstybei.</w:t>
      </w:r>
      <w:r w:rsidR="00995BAF">
        <w:t xml:space="preserve"> </w:t>
      </w:r>
      <w:r w:rsidR="00995BAF" w:rsidRPr="004A2100">
        <w:t>Toks abipusės asmens ir visuomenės atsakomybės pripažinimas yra svarbus užtikrinant socialinę darną, laiduojant asmens laisvę ir galimybę apsisaugoti nuo sunkumų, kurių jis vienas nepajėgtų įveikti.</w:t>
      </w:r>
      <w:r w:rsidR="00445C7E" w:rsidRPr="004A2100">
        <w:t>“</w:t>
      </w:r>
      <w:r w:rsidR="00445C7E" w:rsidRPr="004A2100">
        <w:rPr>
          <w:rStyle w:val="Puslapioinaosnuoroda"/>
        </w:rPr>
        <w:footnoteReference w:id="21"/>
      </w:r>
      <w:r w:rsidR="00445C7E" w:rsidRPr="004A2100">
        <w:t xml:space="preserve"> Todėl bene vienintelis galimas susikaupusių problemų sprendimo būdas yra tokia pensijų sistema, kurioje deri ir vienas kitą papildo valstybinis bei privatus kaupiamųjų pensijų draudimas. Beje, Vakarų Europos šalių praktika rodo, kad privatūs pensijų fondai nepakeičia </w:t>
      </w:r>
      <w:r w:rsidR="00445C7E" w:rsidRPr="004A2100">
        <w:lastRenderedPageBreak/>
        <w:t>privalomojo socialinio draudimo, o jį tik papildo.</w:t>
      </w:r>
      <w:r w:rsidR="00445C7E" w:rsidRPr="004A2100">
        <w:rPr>
          <w:rFonts w:ascii="MSTT31ca07" w:hAnsi="MSTT31ca07" w:cs="MSTT31ca07"/>
          <w:sz w:val="20"/>
          <w:szCs w:val="20"/>
          <w:lang w:eastAsia="lt-LT"/>
        </w:rPr>
        <w:t xml:space="preserve"> </w:t>
      </w:r>
      <w:r w:rsidR="00445C7E" w:rsidRPr="004A2100">
        <w:t xml:space="preserve">Valstybinis socialinis draudimas užtikrina minimalią socialinę gyventojų apsaugą senatvėje (pensija </w:t>
      </w:r>
      <w:r w:rsidR="00AB5497">
        <w:t>sudaro 35-40 proc.</w:t>
      </w:r>
      <w:r w:rsidR="00445C7E" w:rsidRPr="004A2100">
        <w:t xml:space="preserve"> vidutinio asmens darbo užmokesčio), </w:t>
      </w:r>
      <w:r w:rsidR="00445C7E">
        <w:t xml:space="preserve">tuo tarpu </w:t>
      </w:r>
      <w:r w:rsidR="00445C7E" w:rsidRPr="004A2100">
        <w:t>pensijų fondai formuoja antrąją pensijų sistemos pakopą, kuri pa</w:t>
      </w:r>
      <w:r w:rsidR="00AB5497">
        <w:t>pildo pirmąją iki 60-70 proc.</w:t>
      </w:r>
      <w:r w:rsidR="00445C7E" w:rsidRPr="004A2100">
        <w:t xml:space="preserve"> asmens vidutinio darbo užmokesčio.</w:t>
      </w:r>
      <w:r w:rsidR="00445C7E" w:rsidRPr="004A2100">
        <w:rPr>
          <w:rStyle w:val="Puslapioinaosnuoroda"/>
        </w:rPr>
        <w:footnoteReference w:id="22"/>
      </w:r>
      <w:r w:rsidR="00445C7E">
        <w:rPr>
          <w:color w:val="FF0000"/>
        </w:rPr>
        <w:t xml:space="preserve"> </w:t>
      </w:r>
    </w:p>
    <w:p w:rsidR="00CB0F77" w:rsidRPr="002E0417" w:rsidRDefault="00445C7E" w:rsidP="007E589B">
      <w:pPr>
        <w:pStyle w:val="Betarp"/>
        <w:spacing w:line="360" w:lineRule="auto"/>
        <w:ind w:firstLine="567"/>
      </w:pPr>
      <w:r w:rsidRPr="00305BEB">
        <w:t>Įgyvendinant socialinio draudimo sistemos reformą buvo siekiama kaupimo pensijai procesą padaryti efektyvesnį. Iki tol</w:t>
      </w:r>
      <w:r>
        <w:t>,</w:t>
      </w:r>
      <w:r w:rsidRPr="00305BEB">
        <w:t xml:space="preserve"> </w:t>
      </w:r>
      <w:r w:rsidRPr="00251675">
        <w:t>kaip minėta,</w:t>
      </w:r>
      <w:r w:rsidRPr="00305BEB">
        <w:t xml:space="preserve"> „Sodra“ tik perskirstydavo surenkamus mokesčius, tačiau tiesioginis kaupimas nevyko.</w:t>
      </w:r>
      <w:r w:rsidRPr="00305BEB">
        <w:rPr>
          <w:rStyle w:val="Puslapioinaosnuoroda"/>
        </w:rPr>
        <w:footnoteReference w:id="23"/>
      </w:r>
      <w:r>
        <w:rPr>
          <w:color w:val="FF0000"/>
        </w:rPr>
        <w:t xml:space="preserve"> </w:t>
      </w:r>
      <w:r w:rsidR="006B05F4" w:rsidRPr="00501D6E">
        <w:t>Kaip nurodo Bitinas A., „k</w:t>
      </w:r>
      <w:r w:rsidRPr="00501D6E">
        <w:t xml:space="preserve">aupiamoji </w:t>
      </w:r>
      <w:r w:rsidRPr="00A923C7">
        <w:t xml:space="preserve">pensijų sistema yra grindžiama ne kartų solidarumo principu, bet </w:t>
      </w:r>
      <w:r w:rsidRPr="002E0417">
        <w:t>rinkos principais.</w:t>
      </w:r>
      <w:r w:rsidR="006B05F4" w:rsidRPr="002E0417">
        <w:t>“</w:t>
      </w:r>
      <w:r w:rsidRPr="002E0417">
        <w:rPr>
          <w:rStyle w:val="Puslapioinaosnuoroda"/>
        </w:rPr>
        <w:footnoteReference w:id="24"/>
      </w:r>
      <w:r w:rsidRPr="002E0417">
        <w:t xml:space="preserve"> Kaupdami dalį įmokų</w:t>
      </w:r>
      <w:r w:rsidR="00ED659E" w:rsidRPr="002E0417">
        <w:t>,</w:t>
      </w:r>
      <w:r w:rsidRPr="002E0417">
        <w:t xml:space="preserve"> žmonės gauna ir didesnes pensijas, nes investicijų grąža paprastai yra didesnė nei darbo užmokesčio augimas.</w:t>
      </w:r>
      <w:r w:rsidRPr="002E0417">
        <w:rPr>
          <w:rStyle w:val="Puslapioinaosnuoroda"/>
        </w:rPr>
        <w:footnoteReference w:id="25"/>
      </w:r>
      <w:r w:rsidR="004377D8" w:rsidRPr="002E0417">
        <w:t xml:space="preserve"> Turima omenyje tai, kad</w:t>
      </w:r>
      <w:r w:rsidR="00AB117F" w:rsidRPr="002E0417">
        <w:t xml:space="preserve"> dalis VSD įmokų, atiduotų</w:t>
      </w:r>
      <w:r w:rsidR="004377D8" w:rsidRPr="002E0417">
        <w:t xml:space="preserve"> privatiems </w:t>
      </w:r>
      <w:r w:rsidR="00AE0699" w:rsidRPr="002E0417">
        <w:t>p</w:t>
      </w:r>
      <w:r w:rsidR="006B05F4" w:rsidRPr="002E0417">
        <w:t>ensijų fondams bus investuojamos</w:t>
      </w:r>
      <w:r w:rsidR="004377D8" w:rsidRPr="002E0417">
        <w:t xml:space="preserve"> ir duos kapitalo pajamas, </w:t>
      </w:r>
      <w:r w:rsidR="006B05F4" w:rsidRPr="002E0417">
        <w:t>augsiančias</w:t>
      </w:r>
      <w:r w:rsidR="004377D8" w:rsidRPr="002E0417">
        <w:t xml:space="preserve"> sparčiau, negu socialinio draudimo pensijos, </w:t>
      </w:r>
      <w:r w:rsidR="00AB117F" w:rsidRPr="002E0417">
        <w:t>besiremiančios</w:t>
      </w:r>
      <w:r w:rsidR="004377D8" w:rsidRPr="002E0417">
        <w:t xml:space="preserve"> atlyginimų augimu</w:t>
      </w:r>
      <w:r w:rsidR="00581AFF" w:rsidRPr="002E0417">
        <w:t>.</w:t>
      </w:r>
      <w:r w:rsidR="004377D8" w:rsidRPr="002E0417">
        <w:t xml:space="preserve"> </w:t>
      </w:r>
      <w:r w:rsidR="00A923C7" w:rsidRPr="002E0417">
        <w:t>A</w:t>
      </w:r>
      <w:r w:rsidR="00581AFF" w:rsidRPr="002E0417">
        <w:t xml:space="preserve">pdraustojo socialiniu draudimu </w:t>
      </w:r>
      <w:r w:rsidR="00A5113A" w:rsidRPr="002E0417">
        <w:t>dalis įmokų</w:t>
      </w:r>
      <w:r w:rsidR="00BF6B5E" w:rsidRPr="002E0417">
        <w:t xml:space="preserve"> pervedama</w:t>
      </w:r>
      <w:r w:rsidR="00581AFF" w:rsidRPr="002E0417">
        <w:t xml:space="preserve"> privatiems pensijų fon</w:t>
      </w:r>
      <w:r w:rsidR="00A5113A" w:rsidRPr="002E0417">
        <w:t>dams. Pastarieji lėšas investuoja</w:t>
      </w:r>
      <w:r w:rsidR="00581AFF" w:rsidRPr="002E0417">
        <w:t xml:space="preserve"> kapita</w:t>
      </w:r>
      <w:r w:rsidR="00A5113A" w:rsidRPr="002E0417">
        <w:t>lo</w:t>
      </w:r>
      <w:r w:rsidR="00581AFF" w:rsidRPr="002E0417">
        <w:t xml:space="preserve"> rinkose iki </w:t>
      </w:r>
      <w:r w:rsidR="006B05F4" w:rsidRPr="002E0417">
        <w:t>to momento</w:t>
      </w:r>
      <w:r w:rsidR="00581AFF" w:rsidRPr="002E0417">
        <w:t>, kol asmuo sulauk</w:t>
      </w:r>
      <w:r w:rsidR="00A5113A" w:rsidRPr="002E0417">
        <w:t>ia</w:t>
      </w:r>
      <w:r w:rsidR="00581AFF" w:rsidRPr="002E0417">
        <w:t xml:space="preserve"> pensinio amžiaus. </w:t>
      </w:r>
      <w:r w:rsidR="005238E0" w:rsidRPr="002E0417">
        <w:t>Tuomet</w:t>
      </w:r>
      <w:r w:rsidR="00581AFF" w:rsidRPr="002E0417">
        <w:t xml:space="preserve"> pensijų fondas apdraustojo asmens naudai </w:t>
      </w:r>
      <w:r w:rsidR="005238E0" w:rsidRPr="002E0417">
        <w:t>turi nupirkti</w:t>
      </w:r>
      <w:r w:rsidR="00581AFF" w:rsidRPr="002E0417">
        <w:t xml:space="preserve"> anuitetą (pensiją iki gyvos galvos) iš gyvybės draudimo bendrovės. </w:t>
      </w:r>
      <w:r w:rsidR="00F13495" w:rsidRPr="002E0417">
        <w:t>Vis dėlto, š</w:t>
      </w:r>
      <w:r w:rsidR="00BF6B5E" w:rsidRPr="002E0417">
        <w:t>ioje vietoje, e</w:t>
      </w:r>
      <w:r w:rsidR="00BF6B5E" w:rsidRPr="002E0417">
        <w:rPr>
          <w:rFonts w:eastAsia="Times New Roman"/>
          <w:szCs w:val="20"/>
          <w:lang w:eastAsia="lt-LT"/>
        </w:rPr>
        <w:t>konomistai, turėdami omenyje kartų ryšio esmę, politikų argumentus</w:t>
      </w:r>
      <w:r w:rsidR="00A923C7" w:rsidRPr="002E0417">
        <w:rPr>
          <w:rFonts w:eastAsia="Times New Roman"/>
          <w:szCs w:val="20"/>
          <w:lang w:eastAsia="lt-LT"/>
        </w:rPr>
        <w:t>,</w:t>
      </w:r>
      <w:r w:rsidR="00BF6B5E" w:rsidRPr="002E0417">
        <w:rPr>
          <w:rFonts w:eastAsia="Times New Roman"/>
          <w:szCs w:val="20"/>
          <w:lang w:eastAsia="lt-LT"/>
        </w:rPr>
        <w:t xml:space="preserve"> </w:t>
      </w:r>
      <w:r w:rsidR="00A923C7" w:rsidRPr="002E0417">
        <w:rPr>
          <w:rFonts w:eastAsia="Times New Roman"/>
          <w:szCs w:val="20"/>
          <w:lang w:eastAsia="lt-LT"/>
        </w:rPr>
        <w:t xml:space="preserve">privatizuojant socialinio draudimo pensijas, </w:t>
      </w:r>
      <w:r w:rsidR="00BF6B5E" w:rsidRPr="002E0417">
        <w:rPr>
          <w:rFonts w:eastAsia="Times New Roman"/>
          <w:szCs w:val="20"/>
          <w:lang w:eastAsia="lt-LT"/>
        </w:rPr>
        <w:t>nutraukti kartų tarpusavio priklausomybę</w:t>
      </w:r>
      <w:r w:rsidR="00223F74" w:rsidRPr="002E0417">
        <w:rPr>
          <w:rFonts w:eastAsia="Times New Roman"/>
          <w:szCs w:val="20"/>
          <w:lang w:eastAsia="lt-LT"/>
        </w:rPr>
        <w:t>,</w:t>
      </w:r>
      <w:r w:rsidR="00BF6B5E" w:rsidRPr="002E0417">
        <w:rPr>
          <w:rFonts w:eastAsia="Times New Roman"/>
          <w:szCs w:val="20"/>
          <w:lang w:eastAsia="lt-LT"/>
        </w:rPr>
        <w:t xml:space="preserve"> vadina iliuzijomis, mitais ar bent nepagrįstomis viltimis.</w:t>
      </w:r>
      <w:r w:rsidR="00BF6B5E" w:rsidRPr="002E0417">
        <w:rPr>
          <w:rFonts w:eastAsia="Times New Roman"/>
          <w:b/>
          <w:szCs w:val="20"/>
          <w:lang w:eastAsia="lt-LT"/>
        </w:rPr>
        <w:t xml:space="preserve"> </w:t>
      </w:r>
      <w:r w:rsidR="00223F74" w:rsidRPr="002E0417">
        <w:rPr>
          <w:rFonts w:eastAsia="Times New Roman"/>
          <w:szCs w:val="20"/>
          <w:lang w:eastAsia="lt-LT"/>
        </w:rPr>
        <w:t>N</w:t>
      </w:r>
      <w:r w:rsidR="006D0972" w:rsidRPr="002E0417">
        <w:t>ors akivaizdaus ryšio tarp kartų kaupiamojoje sistemoje nėra, nes kiekviena karta savarankiškai kaupia turtą pensijų fonde, t</w:t>
      </w:r>
      <w:r w:rsidR="004377D8" w:rsidRPr="002E0417">
        <w:t>ačiau, kai darbinga karta sulaukia senatvės, ji sukauptą turtą turi paversti pajamomis. Tai galima pasiekti tik tą tu</w:t>
      </w:r>
      <w:r w:rsidR="006B05F4" w:rsidRPr="002E0417">
        <w:t xml:space="preserve">rtą parduodant darbingai kartai, kuri </w:t>
      </w:r>
      <w:r w:rsidR="004377D8" w:rsidRPr="002E0417">
        <w:t>kaip tik tam skiria savo algos dalį.</w:t>
      </w:r>
      <w:r w:rsidR="000D0814" w:rsidRPr="002E0417">
        <w:rPr>
          <w:rStyle w:val="Puslapioinaosnuoroda"/>
        </w:rPr>
        <w:t xml:space="preserve"> </w:t>
      </w:r>
      <w:r w:rsidR="00267A4E" w:rsidRPr="002E0417">
        <w:t xml:space="preserve">Taip tariama kartų nepriklausomybė </w:t>
      </w:r>
      <w:r w:rsidR="006B05F4" w:rsidRPr="002E0417">
        <w:t xml:space="preserve">dingsta </w:t>
      </w:r>
      <w:r w:rsidR="00267A4E" w:rsidRPr="002E0417">
        <w:t xml:space="preserve">ir čia, o pensijos irgi iš tikrųjų </w:t>
      </w:r>
      <w:r w:rsidR="006B05F4" w:rsidRPr="002E0417">
        <w:t xml:space="preserve">yra </w:t>
      </w:r>
      <w:r w:rsidR="00267A4E" w:rsidRPr="002E0417">
        <w:t>finansuojamos iš darbingos kartos algų</w:t>
      </w:r>
      <w:r w:rsidR="00267A4E" w:rsidRPr="002E0417">
        <w:rPr>
          <w:b/>
        </w:rPr>
        <w:t>.</w:t>
      </w:r>
      <w:r w:rsidR="00F13495" w:rsidRPr="002E0417">
        <w:rPr>
          <w:b/>
        </w:rPr>
        <w:t xml:space="preserve"> </w:t>
      </w:r>
      <w:r w:rsidR="006B05F4" w:rsidRPr="002E0417">
        <w:t>Vadinasi, k</w:t>
      </w:r>
      <w:r w:rsidR="00F13495" w:rsidRPr="002E0417">
        <w:t>iekvienu konkrečiu laikotarpiu darbinga karta sukuria produktą, kuriuo ji dalijasi su pensininkų karta. Nors ir galimos kelios pagrindinės tokių dalybų formos, tačiau</w:t>
      </w:r>
      <w:r w:rsidR="006B05F4" w:rsidRPr="002E0417">
        <w:t xml:space="preserve"> nė</w:t>
      </w:r>
      <w:r w:rsidR="00F13495" w:rsidRPr="002E0417">
        <w:t xml:space="preserve"> viena iš jų pensininkų kartos nepadaro nepriklausomos</w:t>
      </w:r>
      <w:r w:rsidR="006B05F4" w:rsidRPr="002E0417">
        <w:t xml:space="preserve"> viena nuo kitos</w:t>
      </w:r>
      <w:r w:rsidR="00F13495" w:rsidRPr="002E0417">
        <w:t>.</w:t>
      </w:r>
      <w:r w:rsidR="00267A4E" w:rsidRPr="002E0417">
        <w:rPr>
          <w:rStyle w:val="Puslapioinaosnuoroda"/>
        </w:rPr>
        <w:footnoteReference w:id="26"/>
      </w:r>
      <w:r w:rsidR="00267A4E" w:rsidRPr="002E0417">
        <w:rPr>
          <w:i/>
        </w:rPr>
        <w:t xml:space="preserve"> </w:t>
      </w:r>
      <w:r w:rsidR="00661412" w:rsidRPr="002E0417">
        <w:t>Europos Komisijos</w:t>
      </w:r>
      <w:r w:rsidR="00223F74" w:rsidRPr="002E0417">
        <w:t xml:space="preserve"> „Žaliojoje knygoje“</w:t>
      </w:r>
      <w:r w:rsidR="00223F74" w:rsidRPr="002E0417">
        <w:rPr>
          <w:rStyle w:val="Puslapioinaosnuoroda"/>
        </w:rPr>
        <w:footnoteReference w:id="27"/>
      </w:r>
      <w:r w:rsidR="00223F74" w:rsidRPr="002E0417">
        <w:t xml:space="preserve"> </w:t>
      </w:r>
      <w:r w:rsidR="00661412" w:rsidRPr="002E0417">
        <w:t>nurodoma, kad</w:t>
      </w:r>
      <w:r w:rsidR="00223F74" w:rsidRPr="002E0417">
        <w:t xml:space="preserve"> d</w:t>
      </w:r>
      <w:r w:rsidR="00AB117F" w:rsidRPr="002E0417">
        <w:t>emografinis senėjimas gali pav</w:t>
      </w:r>
      <w:r w:rsidR="00223F74" w:rsidRPr="002E0417">
        <w:t>eikti ir pensijų fondų sistemas, kadangi s</w:t>
      </w:r>
      <w:r w:rsidR="00AB117F" w:rsidRPr="002E0417">
        <w:t xml:space="preserve">enėjant visuomenei mažės ekonomikos augimo potencialas, </w:t>
      </w:r>
      <w:r w:rsidR="00223F74" w:rsidRPr="002E0417">
        <w:t>tokiu būdu</w:t>
      </w:r>
      <w:r w:rsidR="00AB117F" w:rsidRPr="002E0417">
        <w:t xml:space="preserve"> mažės ir grąža, o tai gali daryti poveikį finansinio turto kainoms. </w:t>
      </w:r>
      <w:r w:rsidR="004E3702" w:rsidRPr="00501D6E">
        <w:t>Taigi, e</w:t>
      </w:r>
      <w:r w:rsidR="00267A4E" w:rsidRPr="00501D6E">
        <w:t>inamojo finansavimo modeliui poveik</w:t>
      </w:r>
      <w:r w:rsidR="00267A4E" w:rsidRPr="00501D6E">
        <w:rPr>
          <w:rFonts w:hint="eastAsia"/>
        </w:rPr>
        <w:t>į</w:t>
      </w:r>
      <w:r w:rsidR="00267A4E" w:rsidRPr="00501D6E">
        <w:t xml:space="preserve"> daro ma</w:t>
      </w:r>
      <w:r w:rsidR="00267A4E" w:rsidRPr="00501D6E">
        <w:rPr>
          <w:rFonts w:hint="eastAsia"/>
        </w:rPr>
        <w:t>žė</w:t>
      </w:r>
      <w:r w:rsidR="00267A4E" w:rsidRPr="00501D6E">
        <w:t>jantis u</w:t>
      </w:r>
      <w:r w:rsidR="00267A4E" w:rsidRPr="00501D6E">
        <w:rPr>
          <w:rFonts w:hint="eastAsia"/>
        </w:rPr>
        <w:t>ž</w:t>
      </w:r>
      <w:r w:rsidR="00267A4E" w:rsidRPr="00501D6E">
        <w:t xml:space="preserve">imtumas ir </w:t>
      </w:r>
      <w:r w:rsidR="006B05F4" w:rsidRPr="00501D6E">
        <w:t>kartu</w:t>
      </w:r>
      <w:r w:rsidR="00267A4E" w:rsidRPr="00501D6E">
        <w:t xml:space="preserve"> su juo ma</w:t>
      </w:r>
      <w:r w:rsidR="00267A4E" w:rsidRPr="00501D6E">
        <w:rPr>
          <w:rFonts w:hint="eastAsia"/>
        </w:rPr>
        <w:t>žė</w:t>
      </w:r>
      <w:r w:rsidR="00267A4E" w:rsidRPr="00501D6E">
        <w:t>jan</w:t>
      </w:r>
      <w:r w:rsidR="00267A4E" w:rsidRPr="00501D6E">
        <w:rPr>
          <w:rFonts w:hint="eastAsia"/>
        </w:rPr>
        <w:t>č</w:t>
      </w:r>
      <w:r w:rsidR="00267A4E" w:rsidRPr="00501D6E">
        <w:t>ios pensij</w:t>
      </w:r>
      <w:r w:rsidR="00267A4E" w:rsidRPr="00501D6E">
        <w:rPr>
          <w:rFonts w:hint="eastAsia"/>
        </w:rPr>
        <w:t>ų</w:t>
      </w:r>
      <w:r w:rsidR="00267A4E" w:rsidRPr="00501D6E">
        <w:t xml:space="preserve"> </w:t>
      </w:r>
      <w:r w:rsidR="00267A4E" w:rsidRPr="00501D6E">
        <w:rPr>
          <w:rFonts w:hint="eastAsia"/>
        </w:rPr>
        <w:t>į</w:t>
      </w:r>
      <w:r w:rsidR="00267A4E" w:rsidRPr="00501D6E">
        <w:t>mokos.</w:t>
      </w:r>
      <w:r w:rsidR="004E3702" w:rsidRPr="00501D6E">
        <w:t xml:space="preserve"> I</w:t>
      </w:r>
      <w:r w:rsidR="00267A4E" w:rsidRPr="00501D6E">
        <w:t>nvesticin</w:t>
      </w:r>
      <w:r w:rsidR="00267A4E" w:rsidRPr="00501D6E">
        <w:rPr>
          <w:rFonts w:hint="eastAsia"/>
        </w:rPr>
        <w:t>į</w:t>
      </w:r>
      <w:r w:rsidR="00267A4E" w:rsidRPr="00501D6E">
        <w:t xml:space="preserve"> pensij</w:t>
      </w:r>
      <w:r w:rsidR="00267A4E" w:rsidRPr="00501D6E">
        <w:rPr>
          <w:rFonts w:hint="eastAsia"/>
        </w:rPr>
        <w:t>ų</w:t>
      </w:r>
      <w:r w:rsidR="00267A4E" w:rsidRPr="00501D6E">
        <w:t xml:space="preserve"> kaupimo model</w:t>
      </w:r>
      <w:r w:rsidR="00267A4E" w:rsidRPr="00501D6E">
        <w:rPr>
          <w:rFonts w:hint="eastAsia"/>
        </w:rPr>
        <w:t>į</w:t>
      </w:r>
      <w:r w:rsidR="00267A4E" w:rsidRPr="00501D6E">
        <w:t xml:space="preserve"> veikia ma</w:t>
      </w:r>
      <w:r w:rsidR="00267A4E" w:rsidRPr="00501D6E">
        <w:rPr>
          <w:rFonts w:hint="eastAsia"/>
        </w:rPr>
        <w:t>žė</w:t>
      </w:r>
      <w:r w:rsidR="00267A4E" w:rsidRPr="00501D6E">
        <w:t>janti turto vert</w:t>
      </w:r>
      <w:r w:rsidR="00267A4E" w:rsidRPr="00501D6E">
        <w:rPr>
          <w:rFonts w:hint="eastAsia"/>
        </w:rPr>
        <w:t>ė</w:t>
      </w:r>
      <w:r w:rsidR="00267A4E" w:rsidRPr="00501D6E">
        <w:t xml:space="preserve"> ir ma</w:t>
      </w:r>
      <w:r w:rsidR="00267A4E" w:rsidRPr="00501D6E">
        <w:rPr>
          <w:rFonts w:hint="eastAsia"/>
        </w:rPr>
        <w:t>žė</w:t>
      </w:r>
      <w:r w:rsidR="00267A4E" w:rsidRPr="00501D6E">
        <w:t>janti gr</w:t>
      </w:r>
      <w:r w:rsidR="00267A4E" w:rsidRPr="00501D6E">
        <w:rPr>
          <w:rFonts w:hint="eastAsia"/>
        </w:rPr>
        <w:t>ąž</w:t>
      </w:r>
      <w:r w:rsidR="00267A4E" w:rsidRPr="00501D6E">
        <w:t xml:space="preserve">a. </w:t>
      </w:r>
      <w:r w:rsidR="00F13495" w:rsidRPr="00501D6E">
        <w:t>Todėl t</w:t>
      </w:r>
      <w:r w:rsidR="00267A4E" w:rsidRPr="00501D6E">
        <w:t>uri b</w:t>
      </w:r>
      <w:r w:rsidR="00267A4E" w:rsidRPr="00501D6E">
        <w:rPr>
          <w:rFonts w:hint="eastAsia"/>
        </w:rPr>
        <w:t>ū</w:t>
      </w:r>
      <w:r w:rsidR="00267A4E" w:rsidRPr="00501D6E">
        <w:t>ti nustatyta tokia finansavimo tvarka, keliami reikalavimai ir darbo rinkos s</w:t>
      </w:r>
      <w:r w:rsidR="00267A4E" w:rsidRPr="00501D6E">
        <w:rPr>
          <w:rFonts w:hint="eastAsia"/>
        </w:rPr>
        <w:t>ą</w:t>
      </w:r>
      <w:r w:rsidR="00267A4E" w:rsidRPr="00501D6E">
        <w:t>lygos, kad b</w:t>
      </w:r>
      <w:r w:rsidR="00267A4E" w:rsidRPr="00501D6E">
        <w:rPr>
          <w:rFonts w:hint="eastAsia"/>
        </w:rPr>
        <w:t>ū</w:t>
      </w:r>
      <w:r w:rsidR="00267A4E" w:rsidRPr="00501D6E">
        <w:t>t</w:t>
      </w:r>
      <w:r w:rsidR="00267A4E" w:rsidRPr="00501D6E">
        <w:rPr>
          <w:rFonts w:hint="eastAsia"/>
        </w:rPr>
        <w:t>ų</w:t>
      </w:r>
      <w:r w:rsidR="00267A4E" w:rsidRPr="00501D6E">
        <w:t xml:space="preserve"> galima pasiekti </w:t>
      </w:r>
      <w:r w:rsidR="00267A4E" w:rsidRPr="00501D6E">
        <w:rPr>
          <w:rFonts w:hint="eastAsia"/>
        </w:rPr>
        <w:t>į</w:t>
      </w:r>
      <w:r w:rsidR="00267A4E" w:rsidRPr="00501D6E">
        <w:t>mok</w:t>
      </w:r>
      <w:r w:rsidR="00267A4E" w:rsidRPr="00501D6E">
        <w:rPr>
          <w:rFonts w:hint="eastAsia"/>
        </w:rPr>
        <w:t>ų</w:t>
      </w:r>
      <w:r w:rsidR="00267A4E" w:rsidRPr="00501D6E">
        <w:t xml:space="preserve"> ir i</w:t>
      </w:r>
      <w:r w:rsidR="00267A4E" w:rsidRPr="00501D6E">
        <w:rPr>
          <w:rFonts w:hint="eastAsia"/>
        </w:rPr>
        <w:t>š</w:t>
      </w:r>
      <w:r w:rsidR="00267A4E" w:rsidRPr="00501D6E">
        <w:t>mok</w:t>
      </w:r>
      <w:r w:rsidR="00267A4E" w:rsidRPr="00501D6E">
        <w:rPr>
          <w:rFonts w:hint="eastAsia"/>
        </w:rPr>
        <w:t>ų</w:t>
      </w:r>
      <w:r w:rsidR="00267A4E" w:rsidRPr="00501D6E">
        <w:t xml:space="preserve"> bei aktyvi</w:t>
      </w:r>
      <w:r w:rsidR="00267A4E" w:rsidRPr="00501D6E">
        <w:rPr>
          <w:rFonts w:hint="eastAsia"/>
        </w:rPr>
        <w:t>ų</w:t>
      </w:r>
      <w:r w:rsidR="00267A4E" w:rsidRPr="00501D6E">
        <w:t xml:space="preserve"> darbo </w:t>
      </w:r>
      <w:r w:rsidR="00267A4E" w:rsidRPr="00501D6E">
        <w:lastRenderedPageBreak/>
        <w:t>rinkos dalyvi</w:t>
      </w:r>
      <w:r w:rsidR="00267A4E" w:rsidRPr="00501D6E">
        <w:rPr>
          <w:rFonts w:hint="eastAsia"/>
        </w:rPr>
        <w:t>ų</w:t>
      </w:r>
      <w:r w:rsidR="00267A4E" w:rsidRPr="00501D6E">
        <w:t xml:space="preserve"> ir pensinink</w:t>
      </w:r>
      <w:r w:rsidR="00267A4E" w:rsidRPr="00501D6E">
        <w:rPr>
          <w:rFonts w:hint="eastAsia"/>
        </w:rPr>
        <w:t>ų</w:t>
      </w:r>
      <w:r w:rsidR="00267A4E" w:rsidRPr="00501D6E">
        <w:t xml:space="preserve"> skai</w:t>
      </w:r>
      <w:r w:rsidR="00267A4E" w:rsidRPr="00501D6E">
        <w:rPr>
          <w:rFonts w:hint="eastAsia"/>
        </w:rPr>
        <w:t>č</w:t>
      </w:r>
      <w:r w:rsidR="00267A4E" w:rsidRPr="00501D6E">
        <w:t>iaus pusiausvyr</w:t>
      </w:r>
      <w:r w:rsidR="00267A4E" w:rsidRPr="00501D6E">
        <w:rPr>
          <w:rFonts w:hint="eastAsia"/>
        </w:rPr>
        <w:t>ą</w:t>
      </w:r>
      <w:r w:rsidR="00267A4E" w:rsidRPr="00501D6E">
        <w:t>.</w:t>
      </w:r>
      <w:r w:rsidR="00267A4E" w:rsidRPr="00501D6E">
        <w:rPr>
          <w:rStyle w:val="Puslapioinaosnuoroda"/>
        </w:rPr>
        <w:footnoteReference w:id="28"/>
      </w:r>
      <w:r w:rsidR="00267A4E" w:rsidRPr="00501D6E">
        <w:t xml:space="preserve"> </w:t>
      </w:r>
      <w:r w:rsidR="00517299" w:rsidRPr="00501D6E">
        <w:t>Mažėjant</w:t>
      </w:r>
      <w:r w:rsidR="004377D8" w:rsidRPr="00501D6E">
        <w:t xml:space="preserve"> </w:t>
      </w:r>
      <w:r w:rsidR="004377D8" w:rsidRPr="002E0417">
        <w:t>dirbančiųjų ar daugėja</w:t>
      </w:r>
      <w:r w:rsidR="00517299" w:rsidRPr="002E0417">
        <w:t>nt</w:t>
      </w:r>
      <w:r w:rsidR="004377D8" w:rsidRPr="002E0417">
        <w:t xml:space="preserve"> pensininkų, kažkuriai iš kartų arba abiem tenka sumažinti vartojimą. To išvengti, keičiant pensijų sistemų organizavi</w:t>
      </w:r>
      <w:r w:rsidR="00517299" w:rsidRPr="002E0417">
        <w:t xml:space="preserve">mo principus, kas šiandien paprastai yra </w:t>
      </w:r>
      <w:r w:rsidR="004377D8" w:rsidRPr="002E0417">
        <w:t>siūloma, perėjimu nuo darbo rinka prie kapitalo rinka besiremiančių pensijų sistemų, neįmanoma.</w:t>
      </w:r>
      <w:r w:rsidR="00581AFF" w:rsidRPr="002E0417">
        <w:rPr>
          <w:rStyle w:val="Puslapioinaosnuoroda"/>
        </w:rPr>
        <w:footnoteReference w:id="29"/>
      </w:r>
      <w:r w:rsidR="007E589B" w:rsidRPr="002E0417">
        <w:t xml:space="preserve"> </w:t>
      </w:r>
      <w:r w:rsidR="00CB0F77" w:rsidRPr="002E0417">
        <w:t>Tačiau</w:t>
      </w:r>
      <w:r w:rsidR="000E0EF9" w:rsidRPr="002E0417">
        <w:t xml:space="preserve">, </w:t>
      </w:r>
      <w:r w:rsidR="00CB0F77" w:rsidRPr="002E0417">
        <w:t xml:space="preserve">čia yra svarbi aplinkybė, kad </w:t>
      </w:r>
      <w:r w:rsidR="000E0EF9" w:rsidRPr="002E0417">
        <w:rPr>
          <w:iCs/>
        </w:rPr>
        <w:t>einamojoje</w:t>
      </w:r>
      <w:r w:rsidR="00CB0F77" w:rsidRPr="002E0417">
        <w:t xml:space="preserve"> sistemoje vienos šalies dirbantieji turi uždirbti pinigus, </w:t>
      </w:r>
      <w:r w:rsidR="00517299" w:rsidRPr="002E0417">
        <w:t xml:space="preserve">kurie yra </w:t>
      </w:r>
      <w:r w:rsidR="00CB0F77" w:rsidRPr="002E0417">
        <w:t>rei</w:t>
      </w:r>
      <w:r w:rsidR="00517299" w:rsidRPr="002E0417">
        <w:t>kalingi</w:t>
      </w:r>
      <w:r w:rsidR="00CB0F77" w:rsidRPr="002E0417">
        <w:t xml:space="preserve"> dabartinėm</w:t>
      </w:r>
      <w:r w:rsidR="000E0EF9" w:rsidRPr="002E0417">
        <w:t>s tos šalies pensijoms išmokėti, o k</w:t>
      </w:r>
      <w:r w:rsidR="00CB0F77" w:rsidRPr="002E0417">
        <w:t>aupimo atveju, ši priklausomybė y</w:t>
      </w:r>
      <w:r w:rsidR="00517299" w:rsidRPr="002E0417">
        <w:t>ra išsidėsčiusi ilgesniame laikotarpyje</w:t>
      </w:r>
      <w:r w:rsidR="00CB0F77" w:rsidRPr="002E0417">
        <w:t xml:space="preserve"> ir, svarbiausia, per visas pasaulio rinkas. Todėl netgi jeigu senės visa žmonija, tai nevyks visose šalyse tolyg</w:t>
      </w:r>
      <w:r w:rsidR="000E0EF9" w:rsidRPr="002E0417">
        <w:t>iai, todėl rizika pasiskirstys.</w:t>
      </w:r>
      <w:r w:rsidR="000E0EF9" w:rsidRPr="002E0417">
        <w:rPr>
          <w:rStyle w:val="Puslapioinaosnuoroda"/>
        </w:rPr>
        <w:footnoteReference w:id="30"/>
      </w:r>
    </w:p>
    <w:p w:rsidR="00C3550A" w:rsidRPr="002E0417" w:rsidRDefault="00445C7E" w:rsidP="00B44EC4">
      <w:pPr>
        <w:pStyle w:val="Betarp"/>
        <w:spacing w:line="360" w:lineRule="auto"/>
        <w:ind w:firstLine="567"/>
      </w:pPr>
      <w:r w:rsidRPr="002E0417">
        <w:rPr>
          <w:i/>
        </w:rPr>
        <w:t xml:space="preserve"> Pensijų fondų reikalingumas svarbus ir šalies ekonomine prasme.</w:t>
      </w:r>
      <w:r w:rsidRPr="002E0417">
        <w:t xml:space="preserve"> Ekonominis pensijų fondų tikslas - paspartinti ekonomikos augimą bei tuo padidinti išteklius socialinei apsaugai. Išsivysčiusiose šalyse pensijų fondai yra vieni pagrindinių dalyvių finansų rinkose, kuriose milžiniškomis investicijomis dalyvauja finansinių priemonių prekyboje. Lietuvoje pensijų fondai veikia dar neilgą laiką, todėl didesnės įtakos finansų rinkoms kol kas neturi.</w:t>
      </w:r>
      <w:r w:rsidR="000E50D7" w:rsidRPr="002E0417">
        <w:rPr>
          <w:rStyle w:val="Puslapioinaosnuoroda"/>
        </w:rPr>
        <w:footnoteReference w:id="31"/>
      </w:r>
      <w:r w:rsidR="000E50D7" w:rsidRPr="002E0417">
        <w:t xml:space="preserve"> </w:t>
      </w:r>
      <w:r w:rsidR="00AB5497" w:rsidRPr="002E0417">
        <w:t xml:space="preserve">Beje, </w:t>
      </w:r>
      <w:r w:rsidR="00C3550A" w:rsidRPr="002E0417">
        <w:t>šiuo metu pensijų fondai, deja</w:t>
      </w:r>
      <w:r w:rsidR="00C8376F" w:rsidRPr="002E0417">
        <w:t>,</w:t>
      </w:r>
      <w:r w:rsidR="00C3550A" w:rsidRPr="002E0417">
        <w:t xml:space="preserve"> mažai prisideda prie kapitalo rinkos Lietuvoje pagyvėjimo, kadangi didelė dalis lėšų išplaukia į užsienį.</w:t>
      </w:r>
      <w:r w:rsidR="00C8376F" w:rsidRPr="002E0417">
        <w:t xml:space="preserve"> Lietuvoje veikiančių pensijų fondų investavimas užsienyje nėra ribojamas. To pasakoje 2012 metais iš viso Lietuvoje buvo investuota 30,11</w:t>
      </w:r>
      <w:r w:rsidR="00724027" w:rsidRPr="002E0417">
        <w:t xml:space="preserve"> proc.</w:t>
      </w:r>
      <w:r w:rsidR="00C8376F" w:rsidRPr="002E0417">
        <w:t xml:space="preserve">, o užsienyje – net </w:t>
      </w:r>
      <w:r w:rsidR="0037343B" w:rsidRPr="002E0417">
        <w:t>69</w:t>
      </w:r>
      <w:r w:rsidR="00C8376F" w:rsidRPr="002E0417">
        <w:t>,89 proc. II pakopos pensijų fondų turto (2 pav).</w:t>
      </w:r>
      <w:r w:rsidR="007146CA" w:rsidRPr="002E0417">
        <w:t xml:space="preserve"> Tiesa, pastebima tendencija, kad </w:t>
      </w:r>
      <w:r w:rsidR="009A2D79" w:rsidRPr="002E0417">
        <w:t xml:space="preserve">II pakopos </w:t>
      </w:r>
      <w:r w:rsidR="007146CA" w:rsidRPr="002E0417">
        <w:t>pensijų fondų valdytojai vis didesnę dalį lėšų investuoja į Lietuvos Vyriausybės vertybinius popierius (toliau - VVP). Remiantis Lietuvos Banko 2012 m. apžvalgoje</w:t>
      </w:r>
      <w:r w:rsidR="007146CA" w:rsidRPr="002E0417">
        <w:rPr>
          <w:rStyle w:val="Puslapioinaosnuoroda"/>
        </w:rPr>
        <w:footnoteReference w:id="32"/>
      </w:r>
      <w:r w:rsidR="007146CA" w:rsidRPr="002E0417">
        <w:t xml:space="preserve"> pateiktais duomenimis</w:t>
      </w:r>
      <w:r w:rsidR="000E50D7" w:rsidRPr="002E0417">
        <w:t>,</w:t>
      </w:r>
      <w:r w:rsidR="007146CA" w:rsidRPr="002E0417">
        <w:t xml:space="preserve"> 2012 m. pabaigoje į Lietuvos VVP buvo investuota </w:t>
      </w:r>
      <w:r w:rsidR="009A2D79" w:rsidRPr="002E0417">
        <w:t xml:space="preserve">apie </w:t>
      </w:r>
      <w:r w:rsidR="007146CA" w:rsidRPr="002E0417">
        <w:t>60,68 proc. daugiau lėšų, lyginant su 2010 m.</w:t>
      </w:r>
      <w:r w:rsidR="009A2D79" w:rsidRPr="002E0417">
        <w:t xml:space="preserve"> Šį </w:t>
      </w:r>
      <w:r w:rsidR="007146CA" w:rsidRPr="002E0417">
        <w:t xml:space="preserve">padidėjimą </w:t>
      </w:r>
      <w:r w:rsidR="009A2D79" w:rsidRPr="002E0417">
        <w:t xml:space="preserve">galima sieti su </w:t>
      </w:r>
      <w:r w:rsidR="007146CA" w:rsidRPr="002E0417">
        <w:t>Europos šalių vyriausybių skolos problemomis.</w:t>
      </w:r>
    </w:p>
    <w:p w:rsidR="000D0814" w:rsidRPr="002E0417" w:rsidRDefault="000D0814" w:rsidP="00B44EC4">
      <w:pPr>
        <w:pStyle w:val="Betarp"/>
        <w:spacing w:line="360" w:lineRule="auto"/>
        <w:ind w:firstLine="567"/>
      </w:pPr>
    </w:p>
    <w:p w:rsidR="00D5630E" w:rsidRPr="002E0417" w:rsidRDefault="00D5630E" w:rsidP="009A2D79">
      <w:pPr>
        <w:pStyle w:val="Betarp"/>
        <w:spacing w:line="360" w:lineRule="auto"/>
        <w:ind w:firstLine="0"/>
        <w:jc w:val="left"/>
      </w:pPr>
      <w:r w:rsidRPr="002E0417">
        <w:rPr>
          <w:noProof/>
          <w:lang w:eastAsia="lt-LT"/>
        </w:rPr>
        <w:lastRenderedPageBreak/>
        <w:drawing>
          <wp:inline distT="0" distB="0" distL="0" distR="0" wp14:anchorId="6141CCE2" wp14:editId="345DD178">
            <wp:extent cx="5635256" cy="1977656"/>
            <wp:effectExtent l="0" t="0" r="22860" b="2286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D06F8" w:rsidRPr="002E0417" w:rsidRDefault="006D06F8" w:rsidP="000F5759">
      <w:pPr>
        <w:pStyle w:val="Betarp"/>
        <w:spacing w:line="360" w:lineRule="auto"/>
        <w:ind w:firstLine="567"/>
        <w:rPr>
          <w:sz w:val="20"/>
          <w:szCs w:val="20"/>
        </w:rPr>
      </w:pPr>
      <w:r w:rsidRPr="002E0417">
        <w:rPr>
          <w:b/>
          <w:sz w:val="20"/>
          <w:szCs w:val="20"/>
        </w:rPr>
        <w:t>Šaltinis</w:t>
      </w:r>
      <w:r w:rsidRPr="002E0417">
        <w:rPr>
          <w:sz w:val="20"/>
          <w:szCs w:val="20"/>
        </w:rPr>
        <w:t xml:space="preserve">: </w:t>
      </w:r>
      <w:r w:rsidR="007146CA" w:rsidRPr="002E0417">
        <w:rPr>
          <w:sz w:val="20"/>
          <w:szCs w:val="20"/>
        </w:rPr>
        <w:t>Sudaryta remiantis</w:t>
      </w:r>
      <w:r w:rsidR="00E521C4" w:rsidRPr="002E0417">
        <w:rPr>
          <w:sz w:val="20"/>
          <w:szCs w:val="20"/>
        </w:rPr>
        <w:t xml:space="preserve"> </w:t>
      </w:r>
      <w:r w:rsidR="007146CA" w:rsidRPr="002E0417">
        <w:rPr>
          <w:sz w:val="20"/>
          <w:szCs w:val="20"/>
        </w:rPr>
        <w:t>Lietuvos Banko pateikta</w:t>
      </w:r>
      <w:r w:rsidRPr="002E0417">
        <w:rPr>
          <w:sz w:val="20"/>
          <w:szCs w:val="20"/>
        </w:rPr>
        <w:t xml:space="preserve"> Lietuvos II ir III pakopos pensijų fondų bei KIS rinkos apžvalga, 2012 m. IV ketv. ir 2012 metai</w:t>
      </w:r>
      <w:r w:rsidR="002471E3" w:rsidRPr="002E0417">
        <w:rPr>
          <w:sz w:val="20"/>
          <w:szCs w:val="20"/>
        </w:rPr>
        <w:t xml:space="preserve">, </w:t>
      </w:r>
      <w:r w:rsidR="000F5759" w:rsidRPr="002E0417">
        <w:rPr>
          <w:sz w:val="20"/>
          <w:szCs w:val="20"/>
        </w:rPr>
        <w:t>p. 7.</w:t>
      </w:r>
    </w:p>
    <w:p w:rsidR="00C8376F" w:rsidRPr="002E0417" w:rsidRDefault="00C8376F" w:rsidP="006D06F8">
      <w:pPr>
        <w:pStyle w:val="Betarp"/>
        <w:spacing w:line="360" w:lineRule="auto"/>
        <w:ind w:firstLine="0"/>
        <w:jc w:val="center"/>
        <w:rPr>
          <w:sz w:val="20"/>
          <w:szCs w:val="20"/>
        </w:rPr>
      </w:pPr>
    </w:p>
    <w:p w:rsidR="006D06F8" w:rsidRPr="002E0417" w:rsidRDefault="006D06F8" w:rsidP="006D06F8">
      <w:pPr>
        <w:pStyle w:val="Betarp"/>
        <w:spacing w:line="360" w:lineRule="auto"/>
        <w:ind w:firstLine="0"/>
        <w:jc w:val="center"/>
        <w:rPr>
          <w:b/>
          <w:sz w:val="20"/>
          <w:szCs w:val="20"/>
          <w:lang w:val="es-ES"/>
        </w:rPr>
      </w:pPr>
      <w:r w:rsidRPr="002E0417">
        <w:rPr>
          <w:sz w:val="20"/>
          <w:szCs w:val="20"/>
          <w:lang w:val="es-ES"/>
        </w:rPr>
        <w:t xml:space="preserve">2 pav. </w:t>
      </w:r>
      <w:r w:rsidRPr="002E0417">
        <w:rPr>
          <w:b/>
          <w:sz w:val="20"/>
          <w:szCs w:val="20"/>
          <w:lang w:val="es-ES"/>
        </w:rPr>
        <w:t>Vis</w:t>
      </w:r>
      <w:r w:rsidRPr="002E0417">
        <w:rPr>
          <w:b/>
          <w:sz w:val="20"/>
          <w:szCs w:val="20"/>
        </w:rPr>
        <w:t xml:space="preserve">ų II pakopos pensijų fondų investicijų geografinis pasiskirstymas </w:t>
      </w:r>
      <w:r w:rsidRPr="002E0417">
        <w:rPr>
          <w:b/>
          <w:sz w:val="20"/>
          <w:szCs w:val="20"/>
          <w:lang w:val="es-ES"/>
        </w:rPr>
        <w:t>2012 metais</w:t>
      </w:r>
    </w:p>
    <w:p w:rsidR="00517299" w:rsidRPr="002E0417" w:rsidRDefault="00517299" w:rsidP="006D06F8">
      <w:pPr>
        <w:pStyle w:val="Betarp"/>
        <w:spacing w:line="360" w:lineRule="auto"/>
        <w:ind w:firstLine="0"/>
        <w:jc w:val="center"/>
        <w:rPr>
          <w:sz w:val="20"/>
          <w:szCs w:val="20"/>
          <w:lang w:val="es-ES"/>
        </w:rPr>
      </w:pPr>
    </w:p>
    <w:p w:rsidR="00C8376F" w:rsidRPr="002E0417" w:rsidRDefault="007146CA" w:rsidP="00C8376F">
      <w:pPr>
        <w:pStyle w:val="Betarp"/>
        <w:spacing w:line="360" w:lineRule="auto"/>
        <w:ind w:firstLine="567"/>
      </w:pPr>
      <w:r w:rsidRPr="002E0417">
        <w:t>Tačiau</w:t>
      </w:r>
      <w:r w:rsidR="009E45DA" w:rsidRPr="002E0417">
        <w:t>,</w:t>
      </w:r>
      <w:r w:rsidRPr="002E0417">
        <w:t xml:space="preserve"> t</w:t>
      </w:r>
      <w:r w:rsidR="00C8376F" w:rsidRPr="002E0417">
        <w:t>iek dėl noro išvengti valiutų ar užsienio rinkos rizikos, tiek dėl valdžios siekio investici</w:t>
      </w:r>
      <w:r w:rsidR="00E71BA2" w:rsidRPr="002E0417">
        <w:t>jas nukreipti į savo šalies ūkį</w:t>
      </w:r>
      <w:r w:rsidR="009E45DA" w:rsidRPr="002E0417">
        <w:t>,</w:t>
      </w:r>
      <w:r w:rsidR="00E71BA2" w:rsidRPr="002E0417">
        <w:t xml:space="preserve"> </w:t>
      </w:r>
      <w:r w:rsidR="0046084D" w:rsidRPr="002E0417">
        <w:t>daugelio</w:t>
      </w:r>
      <w:r w:rsidR="00E71BA2" w:rsidRPr="002E0417">
        <w:t xml:space="preserve"> Europos šalių pensijų fondų investa</w:t>
      </w:r>
      <w:r w:rsidR="00537190" w:rsidRPr="002E0417">
        <w:t>vimas užsienyje yra ribojamas</w:t>
      </w:r>
      <w:r w:rsidR="001318F4" w:rsidRPr="002E0417">
        <w:t>.</w:t>
      </w:r>
      <w:r w:rsidR="00013352" w:rsidRPr="002E0417">
        <w:t xml:space="preserve"> </w:t>
      </w:r>
      <w:r w:rsidR="00F44FF6" w:rsidRPr="002E0417">
        <w:t>Austrijoje</w:t>
      </w:r>
      <w:r w:rsidR="00922763" w:rsidRPr="002E0417">
        <w:t xml:space="preserve"> teisės aktai numato, kad </w:t>
      </w:r>
      <w:r w:rsidR="00AA31BD" w:rsidRPr="002E0417">
        <w:t>30</w:t>
      </w:r>
      <w:r w:rsidR="00922763" w:rsidRPr="002E0417">
        <w:t xml:space="preserve"> proc. pensijų fondo turto turi būti investuojama</w:t>
      </w:r>
      <w:r w:rsidR="00E71BA2" w:rsidRPr="002E0417">
        <w:t xml:space="preserve"> </w:t>
      </w:r>
      <w:r w:rsidR="00922763" w:rsidRPr="002E0417">
        <w:t xml:space="preserve">jų vidaus rinkoje. Lenkijoje numatyta, kad užsienyje galima investuoti ne daugiau kaip 5 proc. </w:t>
      </w:r>
      <w:r w:rsidRPr="002E0417">
        <w:t>pensijų fondo</w:t>
      </w:r>
      <w:r w:rsidR="00922763" w:rsidRPr="002E0417">
        <w:t xml:space="preserve"> turto.</w:t>
      </w:r>
      <w:r w:rsidR="00F314DC" w:rsidRPr="002E0417">
        <w:rPr>
          <w:rStyle w:val="Puslapioinaosnuoroda"/>
        </w:rPr>
        <w:footnoteReference w:id="33"/>
      </w:r>
      <w:r w:rsidR="00AA31BD" w:rsidRPr="002E0417">
        <w:t xml:space="preserve"> </w:t>
      </w:r>
    </w:p>
    <w:p w:rsidR="00445C7E" w:rsidRPr="002E0417" w:rsidRDefault="0046084D" w:rsidP="007D5903">
      <w:pPr>
        <w:pStyle w:val="Betarp"/>
        <w:spacing w:line="360" w:lineRule="auto"/>
        <w:ind w:firstLine="567"/>
      </w:pPr>
      <w:r w:rsidRPr="002E0417">
        <w:t>A</w:t>
      </w:r>
      <w:r w:rsidR="00445C7E" w:rsidRPr="002E0417">
        <w:t xml:space="preserve">pibendrinant galima būtų teigti, kad Lietuvos pensijų sistemos neefektyvumas, blogėjantys demografiniai ir socialiniai rodikliai taip pat paskatino reformuoti pensijų sistemą, kad ir toliau pensininkų kartos gautų tinkamo dydžio išmokas, o įmokų mokėjimo našta dirbančiosioms kartoms būtų pakeliama. 2003 m. įvykdyta pensijų sistemos reforma iš dalies sumažino valstybinio socialinio draudimo pensijų pakankamumo garantijas. </w:t>
      </w:r>
      <w:r w:rsidR="00067359" w:rsidRPr="002E0417">
        <w:t>Tačiau, p</w:t>
      </w:r>
      <w:r w:rsidR="007D5903" w:rsidRPr="002E0417">
        <w:t xml:space="preserve">ensijų fondų sistemoje, kaip ir valstybinio socialinio draudimo sistemoje, priklausomybė tarp kartų išlieka, tik ji reiškiasi ne per darbo rinką, o per kapitalo rinką. </w:t>
      </w:r>
    </w:p>
    <w:p w:rsidR="00445C7E" w:rsidRPr="002E0417" w:rsidRDefault="00445C7E" w:rsidP="00B44EC4">
      <w:pPr>
        <w:pStyle w:val="Betarp"/>
        <w:spacing w:line="360" w:lineRule="auto"/>
        <w:ind w:firstLine="567"/>
      </w:pPr>
    </w:p>
    <w:p w:rsidR="00445C7E" w:rsidRDefault="00445C7E" w:rsidP="00B44EC4">
      <w:pPr>
        <w:pStyle w:val="Betarp"/>
        <w:spacing w:line="360" w:lineRule="auto"/>
        <w:ind w:firstLine="567"/>
        <w:rPr>
          <w:b/>
        </w:rPr>
      </w:pPr>
      <w:r w:rsidRPr="002E0417">
        <w:rPr>
          <w:b/>
        </w:rPr>
        <w:t xml:space="preserve">1.3. Pensijų fondų įsipareigojimai ir jų veiklos rizikos </w:t>
      </w:r>
      <w:r>
        <w:rPr>
          <w:b/>
        </w:rPr>
        <w:t>nustatymas</w:t>
      </w:r>
    </w:p>
    <w:p w:rsidR="00445C7E" w:rsidRDefault="00445C7E" w:rsidP="00B44EC4">
      <w:pPr>
        <w:pStyle w:val="Betarp"/>
        <w:spacing w:line="360" w:lineRule="auto"/>
        <w:ind w:firstLine="567"/>
        <w:rPr>
          <w:b/>
        </w:rPr>
      </w:pPr>
    </w:p>
    <w:p w:rsidR="00445C7E" w:rsidRDefault="00445C7E" w:rsidP="00B44EC4">
      <w:pPr>
        <w:pStyle w:val="Betarp"/>
        <w:spacing w:line="360" w:lineRule="auto"/>
        <w:ind w:firstLine="567"/>
        <w:rPr>
          <w:color w:val="FF0000"/>
        </w:rPr>
      </w:pPr>
      <w:r w:rsidRPr="00A829E9">
        <w:rPr>
          <w:b/>
        </w:rPr>
        <w:t>Pensijų fondų įsipareigojimai.</w:t>
      </w:r>
      <w:r>
        <w:t xml:space="preserve"> </w:t>
      </w:r>
      <w:r w:rsidRPr="00EC4418">
        <w:t>Privačių pensijų finansav</w:t>
      </w:r>
      <w:r>
        <w:t>imo principas - įmokų kaupimas bei</w:t>
      </w:r>
      <w:r w:rsidRPr="00EC4418">
        <w:t xml:space="preserve"> jų didinimas, investuojant jas kapitalo rinkoje. Svarbiausios pensijos fondo veiklos sritys: (1) rinkti lėšas įmokų forma, (2) veiksmingai investuoti / valdyti šias lėšas, (3) išmokėti šias lėšas fondo nariams išėjus į pensiją. Lėšų rinkimas ir išmokėjimas iš esmės yra administracinės funkcijos. </w:t>
      </w:r>
      <w:r>
        <w:t>Tuo tarpu, p</w:t>
      </w:r>
      <w:r w:rsidRPr="00EC4418">
        <w:t xml:space="preserve">ensijų fondų turto investavimas yra sudėtingesnė veiklos sritis, į kurią įeina strateginis investicinio </w:t>
      </w:r>
      <w:r w:rsidRPr="00EC4418">
        <w:lastRenderedPageBreak/>
        <w:t xml:space="preserve">portfelio paskirstymas ir investiciniai sprendimai, </w:t>
      </w:r>
      <w:r w:rsidRPr="00EC4418">
        <w:rPr>
          <w:noProof/>
        </w:rPr>
        <w:t xml:space="preserve">transakcinė </w:t>
      </w:r>
      <w:r w:rsidRPr="00EC4418">
        <w:t>veikla (sandorių vykdymas), vidaus ir išorės šalių, reikalingų vykdant lėšų valdymo funkciją, parinkimas ir priežiūra</w:t>
      </w:r>
      <w:r>
        <w:t>,</w:t>
      </w:r>
      <w:r w:rsidRPr="00EC4418">
        <w:t xml:space="preserve"> </w:t>
      </w:r>
      <w:r w:rsidRPr="00D947D8">
        <w:t>ir pan.</w:t>
      </w:r>
      <w:r w:rsidRPr="00D947D8">
        <w:rPr>
          <w:rStyle w:val="Puslapioinaosnuoroda"/>
        </w:rPr>
        <w:footnoteReference w:id="34"/>
      </w:r>
      <w:r w:rsidRPr="00D947D8">
        <w:rPr>
          <w:color w:val="FF0000"/>
        </w:rPr>
        <w:t xml:space="preserve"> </w:t>
      </w:r>
    </w:p>
    <w:p w:rsidR="00445C7E" w:rsidRPr="00B44EC4" w:rsidRDefault="00445C7E" w:rsidP="00BA7E23">
      <w:pPr>
        <w:pStyle w:val="Betarp"/>
        <w:spacing w:line="360" w:lineRule="auto"/>
        <w:ind w:firstLine="567"/>
      </w:pPr>
      <w:r w:rsidRPr="00501D6E">
        <w:t xml:space="preserve">Pensijų fondų turto investavimas yra viena iš pagrindinių funkcijų įgyvendinamų privačių pensijų fondų. Kaupimo modelyje </w:t>
      </w:r>
      <w:r w:rsidR="00C65F6F" w:rsidRPr="00501D6E">
        <w:t>dalyviai</w:t>
      </w:r>
      <w:r w:rsidRPr="00501D6E">
        <w:t xml:space="preserve"> iš pensijų sistemos gaus tiek, kiek </w:t>
      </w:r>
      <w:r w:rsidR="00501D6E" w:rsidRPr="00501D6E">
        <w:t>jie sumokėjo įmokų plius arba minus investicinis pelnas</w:t>
      </w:r>
      <w:r w:rsidRPr="00501D6E">
        <w:t>. Dirbančiojo įmokos yra kaupiamos privačiuose pensijų fonduose</w:t>
      </w:r>
      <w:r w:rsidR="00501D6E" w:rsidRPr="00501D6E">
        <w:t>, kurios vėliau</w:t>
      </w:r>
      <w:r w:rsidRPr="00501D6E">
        <w:t xml:space="preserve"> investuojamos. Tokiu būdu dirbančiojo nauda yra įmokos sumokėtos </w:t>
      </w:r>
      <w:r w:rsidR="00501D6E" w:rsidRPr="00501D6E">
        <w:t>nuo dirbančiojo atlyginimo bei</w:t>
      </w:r>
      <w:r w:rsidRPr="00501D6E">
        <w:t xml:space="preserve"> sukauptas investicinis pelnas. Pensijų </w:t>
      </w:r>
      <w:r w:rsidR="00501D6E" w:rsidRPr="00501D6E">
        <w:t xml:space="preserve">kaupimo </w:t>
      </w:r>
      <w:r w:rsidRPr="00501D6E">
        <w:t>dalyvių tikslas yra maksimizuoti fonde sukauptą turtą.</w:t>
      </w:r>
      <w:r w:rsidRPr="00501D6E">
        <w:rPr>
          <w:rStyle w:val="Puslapioinaosnuoroda"/>
        </w:rPr>
        <w:footnoteReference w:id="35"/>
      </w:r>
      <w:r w:rsidRPr="00501D6E">
        <w:t xml:space="preserve"> Pensijų </w:t>
      </w:r>
      <w:r w:rsidRPr="00AF6349">
        <w:t>kaupimo dalyviams sulaukus pensinio amžiaus ir pareikalavus išmokų pensijų kaupimo bendrovės privalo vykdyti įsipareigojimus. Pagrindinė rizika, su kuria susiduria su pensijų fondas, yra ta, kad jis gali neturėti pakankamai pinigų išmokėti pensijų įsipareigojimus. Turėtų būti aišku, kad išlaidos, kurias patiria pensijų fondai – mokamos pensijos</w:t>
      </w:r>
      <w:r>
        <w:t xml:space="preserve"> </w:t>
      </w:r>
      <w:r w:rsidRPr="00AF6349">
        <w:t>– yra įsipareigojimai, kurie gali būti vykdomi tik jei yra pakankamai lėšų. Be to, kad lėšos būtų investuojamos taip, kad užtikrintų pakankamai didelę grąžą, taip pat yra svarbu, kad lėšų investavimo būdas leistų vykdyti įsipareigojimus laiku. Pavyzdžiui, pensijų fondas, kuriame yra daug vidutinio amžiaus darbuotojų, netrukus išeinančių į pensiją, turi turėti likvidžių investicijų ir daugiau einamųjų pajamų, nei pensijų fondas, kuriame pensijų kaupimo dalyviai yra nuo dvidešimties iki keturiasdešimties metų amžiaus asmenys.</w:t>
      </w:r>
      <w:r>
        <w:t xml:space="preserve"> </w:t>
      </w:r>
      <w:r w:rsidRPr="00627C35">
        <w:t>Yra keletas investavimo metodų, kuriuos fondas gali įgyvendinti. Esmin</w:t>
      </w:r>
      <w:r>
        <w:t>is skirstymas</w:t>
      </w:r>
      <w:r w:rsidRPr="00627C35">
        <w:t xml:space="preserve"> egzistuoja tarp metodų, kurie iš esmės siekia suderinti turtą ir įsipareigojimus ir tų</w:t>
      </w:r>
      <w:r>
        <w:t xml:space="preserve"> metodų</w:t>
      </w:r>
      <w:r w:rsidRPr="00627C35">
        <w:t>, kuriais siekiama</w:t>
      </w:r>
      <w:r>
        <w:t xml:space="preserve"> didesnės investicijų grąžos, tuo būdu pasiūlant</w:t>
      </w:r>
      <w:r w:rsidRPr="00627C35">
        <w:t xml:space="preserve"> didesnę pensiją ateityje.</w:t>
      </w:r>
      <w:r w:rsidR="00DC6770">
        <w:rPr>
          <w:rStyle w:val="Puslapioinaosnuoroda"/>
        </w:rPr>
        <w:footnoteReference w:id="36"/>
      </w:r>
      <w:r w:rsidRPr="00627C35">
        <w:t xml:space="preserve"> </w:t>
      </w:r>
      <w:r>
        <w:t>Galima teigti, kad i</w:t>
      </w:r>
      <w:r w:rsidRPr="00627C35">
        <w:t xml:space="preserve">nvestavimo funkcija skiriasi priklausomai nuo pensijų plano tipo. </w:t>
      </w:r>
      <w:r>
        <w:t>Apibrėžtų</w:t>
      </w:r>
      <w:r w:rsidRPr="00627C35">
        <w:t xml:space="preserve"> išmokų plan</w:t>
      </w:r>
      <w:r>
        <w:t>o</w:t>
      </w:r>
      <w:r w:rsidRPr="00627C35">
        <w:t xml:space="preserve"> atveju</w:t>
      </w:r>
      <w:r>
        <w:t xml:space="preserve"> investavimo</w:t>
      </w:r>
      <w:r w:rsidRPr="00627C35">
        <w:t xml:space="preserve"> funkcijos tikslas yra sukurti aukščiausią įmanomą grąžą, atitinkančią pensijų plano įsiparei</w:t>
      </w:r>
      <w:r>
        <w:t>gojimus ir likvidumo poreikius. Apibrėžtų</w:t>
      </w:r>
      <w:r w:rsidRPr="00627C35">
        <w:t xml:space="preserve"> įmokų plano atveju pagrindinis </w:t>
      </w:r>
      <w:r>
        <w:t>investavimo</w:t>
      </w:r>
      <w:r w:rsidRPr="00627C35">
        <w:t xml:space="preserve"> funkcijos tikslas </w:t>
      </w:r>
      <w:r>
        <w:t>turėtų būti gauti</w:t>
      </w:r>
      <w:r w:rsidRPr="00627C35">
        <w:t xml:space="preserve"> pelną, kuris </w:t>
      </w:r>
      <w:r>
        <w:t>atitiktų atskirų pensijų kaupimo dalyvių</w:t>
      </w:r>
      <w:r w:rsidRPr="00627C35">
        <w:t xml:space="preserve"> investicini</w:t>
      </w:r>
      <w:r w:rsidRPr="004D559E">
        <w:t xml:space="preserve">us tikslus. </w:t>
      </w:r>
      <w:r w:rsidRPr="00C42DBB">
        <w:t xml:space="preserve">Tačiau pensijų fondai šiuo atveju neprisiima konkrečių įsipareigojimų, </w:t>
      </w:r>
      <w:r w:rsidR="00242D56" w:rsidRPr="00C42DBB">
        <w:t xml:space="preserve">t.y. pensijų fondai garantuoja </w:t>
      </w:r>
      <w:r w:rsidR="007C50AA" w:rsidRPr="00C42DBB">
        <w:t xml:space="preserve">savo </w:t>
      </w:r>
      <w:r w:rsidR="00242D56" w:rsidRPr="00C42DBB">
        <w:t>dalyviams ne iš anksto apibrėžtas ir žinomas, bet tokias išmokas, kokias pavyks sukaupti,</w:t>
      </w:r>
      <w:r w:rsidR="00242D56" w:rsidRPr="00C42DBB">
        <w:rPr>
          <w:rStyle w:val="Puslapioinaosnuoroda"/>
        </w:rPr>
        <w:footnoteReference w:id="37"/>
      </w:r>
      <w:r w:rsidR="00242D56" w:rsidRPr="00C42DBB">
        <w:t xml:space="preserve"> </w:t>
      </w:r>
      <w:r w:rsidRPr="007C50AA">
        <w:t xml:space="preserve">todėl atsiranda ir didesnio pensijų fondų veiklos reguliavimo būtinybė, kadangi pensijų fondų ir pensijų kaupimo dalyvių interesai gali išsiskirti. Vis dėlto, tiek apibrėžtų įmokų, tiek apibrėžtų išmokų atveju kyla klausimas, ar investicijų grąža bus pakankama tam, kad užtikrinti ateities įsipareigojimus. Neigiami investicijų rezultatai, gali sumažinti kaupiamas įmokas. Gali </w:t>
      </w:r>
      <w:r w:rsidR="007C50AA" w:rsidRPr="007C50AA">
        <w:t xml:space="preserve">atsitikti </w:t>
      </w:r>
      <w:r w:rsidRPr="007C50AA">
        <w:t xml:space="preserve">taip, </w:t>
      </w:r>
      <w:r w:rsidRPr="007C50AA">
        <w:lastRenderedPageBreak/>
        <w:t>kad siejamos viltys, prireikus mokėti išmokas nepasiteisins.</w:t>
      </w:r>
      <w:r w:rsidRPr="007C50AA">
        <w:rPr>
          <w:rStyle w:val="Puslapioinaosnuoroda"/>
        </w:rPr>
        <w:footnoteReference w:id="38"/>
      </w:r>
      <w:r w:rsidRPr="007C50AA">
        <w:t xml:space="preserve"> </w:t>
      </w:r>
      <w:r w:rsidRPr="00EC4418">
        <w:t>Todėl labai svarbu užtikrinti, kad kaupiamos lėšos būtų investuojamos taip, kad pensijų fondų turto vertė didėtų. Tyrimais yra nustatyta, kad rinkų, kuriose investuojama pasirinkimas įtakoja 80-90 procentų visos investicinės grąžos, o strateginio turto paskirstymo indėlis į bendrą pensijų fondų turto grąžą sudaro netgi 99.5 procentų.</w:t>
      </w:r>
      <w:r w:rsidRPr="00EC4418">
        <w:rPr>
          <w:rStyle w:val="Puslapioinaosnuoroda"/>
        </w:rPr>
        <w:footnoteReference w:id="39"/>
      </w:r>
      <w:r w:rsidRPr="00EC4418">
        <w:t xml:space="preserve"> Tam, kad lėšos būtų investuojamos produktyviausiu būdu, itin svarbu užtikrinti tinkamą investavimo reguliavimą, nes tuo to priklauso ir galutiniai pensijų fondų veiklos rezultatai.</w:t>
      </w:r>
    </w:p>
    <w:p w:rsidR="00445C7E" w:rsidRDefault="00445C7E" w:rsidP="00BA7E23">
      <w:pPr>
        <w:pStyle w:val="Betarp"/>
        <w:spacing w:line="360" w:lineRule="auto"/>
        <w:ind w:firstLine="567"/>
      </w:pPr>
      <w:r w:rsidRPr="00A829E9">
        <w:rPr>
          <w:b/>
          <w:bCs/>
        </w:rPr>
        <w:t>Pensijų fondų veiklos rizikos nustatymas.</w:t>
      </w:r>
      <w:r>
        <w:rPr>
          <w:b/>
          <w:bCs/>
        </w:rPr>
        <w:t xml:space="preserve"> </w:t>
      </w:r>
      <w:r>
        <w:t>Pensijų fondų lėšų valdymo reguliavimas turbūt yra pati svarbiausia pensijų reguliavimo sritis. Šis reguliavimas taip pat vadinamas pensijų fondų investicijų reguliavimu arba portfelio reguliavimu. Tačiau k</w:t>
      </w:r>
      <w:r w:rsidRPr="00EC4418">
        <w:t xml:space="preserve">aip ir bet kokio tipo finansinių institucijų atveju, pensijų fondų reguliavimas prasideda nuo rizikos nustatymo ir įvertinimo. </w:t>
      </w:r>
    </w:p>
    <w:p w:rsidR="00995BAF" w:rsidRDefault="00445C7E" w:rsidP="00BA7E23">
      <w:pPr>
        <w:pStyle w:val="Betarp"/>
        <w:spacing w:line="360" w:lineRule="auto"/>
        <w:ind w:firstLine="567"/>
      </w:pPr>
      <w:r w:rsidRPr="00EC4418">
        <w:t xml:space="preserve">Nors fondo nariai gali patirti įvairių rūšių riziką, ši rizika gali būti suskirstyta į tris pagrindines grupes: </w:t>
      </w:r>
    </w:p>
    <w:p w:rsidR="00995BAF" w:rsidRDefault="00445C7E" w:rsidP="00BA7E23">
      <w:pPr>
        <w:pStyle w:val="Betarp"/>
        <w:spacing w:line="360" w:lineRule="auto"/>
        <w:ind w:firstLine="567"/>
      </w:pPr>
      <w:r w:rsidRPr="00EC4418">
        <w:t xml:space="preserve">1) investicinio portfelio arba investicinė rizika; </w:t>
      </w:r>
    </w:p>
    <w:p w:rsidR="00995BAF" w:rsidRDefault="00445C7E" w:rsidP="00BA7E23">
      <w:pPr>
        <w:pStyle w:val="Betarp"/>
        <w:spacing w:line="360" w:lineRule="auto"/>
        <w:ind w:firstLine="567"/>
      </w:pPr>
      <w:r w:rsidRPr="00EC4418">
        <w:t xml:space="preserve">2) fondo valdytojo rizika; </w:t>
      </w:r>
    </w:p>
    <w:p w:rsidR="00445C7E" w:rsidRPr="00EC4418" w:rsidRDefault="00445C7E" w:rsidP="00BA7E23">
      <w:pPr>
        <w:pStyle w:val="Betarp"/>
        <w:spacing w:line="360" w:lineRule="auto"/>
        <w:ind w:firstLine="567"/>
      </w:pPr>
      <w:r w:rsidRPr="00EC4418">
        <w:t xml:space="preserve">3) sisteminė rizika. </w:t>
      </w:r>
    </w:p>
    <w:p w:rsidR="00445C7E" w:rsidRPr="00EC4418" w:rsidRDefault="00445C7E" w:rsidP="00BA7E23">
      <w:pPr>
        <w:pStyle w:val="Betarp"/>
        <w:spacing w:line="360" w:lineRule="auto"/>
        <w:ind w:firstLine="567"/>
      </w:pPr>
      <w:r w:rsidRPr="00BA7E23">
        <w:rPr>
          <w:i/>
        </w:rPr>
        <w:t>Investicinio portfelio arba investicijų rizika.</w:t>
      </w:r>
      <w:r w:rsidRPr="00EC4418">
        <w:t xml:space="preserve"> Investicinio portfelio rizika apima nesisteminę arba išskaidytą riziką ir sisteminę arba rinkos riziką. Tinkamas investicinio portfelio diversifikavimas sumažintų nesisteminę riziką, taigi liktų tiktai rinkos rizika. </w:t>
      </w:r>
    </w:p>
    <w:p w:rsidR="00445C7E" w:rsidRPr="00EC4418" w:rsidRDefault="00445C7E" w:rsidP="00BA7E23">
      <w:pPr>
        <w:pStyle w:val="Betarp"/>
        <w:spacing w:line="360" w:lineRule="auto"/>
        <w:ind w:firstLine="567"/>
      </w:pPr>
      <w:r w:rsidRPr="00EC4418">
        <w:t>Vienas iš pagrindinių reguliavimo tikslų yra užtikrinti, kad investiciniai portfeliai būtų tinkamai diversifikuoti, tuo pačiu metu iš investavimo galimybių eliminuojant kai kurį itin rizikingą ir nelikvidų turtą.</w:t>
      </w:r>
      <w:r w:rsidRPr="00EC4418">
        <w:rPr>
          <w:rStyle w:val="Puslapioinaosnuoroda"/>
        </w:rPr>
        <w:footnoteReference w:id="40"/>
      </w:r>
      <w:r w:rsidRPr="00EC4418">
        <w:t xml:space="preserve"> </w:t>
      </w:r>
      <w:r w:rsidRPr="00A203B5">
        <w:t xml:space="preserve">Investicijų diversifikavimas </w:t>
      </w:r>
      <w:r w:rsidR="007C50AA" w:rsidRPr="00A203B5">
        <w:t>suprantamas kaip</w:t>
      </w:r>
      <w:r w:rsidRPr="00A203B5">
        <w:t xml:space="preserve"> rizikos valdymo priemonė, padedanti sumažinti investicinio portfel</w:t>
      </w:r>
      <w:r w:rsidR="007C50AA" w:rsidRPr="00A203B5">
        <w:t>io</w:t>
      </w:r>
      <w:r w:rsidRPr="00A203B5">
        <w:t>, kurį investuotojas planuoja įsigyti ar</w:t>
      </w:r>
      <w:r w:rsidR="007C50AA" w:rsidRPr="00A203B5">
        <w:t xml:space="preserve"> yra įsigijęs, riziką. Kitaip tariant, tai galima pavadinti</w:t>
      </w:r>
      <w:r w:rsidRPr="00A203B5">
        <w:t xml:space="preserve"> kaip investuotojo bandymą sumažinti investicinę riziką investuojant į skirtingas turto klases, įvairius vertybinius popierius, įvairias skirtingų sektorių, pramonės šakų ar net šalių bendroves. In</w:t>
      </w:r>
      <w:r w:rsidR="007C50AA" w:rsidRPr="00A203B5">
        <w:t>vesticijų diversifikavimo esmė yra ta, kad</w:t>
      </w:r>
      <w:r w:rsidRPr="00A203B5">
        <w:t xml:space="preserve"> viso investicijų rinkinio rizika yra mažesnė negu kiekvienos investicijos atskirai. </w:t>
      </w:r>
      <w:r w:rsidR="007C50AA" w:rsidRPr="00A203B5">
        <w:t>Kuomet yra</w:t>
      </w:r>
      <w:r w:rsidRPr="00A203B5">
        <w:t xml:space="preserve"> investuojama į kelių rūšių akcijas, </w:t>
      </w:r>
      <w:r w:rsidR="007C50AA" w:rsidRPr="00A203B5">
        <w:t xml:space="preserve">tuomet </w:t>
      </w:r>
      <w:r w:rsidRPr="00A203B5">
        <w:t xml:space="preserve">didesnė tikimybė, kad </w:t>
      </w:r>
      <w:r w:rsidR="007C50AA" w:rsidRPr="00A203B5">
        <w:t>akcijų, kurios atpigo,</w:t>
      </w:r>
      <w:r w:rsidRPr="00A203B5">
        <w:t xml:space="preserve"> vertės sumažėjimą kompensuos pabrangusios akcijos, </w:t>
      </w:r>
      <w:r w:rsidR="007C50AA" w:rsidRPr="00A203B5">
        <w:t>o tokiu būdu</w:t>
      </w:r>
      <w:r w:rsidRPr="00A203B5">
        <w:t xml:space="preserve"> bendra portfelio rinkos vertė labai nesumažės. </w:t>
      </w:r>
      <w:r w:rsidR="007C50AA" w:rsidRPr="00A203B5">
        <w:t>Kada yra investuojama</w:t>
      </w:r>
      <w:r w:rsidRPr="00A203B5">
        <w:t xml:space="preserve"> į keletą vertybinių popierių, rizika yra išsk</w:t>
      </w:r>
      <w:r w:rsidR="007C50AA" w:rsidRPr="00A203B5">
        <w:t>aidoma dalimis arba, kaip paprastai</w:t>
      </w:r>
      <w:r w:rsidRPr="00A203B5">
        <w:t xml:space="preserve"> sakoma, investicijos yra diversifikuojamos. </w:t>
      </w:r>
      <w:r w:rsidR="00A203B5" w:rsidRPr="00A203B5">
        <w:t>T</w:t>
      </w:r>
      <w:r w:rsidRPr="00A203B5">
        <w:t>ikėtinas investic</w:t>
      </w:r>
      <w:r w:rsidR="00A203B5" w:rsidRPr="00A203B5">
        <w:t xml:space="preserve">ijų pelningumas ir rizika </w:t>
      </w:r>
      <w:r w:rsidRPr="00A203B5">
        <w:t xml:space="preserve">tarpusavyje </w:t>
      </w:r>
      <w:r w:rsidR="00A203B5" w:rsidRPr="00A203B5">
        <w:t>yra glaudžiai susiję, todėl</w:t>
      </w:r>
      <w:r w:rsidRPr="00A203B5">
        <w:t xml:space="preserve"> išskaidant riziką, t.y. ją sumažinant, sumažinama ir galimybė daug uždirbti, tačiau tuo pačiu ir patirti didelius nuostolius. </w:t>
      </w:r>
      <w:r w:rsidR="00A203B5" w:rsidRPr="00A203B5">
        <w:t>Esant įvairesniam</w:t>
      </w:r>
      <w:r w:rsidRPr="00A203B5">
        <w:t xml:space="preserve"> ir į</w:t>
      </w:r>
      <w:r w:rsidR="00A203B5" w:rsidRPr="00A203B5">
        <w:t xml:space="preserve"> daugiau investicijų išskaidytam investiciniam</w:t>
      </w:r>
      <w:r w:rsidRPr="00A203B5">
        <w:t xml:space="preserve"> p</w:t>
      </w:r>
      <w:r w:rsidR="00A203B5" w:rsidRPr="00A203B5">
        <w:t>ortfeliui</w:t>
      </w:r>
      <w:r w:rsidRPr="00A203B5">
        <w:t xml:space="preserve">, jo rinkos vertė </w:t>
      </w:r>
      <w:r w:rsidR="00A203B5" w:rsidRPr="00A203B5">
        <w:t xml:space="preserve">mažiau </w:t>
      </w:r>
      <w:r w:rsidRPr="00A203B5">
        <w:t>reaguoja į trumpalaikius rinkos svyravimus. Svarbu žinoti, kad di</w:t>
      </w:r>
      <w:r w:rsidR="00A203B5" w:rsidRPr="00A203B5">
        <w:t>versifikavimas neužtikrina, jog</w:t>
      </w:r>
      <w:r w:rsidRPr="00A203B5">
        <w:t xml:space="preserve"> </w:t>
      </w:r>
      <w:r w:rsidRPr="00A203B5">
        <w:lastRenderedPageBreak/>
        <w:t>inves</w:t>
      </w:r>
      <w:r w:rsidR="00A203B5" w:rsidRPr="00A203B5">
        <w:t>tuotojas nepatirs nuostolių. Nors</w:t>
      </w:r>
      <w:r w:rsidRPr="00A203B5">
        <w:t xml:space="preserve"> ir labai prot</w:t>
      </w:r>
      <w:r w:rsidR="00A203B5" w:rsidRPr="00A203B5">
        <w:t>ingai ir sumaniai diversifikavus</w:t>
      </w:r>
      <w:r w:rsidRPr="00A203B5">
        <w:t xml:space="preserve"> savo investicijų portfelį, jis niekada nesumažins rizikos iki nulio. </w:t>
      </w:r>
      <w:r w:rsidR="00A203B5" w:rsidRPr="00A203B5">
        <w:t>I</w:t>
      </w:r>
      <w:r w:rsidRPr="00A203B5">
        <w:t>nvesticinę riziką</w:t>
      </w:r>
      <w:r w:rsidR="00A203B5" w:rsidRPr="00A203B5">
        <w:t xml:space="preserve"> galima sumažinti</w:t>
      </w:r>
      <w:r w:rsidRPr="00A203B5">
        <w:t>, susijusią su tam tikru vertybiniu popieriumi (vadinamą „nesistemine rizika“), bet visuomet lieka rinkos rizika (sisteminė rizika).</w:t>
      </w:r>
      <w:r w:rsidRPr="00A203B5">
        <w:rPr>
          <w:rStyle w:val="Puslapioinaosnuoroda"/>
        </w:rPr>
        <w:footnoteReference w:id="41"/>
      </w:r>
      <w:r w:rsidRPr="00A203B5">
        <w:t xml:space="preserve"> Net ir esant tin</w:t>
      </w:r>
      <w:r w:rsidRPr="00EC4418">
        <w:t>kamam portfelio diversifikavimui, fondų nariai vis tiek yra veikiami rinkos svyravimų rizikos. Tai gali sąlygoti įvairūs veiksniai, tokie kaip įprasti turto kainų svyravimai, ekonominiai burbulai ir nuosmukiai, o taip pat neprognozuojami infliacijos lygio padidėjimai. Kuo ilgesnis laiko horizontas (terminas, per kurį numatoma investuoti lėšas</w:t>
      </w:r>
      <w:r w:rsidR="00ED659E">
        <w:t>,</w:t>
      </w:r>
      <w:r w:rsidRPr="00EC4418">
        <w:t xml:space="preserve"> siekiant užsibrėžtų investicinių tikslų</w:t>
      </w:r>
      <w:r w:rsidRPr="00EC4418">
        <w:rPr>
          <w:noProof/>
        </w:rPr>
        <w:t>)</w:t>
      </w:r>
      <w:r w:rsidRPr="00EC4418">
        <w:t xml:space="preserve"> ir investicinių vienetų laikymo laikotarpis, tuo tikimybė patirti rinkos riziką paprastai sumažėja, tačiau tam tikra rizika visada išlieka.</w:t>
      </w:r>
    </w:p>
    <w:p w:rsidR="00445C7E" w:rsidRPr="00EC4418" w:rsidRDefault="00445C7E" w:rsidP="00B44EC4">
      <w:pPr>
        <w:pStyle w:val="Betarp"/>
        <w:spacing w:line="360" w:lineRule="auto"/>
        <w:ind w:firstLine="567"/>
      </w:pPr>
      <w:r w:rsidRPr="00BA7E23">
        <w:rPr>
          <w:i/>
        </w:rPr>
        <w:t>Fondo valdytojo rizika.</w:t>
      </w:r>
      <w:r w:rsidRPr="00EC4418">
        <w:rPr>
          <w:b/>
          <w:i/>
        </w:rPr>
        <w:t xml:space="preserve"> </w:t>
      </w:r>
      <w:r w:rsidRPr="00EC4418">
        <w:t>Kalbant apie pensijas, fondo valdytojo rizika kyla tada, kai fondo administratorių ir turto valdytojų interesai ne visai atitinka fondo narių interesus. Painios investicinio portfelio strategijos, susijusios su ilgalaikiais investavimo horizontais, informacinė asimetrija tarp fondo valdytojų ir narių bei prastas daugelio fondo narių teisinės ir finansinės sistemos išmanymas sudaro sąlygas nekompetencijai, neveiksmingiems sprendimams ir piktnaudžiavimui.</w:t>
      </w:r>
    </w:p>
    <w:p w:rsidR="00445C7E" w:rsidRPr="00EC4418" w:rsidRDefault="00445C7E" w:rsidP="00B44EC4">
      <w:pPr>
        <w:pStyle w:val="Betarp"/>
        <w:spacing w:line="360" w:lineRule="auto"/>
        <w:ind w:firstLine="567"/>
      </w:pPr>
      <w:r w:rsidRPr="00EC4418">
        <w:t xml:space="preserve">Fondo valdytojo rizikos rūšys didele dalimi priklauso nuo pensijų fondų teisinės ir vadovavimo struktūros, tačiau visų tipų fondai daugiau ar mažiau patiria fondo valdytojo riziką. Tiesioginė ir akivaizdžiausia patikėtinio rizika yra susijusi su sukčiavimu, piktnaudžiavimu valdžia, tarnybiniu nusižengimu arba tiesioginiu turto vogimu. Galimi pavyzdžiai – investicijos į remiantįjį subjektą, investavimas į susijusias bendroves, neleistinai taikomi mokesčiai, susitarimas dėl neteisėtų komisinių (dėkingumo) mokesčių. Tokiais atvejais tiesioginės vagystės gali ir nebūti, tačiau gaunama investicijų grąža gali būti žymiai mažesnė nei ta, kurią galima gauti iš alternatyvių investicijų su panašia rizika. Grąža ir išmokos taip pat gali sumažėti dėl didelių pridėtinių išlaidų bei mokesčių. Didelę šios problemos tikimybę pensijos fondo valdyme sąlygoja mokesčių rūšių, kurios gali būti taikomos, įvairovė, įskaitant administracinius, lėšų valdymo ir sandorių mokesčius, o taip pat mokesčius, susijusius su </w:t>
      </w:r>
      <w:r w:rsidRPr="00EC4418">
        <w:rPr>
          <w:noProof/>
        </w:rPr>
        <w:t>anuitizacija.</w:t>
      </w:r>
      <w:r w:rsidRPr="00EC4418">
        <w:t xml:space="preserve"> Be to, kyla svarbios skaidrumo problemos mokesčių srityje, nes jie dažnai paskaičiuojami remiantis investicijų grąža ir paslepiami finansinėse ataskaitose arba pridėdami prie kitų paslaugų, tokiu būdu užkertant kelią fondo nariams atlikti reikiamus palyginimus. </w:t>
      </w:r>
    </w:p>
    <w:p w:rsidR="00445C7E" w:rsidRPr="00EC4418" w:rsidRDefault="00445C7E" w:rsidP="00B44EC4">
      <w:pPr>
        <w:pStyle w:val="Betarp"/>
        <w:spacing w:line="360" w:lineRule="auto"/>
        <w:ind w:firstLine="567"/>
      </w:pPr>
      <w:r w:rsidRPr="00EC4418">
        <w:t xml:space="preserve">Įsikišimas, siekiant apriboti fondo valdytojo riziką, yra vykdomas pasitelkiant rizikos apribojimo </w:t>
      </w:r>
      <w:r w:rsidRPr="00EC4418">
        <w:rPr>
          <w:noProof/>
        </w:rPr>
        <w:t>taisykles,</w:t>
      </w:r>
      <w:r w:rsidRPr="00EC4418">
        <w:t xml:space="preserve"> taikomas finansinėms rinkoms bei bendrai tarpininkams, o ne vien tik pensijų fondams. Ši sistema gali apimti priemones, skirtas užkirsti kelią sukčiavimui, nustatant apskaitos ir audito standartus, informacijos atskleidimo ir prekybos vertybiniais popieriais naudojantis viešai neatskleista informacija </w:t>
      </w:r>
      <w:r w:rsidRPr="00EC4418">
        <w:rPr>
          <w:noProof/>
        </w:rPr>
        <w:t>taisykles,</w:t>
      </w:r>
      <w:r w:rsidRPr="00EC4418">
        <w:t xml:space="preserve"> sumažinti per didelę specifinę riziką užtikrinus minimalų diversifikacijos pagal </w:t>
      </w:r>
      <w:r w:rsidRPr="00EC4418">
        <w:lastRenderedPageBreak/>
        <w:t>emitentus ir vertybinius popierius lygį, sušvelninti interesų konfliktus, nustačius investicijų į remiantįjį subjektą ribas, sumažinti rinkos įtaką apribojant akcijų nuosavybės koncentraciją.</w:t>
      </w:r>
      <w:r w:rsidR="00A203B5" w:rsidRPr="00A203B5">
        <w:rPr>
          <w:vertAlign w:val="superscript"/>
        </w:rPr>
        <w:footnoteReference w:id="42"/>
      </w:r>
    </w:p>
    <w:p w:rsidR="00445C7E" w:rsidRPr="00EC4418" w:rsidRDefault="00445C7E" w:rsidP="00B44EC4">
      <w:pPr>
        <w:pStyle w:val="Betarp"/>
        <w:spacing w:line="360" w:lineRule="auto"/>
        <w:ind w:firstLine="567"/>
      </w:pPr>
      <w:r w:rsidRPr="00BA7E23">
        <w:rPr>
          <w:i/>
        </w:rPr>
        <w:t>Sisteminė rizika.</w:t>
      </w:r>
      <w:r w:rsidRPr="00EC4418">
        <w:t xml:space="preserve"> </w:t>
      </w:r>
      <w:r w:rsidR="00ED659E">
        <w:t>Lietuvos Respublikos Finansinių priemonių rinkų įstatyme</w:t>
      </w:r>
      <w:r w:rsidR="00BC242F" w:rsidRPr="00EC4418">
        <w:rPr>
          <w:rStyle w:val="Puslapioinaosnuoroda"/>
        </w:rPr>
        <w:footnoteReference w:id="43"/>
      </w:r>
      <w:r w:rsidR="00BC242F">
        <w:t xml:space="preserve"> pateikiama</w:t>
      </w:r>
      <w:r w:rsidR="00ED659E">
        <w:t xml:space="preserve"> si</w:t>
      </w:r>
      <w:r w:rsidRPr="00EC4418">
        <w:rPr>
          <w:bCs/>
        </w:rPr>
        <w:t>steminė</w:t>
      </w:r>
      <w:r w:rsidR="00BC242F">
        <w:rPr>
          <w:bCs/>
        </w:rPr>
        <w:t>s rizikos sąvoka, kuri apibrėžiama</w:t>
      </w:r>
      <w:r w:rsidR="00ED659E">
        <w:rPr>
          <w:bCs/>
        </w:rPr>
        <w:t xml:space="preserve"> kaip „</w:t>
      </w:r>
      <w:r w:rsidRPr="00EC4418">
        <w:t>tikimybė, kad vienos finansų maklerio įmonės, kredito įstaigos ar investuotojo nemokumas turės neigiamos įtakos daugeliui finansų maklerio įmonių, kredito įstaigų ar investuotojų.</w:t>
      </w:r>
      <w:r w:rsidR="00ED659E">
        <w:t>“</w:t>
      </w:r>
      <w:r w:rsidRPr="00EC4418">
        <w:t xml:space="preserve"> Todėl pensijų fondų sisteminė rizika kyla iš pensijų sektoriaus sąsajų su kitomis finansinės sistemos (ir apskritai visos ekonomikos) sritimis.</w:t>
      </w:r>
    </w:p>
    <w:p w:rsidR="00445C7E" w:rsidRPr="00EC4418" w:rsidRDefault="00445C7E" w:rsidP="00B44EC4">
      <w:pPr>
        <w:pStyle w:val="Betarp"/>
        <w:spacing w:line="360" w:lineRule="auto"/>
        <w:ind w:firstLine="567"/>
      </w:pPr>
      <w:r>
        <w:t xml:space="preserve">Pavyzdžiui, </w:t>
      </w:r>
      <w:r w:rsidRPr="00EC4418">
        <w:t xml:space="preserve">stipri bankinė sistema eina </w:t>
      </w:r>
      <w:r>
        <w:t>greta</w:t>
      </w:r>
      <w:r w:rsidRPr="00EC4418">
        <w:t xml:space="preserve"> su patikima pensijų sistema. Bankų krizės gali sukelti didelį turto kainų nuosmukį, kuris neigiamai paveiks tam tikrus subjektus ir taip pat gali sukelti keleto bankų bankrotą. Tokiu mastu, kiek fondų valdytojai yra susiję su bankais kaip jų dukterinės bendrovės, kyla grėsmė kapitalo apsaugai pensijų sektoriuje. Dėl tų pačių priežasčių pensijų įstaigas taip pat gali paliesti kitų įstaigų, pvz., draudimo bendrovių, problemos.</w:t>
      </w:r>
      <w:r w:rsidRPr="00EC4418">
        <w:rPr>
          <w:rStyle w:val="Puslapioinaosnuoroda"/>
        </w:rPr>
        <w:footnoteReference w:id="44"/>
      </w:r>
      <w:r w:rsidRPr="00EC4418">
        <w:t xml:space="preserve"> </w:t>
      </w:r>
    </w:p>
    <w:p w:rsidR="00445C7E" w:rsidRPr="00EC4418" w:rsidRDefault="00445C7E" w:rsidP="00433348">
      <w:pPr>
        <w:pStyle w:val="Betarp"/>
        <w:spacing w:line="360" w:lineRule="auto"/>
        <w:ind w:firstLine="567"/>
      </w:pPr>
      <w:r w:rsidRPr="00412123">
        <w:t xml:space="preserve">Taip pat svarbu įvertinti finansų krizių </w:t>
      </w:r>
      <w:r w:rsidR="004B106E" w:rsidRPr="00412123">
        <w:t>įtaką</w:t>
      </w:r>
      <w:r w:rsidRPr="00412123">
        <w:t xml:space="preserve"> pensijų fondams. 2007 m. pabaigoje prasidėjusi pasaulinė finansų krizė </w:t>
      </w:r>
      <w:r w:rsidR="004B106E" w:rsidRPr="00412123">
        <w:t>stipriai</w:t>
      </w:r>
      <w:r w:rsidRPr="00412123">
        <w:t xml:space="preserve"> paveikė privačiuose pensijų fonduose sukauptas lėšas. Ekonominio bendradarbiavimo ir plėtros organizacijos duomenimis</w:t>
      </w:r>
      <w:r w:rsidR="00ED659E" w:rsidRPr="00412123">
        <w:t>,</w:t>
      </w:r>
      <w:r w:rsidRPr="00412123">
        <w:t xml:space="preserve"> per 12 mėnesių nuo 2007 m. pabaigos iki 2008 m. pabaigos</w:t>
      </w:r>
      <w:r w:rsidR="00ED659E" w:rsidRPr="00412123">
        <w:t>,</w:t>
      </w:r>
      <w:r w:rsidRPr="00412123">
        <w:t xml:space="preserve"> organizacijai priklausančiose valstybėse privačių pensijų fondų turtas </w:t>
      </w:r>
      <w:r w:rsidR="004B106E" w:rsidRPr="00412123">
        <w:t>sumažėjo daugiau nei 20 proc.</w:t>
      </w:r>
      <w:r w:rsidRPr="00412123">
        <w:t>, o absoliučia suma tai sudarė apie 5 trilijonus JAV dolerių</w:t>
      </w:r>
      <w:r w:rsidR="004B106E" w:rsidRPr="00412123">
        <w:t>.</w:t>
      </w:r>
      <w:r w:rsidRPr="00412123">
        <w:t xml:space="preserve"> Pasaulinės finansų krizės įtaka apibrėžtų įmokų kaupimo principu paremtoms senatvės pensijų sistemoms </w:t>
      </w:r>
      <w:r w:rsidR="004B106E" w:rsidRPr="00412123">
        <w:t xml:space="preserve">yra </w:t>
      </w:r>
      <w:r w:rsidRPr="00412123">
        <w:t>priklauso</w:t>
      </w:r>
      <w:r w:rsidR="004B106E" w:rsidRPr="00412123">
        <w:t>ma</w:t>
      </w:r>
      <w:r w:rsidRPr="00412123">
        <w:t xml:space="preserve"> nuo keleto</w:t>
      </w:r>
      <w:r w:rsidR="004B106E" w:rsidRPr="00412123">
        <w:t xml:space="preserve"> faktorių. Pirmiausia, reikia</w:t>
      </w:r>
      <w:r w:rsidRPr="00412123">
        <w:t xml:space="preserve"> įvertinti, kiek sumažėjo dalyvių, kurie senatvės pensijas kaupia privačiuose pensijų fonduose, sukaupto turto kainos. Dėl </w:t>
      </w:r>
      <w:r w:rsidR="004B106E" w:rsidRPr="00412123">
        <w:t xml:space="preserve">įvykusio </w:t>
      </w:r>
      <w:r w:rsidRPr="00412123">
        <w:t>nuosmukio f</w:t>
      </w:r>
      <w:r w:rsidR="004B106E" w:rsidRPr="00412123">
        <w:t>inansų rinkose 2007 m. antro pusmečio metu</w:t>
      </w:r>
      <w:r w:rsidRPr="00412123">
        <w:t xml:space="preserve"> ir 2008 metais privatūs pensijų fondai, kaip ir absoliuti finansinių in</w:t>
      </w:r>
      <w:r w:rsidR="004B106E" w:rsidRPr="00412123">
        <w:t>strumentų dalis, patyrė didžiulius</w:t>
      </w:r>
      <w:r w:rsidRPr="00412123">
        <w:t xml:space="preserve"> investicinių verčių nuosmukius. Tačiau </w:t>
      </w:r>
      <w:r w:rsidR="004B106E" w:rsidRPr="00412123">
        <w:t>žvelgiant</w:t>
      </w:r>
      <w:r w:rsidRPr="00412123">
        <w:t xml:space="preserve"> ilgo laiko perspektyvoje, privačių pensijų fondų investicinė veikla yra pelninga.</w:t>
      </w:r>
      <w:r w:rsidRPr="00412123">
        <w:rPr>
          <w:rStyle w:val="Puslapioinaosnuoroda"/>
        </w:rPr>
        <w:footnoteReference w:id="45"/>
      </w:r>
      <w:r w:rsidRPr="00412123">
        <w:t xml:space="preserve"> Esmi</w:t>
      </w:r>
      <w:r w:rsidR="004B106E" w:rsidRPr="00412123">
        <w:t>nis faktorius yra tai, kad tokie</w:t>
      </w:r>
      <w:r w:rsidRPr="00412123">
        <w:t xml:space="preserve"> svyravimai daugiausiai </w:t>
      </w:r>
      <w:r w:rsidR="004B106E" w:rsidRPr="00412123">
        <w:t xml:space="preserve">žalos padaro vyriausiems kaupimo pensijų fonduose </w:t>
      </w:r>
      <w:r w:rsidRPr="00412123">
        <w:t xml:space="preserve">dalyviams. Atėjus laikui įsigytas akcijas gali tekti parduoti tam, kad būtų </w:t>
      </w:r>
      <w:r w:rsidR="004B106E" w:rsidRPr="00412123">
        <w:t>galima išmokėti pensija</w:t>
      </w:r>
      <w:r w:rsidRPr="00412123">
        <w:t xml:space="preserve">s. Gali būti taip, kad tų akcijų kursas tuo metu bus </w:t>
      </w:r>
      <w:r w:rsidR="004B106E" w:rsidRPr="00412123">
        <w:t>ženkliai</w:t>
      </w:r>
      <w:r w:rsidRPr="00412123">
        <w:t xml:space="preserve"> kritęs ir </w:t>
      </w:r>
      <w:r w:rsidR="004B106E" w:rsidRPr="00412123">
        <w:t xml:space="preserve">bus </w:t>
      </w:r>
      <w:r w:rsidRPr="00412123">
        <w:t xml:space="preserve">gaunama daug mažiau pinigų nei už jas </w:t>
      </w:r>
      <w:r w:rsidR="004B106E" w:rsidRPr="00412123">
        <w:t>buvo su</w:t>
      </w:r>
      <w:r w:rsidRPr="00412123">
        <w:t xml:space="preserve">mokėta. Tai reikštų pensijų fondų nuostolius ir </w:t>
      </w:r>
      <w:r w:rsidR="004B106E" w:rsidRPr="00412123">
        <w:t xml:space="preserve">tuo pačiu </w:t>
      </w:r>
      <w:r w:rsidRPr="00412123">
        <w:t>pensijų sumažėjimą.</w:t>
      </w:r>
      <w:r w:rsidRPr="00412123">
        <w:rPr>
          <w:rFonts w:ascii="TimesLT" w:hAnsi="TimesLT" w:cs="TimesLT"/>
          <w:sz w:val="21"/>
          <w:szCs w:val="21"/>
        </w:rPr>
        <w:t xml:space="preserve"> </w:t>
      </w:r>
      <w:r w:rsidR="004B106E" w:rsidRPr="00412123">
        <w:t>Pagal lietuvišką tokios</w:t>
      </w:r>
      <w:r w:rsidRPr="00412123">
        <w:t xml:space="preserve"> sistemos variantą</w:t>
      </w:r>
      <w:r w:rsidR="00ED659E" w:rsidRPr="00412123">
        <w:t>,</w:t>
      </w:r>
      <w:r w:rsidRPr="00412123">
        <w:t xml:space="preserve"> pensijų fondas n</w:t>
      </w:r>
      <w:r w:rsidR="004B106E" w:rsidRPr="00412123">
        <w:t>eatsako už tokius nepalankius pasikeitimus</w:t>
      </w:r>
      <w:r w:rsidRPr="00412123">
        <w:t xml:space="preserve"> finansų rinkose. Subjektas, </w:t>
      </w:r>
      <w:r w:rsidR="004B106E" w:rsidRPr="00412123">
        <w:t>prisiimantis</w:t>
      </w:r>
      <w:r w:rsidRPr="00412123">
        <w:t xml:space="preserve"> patirtų nuostolių naštą, yra individas.</w:t>
      </w:r>
      <w:r w:rsidRPr="00412123">
        <w:rPr>
          <w:rStyle w:val="Puslapioinaosnuoroda"/>
        </w:rPr>
        <w:footnoteReference w:id="46"/>
      </w:r>
      <w:r w:rsidRPr="00412123">
        <w:t xml:space="preserve"> </w:t>
      </w:r>
      <w:r w:rsidR="00412123" w:rsidRPr="00412123">
        <w:t>Antras</w:t>
      </w:r>
      <w:r w:rsidRPr="00412123">
        <w:t xml:space="preserve"> svarbus </w:t>
      </w:r>
      <w:r w:rsidR="00412123" w:rsidRPr="00412123">
        <w:t xml:space="preserve">paminėtinas </w:t>
      </w:r>
      <w:r w:rsidRPr="00412123">
        <w:t xml:space="preserve">aspektas, nuo kurio priklauso pasaulinės finansų krizės </w:t>
      </w:r>
      <w:r w:rsidR="00412123" w:rsidRPr="00412123">
        <w:t xml:space="preserve">daroma </w:t>
      </w:r>
      <w:r w:rsidRPr="00412123">
        <w:t xml:space="preserve">įtaka apibrėžtų įmokų kaupimo principu paremtoms senatvės pensijų sistemoms, yra senatvės pensijos, kaupiamos privačiuose pensijų fonduose, dydžio dalis bendroje </w:t>
      </w:r>
      <w:r w:rsidRPr="00412123">
        <w:lastRenderedPageBreak/>
        <w:t xml:space="preserve">senatvės pensijos sumoje. Daugumoje </w:t>
      </w:r>
      <w:r w:rsidR="00412123" w:rsidRPr="00412123">
        <w:t>šalių</w:t>
      </w:r>
      <w:r w:rsidRPr="00412123">
        <w:t xml:space="preserve">, kuriose veikia pensijų sistemų modeliai, </w:t>
      </w:r>
      <w:r w:rsidR="00412123" w:rsidRPr="00412123">
        <w:t>besiremiantys</w:t>
      </w:r>
      <w:r w:rsidRPr="00412123">
        <w:t xml:space="preserve"> pakopų principu, privačiuose pensijų fonduose kaupiama senatvės pensijos dalis sudaro tik dalį visos senatvės pensijos dydžio. Todėl </w:t>
      </w:r>
      <w:r w:rsidR="00412123" w:rsidRPr="00412123">
        <w:t xml:space="preserve">ir </w:t>
      </w:r>
      <w:r w:rsidRPr="00412123">
        <w:t>finansinio turto nuvertėjimas tiesiogiai įtakoja tik</w:t>
      </w:r>
      <w:r w:rsidR="00412123" w:rsidRPr="00412123">
        <w:t xml:space="preserve"> tam tikrą</w:t>
      </w:r>
      <w:r w:rsidRPr="00412123">
        <w:t xml:space="preserve"> dalį senatvės pe</w:t>
      </w:r>
      <w:r w:rsidR="00412123" w:rsidRPr="00412123">
        <w:t>nsijos. Finansinė krizė ypatingai</w:t>
      </w:r>
      <w:r w:rsidRPr="00412123">
        <w:t xml:space="preserve"> skaudžiai paveikė Pietų Amerikos valstybių (pvz. Čilės, Peru Meksikos ir Salvadoro) bei Islandijos piliečius, </w:t>
      </w:r>
      <w:r w:rsidR="00412123" w:rsidRPr="00412123">
        <w:t>kaupiančius</w:t>
      </w:r>
      <w:r w:rsidRPr="00412123">
        <w:t xml:space="preserve"> lėšas privačiuose antros pakopos pensijų fonduose, kadangi minėtose valstybėse kaupimo principu paremta senatvės pensij</w:t>
      </w:r>
      <w:r w:rsidR="00412123" w:rsidRPr="00412123">
        <w:t>os dalis sudaro virš 80 proc.</w:t>
      </w:r>
      <w:r w:rsidRPr="00412123">
        <w:t xml:space="preserve"> visos senatvės pensijos dydžio. </w:t>
      </w:r>
      <w:r w:rsidR="00412123" w:rsidRPr="00412123">
        <w:t>Kai tuo tarpu d</w:t>
      </w:r>
      <w:r w:rsidRPr="00412123">
        <w:t>augumoje Rytų ir Vidurio Europos valstybių</w:t>
      </w:r>
      <w:r w:rsidR="00412123" w:rsidRPr="00412123">
        <w:t xml:space="preserve"> kaupimo principu paremta antros</w:t>
      </w:r>
      <w:r w:rsidRPr="00412123">
        <w:t xml:space="preserve"> pakopos senatvės pensija bendroje </w:t>
      </w:r>
      <w:r w:rsidR="00412123" w:rsidRPr="00412123">
        <w:t>senatvės pensijos sumoje sudaro</w:t>
      </w:r>
      <w:r w:rsidRPr="00412123">
        <w:t xml:space="preserve"> ap</w:t>
      </w:r>
      <w:r w:rsidR="00412123" w:rsidRPr="00412123">
        <w:t>ie 30 proc.</w:t>
      </w:r>
      <w:r w:rsidRPr="00412123">
        <w:t>, todėl pastarosios pasaulinės finansų krizės</w:t>
      </w:r>
      <w:r w:rsidR="00412123" w:rsidRPr="00412123">
        <w:t xml:space="preserve"> įtaka yra sąlyginai mažesnė negu</w:t>
      </w:r>
      <w:r w:rsidRPr="00412123">
        <w:t xml:space="preserve"> aukščiau paminėtose valstybėse.</w:t>
      </w:r>
      <w:r w:rsidRPr="00412123">
        <w:rPr>
          <w:rStyle w:val="Puslapioinaosnuoroda"/>
        </w:rPr>
        <w:footnoteReference w:id="47"/>
      </w:r>
      <w:r w:rsidRPr="00412123">
        <w:t xml:space="preserve"> </w:t>
      </w:r>
    </w:p>
    <w:p w:rsidR="00445C7E" w:rsidRPr="00253857" w:rsidRDefault="00445C7E" w:rsidP="00B44EC4">
      <w:pPr>
        <w:pStyle w:val="Betarp"/>
        <w:spacing w:line="360" w:lineRule="auto"/>
        <w:ind w:firstLine="567"/>
      </w:pPr>
      <w:r w:rsidRPr="00253857">
        <w:t>Pagaliau bendras ekonominis nuosmukis paprastai lemia darbo sumažėjimą, kuris gali sąlygoti paankstintą darbuotojų išėjimą į pensiją ir todėl pensijų fondai gali būti įpareigoti sumokėti išmokas, kurias lydi neigiama investicijų grąža ir įmokų praradimas.</w:t>
      </w:r>
      <w:r w:rsidRPr="00253857">
        <w:rPr>
          <w:rStyle w:val="Puslapioinaosnuoroda"/>
        </w:rPr>
        <w:footnoteReference w:id="48"/>
      </w:r>
    </w:p>
    <w:p w:rsidR="00A36AF1" w:rsidRDefault="00445C7E" w:rsidP="00B44EC4">
      <w:pPr>
        <w:pStyle w:val="Betarp"/>
        <w:spacing w:line="360" w:lineRule="auto"/>
        <w:ind w:firstLine="567"/>
      </w:pPr>
      <w:r w:rsidRPr="00EC4418">
        <w:t>Apibendrinant galima traktuoti, kad kaupdamas pensiją privačiame II pakopos pensijų fonde, asmuo gali tikėtis didesnių pajamų senatvėje, tačiau vienas iš svarbiausių klausimų, susijusių su pensijų kaupimu yra klausimas, kaip neprarasti savo sukauptų lėšų. Svarbią reikšmę pensijų draudime turi investavimo principas, kadangi kaupiamos įmokos bus investuojamos. Pensijų fondai savo veikloje susiduria su įvairaus tipo rizikomis. Pagrindinis pensijų fondų investavimo reguliavimo tikslas daugumoje šalių yra užtikrinti tinkamą pensijų fondo turto diversifikaciją bei sumažinti fondo valdytojo, sisteminę ir ypatingai portfelio riziką.</w:t>
      </w:r>
    </w:p>
    <w:p w:rsidR="00445C7E" w:rsidRPr="00B63D58" w:rsidRDefault="00445C7E" w:rsidP="00B44EC4">
      <w:pPr>
        <w:pStyle w:val="Betarp"/>
        <w:spacing w:line="360" w:lineRule="auto"/>
        <w:ind w:firstLine="567"/>
        <w:jc w:val="center"/>
        <w:rPr>
          <w:sz w:val="28"/>
          <w:szCs w:val="28"/>
        </w:rPr>
      </w:pPr>
      <w:r>
        <w:br w:type="page"/>
      </w:r>
    </w:p>
    <w:p w:rsidR="003872A0" w:rsidRPr="00002340" w:rsidRDefault="003872A0" w:rsidP="00412123">
      <w:pPr>
        <w:pStyle w:val="Betarp"/>
        <w:spacing w:line="360" w:lineRule="auto"/>
        <w:ind w:firstLine="567"/>
        <w:jc w:val="left"/>
        <w:rPr>
          <w:bCs/>
        </w:rPr>
      </w:pPr>
    </w:p>
    <w:p w:rsidR="00445C7E" w:rsidRPr="001554F2" w:rsidRDefault="00445C7E" w:rsidP="00E521C4">
      <w:pPr>
        <w:pStyle w:val="Betarp"/>
        <w:spacing w:line="360" w:lineRule="auto"/>
        <w:ind w:firstLine="567"/>
        <w:jc w:val="center"/>
        <w:rPr>
          <w:b/>
          <w:bCs/>
          <w:sz w:val="28"/>
          <w:szCs w:val="28"/>
        </w:rPr>
      </w:pPr>
      <w:r w:rsidRPr="001554F2">
        <w:rPr>
          <w:b/>
          <w:bCs/>
          <w:sz w:val="28"/>
          <w:szCs w:val="28"/>
        </w:rPr>
        <w:t>2. SKIRTINGŲ PENSIJŲ FONDŲ INVESTAVIMO REGULIAVIMO METODŲ YPATUMAI BEI JŲ PARINKIMAS</w:t>
      </w:r>
    </w:p>
    <w:p w:rsidR="00445C7E" w:rsidRPr="001554F2" w:rsidRDefault="00445C7E" w:rsidP="00B44EC4">
      <w:pPr>
        <w:pStyle w:val="Betarp"/>
        <w:spacing w:line="360" w:lineRule="auto"/>
        <w:ind w:firstLine="567"/>
        <w:jc w:val="center"/>
        <w:rPr>
          <w:b/>
        </w:rPr>
      </w:pPr>
    </w:p>
    <w:p w:rsidR="00445C7E" w:rsidRDefault="00445C7E" w:rsidP="00B44EC4">
      <w:pPr>
        <w:pStyle w:val="Betarp"/>
        <w:spacing w:line="360" w:lineRule="auto"/>
        <w:ind w:firstLine="567"/>
        <w:jc w:val="left"/>
        <w:rPr>
          <w:b/>
        </w:rPr>
      </w:pPr>
      <w:r w:rsidRPr="00EC4418">
        <w:rPr>
          <w:b/>
        </w:rPr>
        <w:t xml:space="preserve">2.1. Pensijų fondų veiklos reguliavimo </w:t>
      </w:r>
      <w:r>
        <w:rPr>
          <w:b/>
        </w:rPr>
        <w:t>metodai</w:t>
      </w:r>
    </w:p>
    <w:p w:rsidR="00445C7E" w:rsidRPr="00C00D8B" w:rsidRDefault="00445C7E" w:rsidP="00B44EC4">
      <w:pPr>
        <w:pStyle w:val="Betarp"/>
        <w:spacing w:line="360" w:lineRule="auto"/>
        <w:ind w:firstLine="567"/>
        <w:jc w:val="center"/>
        <w:rPr>
          <w:b/>
        </w:rPr>
      </w:pPr>
    </w:p>
    <w:p w:rsidR="00445C7E" w:rsidRPr="00EC4418" w:rsidRDefault="00445C7E" w:rsidP="00B44EC4">
      <w:pPr>
        <w:pStyle w:val="Betarp"/>
        <w:spacing w:line="360" w:lineRule="auto"/>
        <w:ind w:firstLine="567"/>
        <w:rPr>
          <w:i/>
        </w:rPr>
      </w:pPr>
      <w:r w:rsidRPr="00EC4418">
        <w:t xml:space="preserve">Pastaraisiais metais pasaulyje pastebimas žymus privačių pensijų fondų valdomo turto augimas.  Vienas iš reikšmingiausių veiksnių, galinčių turėti įtakos sėkmingam pensijų fondų turto investavimui yra </w:t>
      </w:r>
      <w:r w:rsidRPr="00EC4418">
        <w:rPr>
          <w:bCs/>
          <w:i/>
          <w:iCs/>
        </w:rPr>
        <w:t>pensijų fondų veiklos reguliavimas.</w:t>
      </w:r>
      <w:r w:rsidRPr="00EC4418">
        <w:rPr>
          <w:rStyle w:val="Puslapioinaosnuoroda"/>
          <w:bCs/>
          <w:i/>
          <w:iCs/>
        </w:rPr>
        <w:footnoteReference w:id="49"/>
      </w:r>
      <w:r w:rsidRPr="00EC4418">
        <w:rPr>
          <w:i/>
        </w:rPr>
        <w:t xml:space="preserve"> </w:t>
      </w:r>
    </w:p>
    <w:p w:rsidR="00445C7E" w:rsidRPr="00EC4418" w:rsidRDefault="00445C7E" w:rsidP="00B44EC4">
      <w:pPr>
        <w:pStyle w:val="Betarp"/>
        <w:spacing w:line="360" w:lineRule="auto"/>
        <w:ind w:firstLine="567"/>
        <w:rPr>
          <w:b/>
          <w:i/>
        </w:rPr>
      </w:pPr>
      <w:r w:rsidRPr="00EC4418">
        <w:t>Pagrindiniai pensijų fondų reguliavimo tikslai – užtikrinti pensijų fondų turto saugumą bei sukurti aplinką, kurioje esant tam tikram prisiimtam rizikos lygiui turto valdymas galėtų pasiekti didžiausią investicinę grąžą. Kaip geriausiai pasiekti šių tikslų buvo nemažai diskusijų įvairiose šalyse. Vienas iš svarbiausių aspektų, aptariamų politiniuose debatuose, yra klausimas, ar pensijų turto valdymas turėtų būti reglamentuojamas kiekybiniais kriterijais, t.y. nustatyti tam tikri apribojimai turto rūšių į kurį pensijų fondų turtas gali būti investuojamas, ar remtis taip vadinamąją „protingo žmogaus“ taisykle, t. y. pagal į elgseną orientuotu standartu. Galima pastebėti, kad anglo–saksų teisės tradicijos šalys valdant pensijų fondų turtą buvo linkusios vadovautis „protingo žmogaus“ taisykle, tuo tarpu kitos šalys vis dėlto, pasirinko griežtesnį reguliavimą. Galiausiai kai kurios šalys, kuriose kiekybiniai apribojimai tarnauja kaip pagrindinis reguliavimo būdas, be kiekybinių apribojimų taip pat remiasi „protingo žmogaus“ taisykle arba panašia į elgseną orientuota strategija. Šie debatai yra labai svarbūs, nes jų rezultatas nulems, kas – valstybė ar pensijų fondo valdymo organas – bus atsakingas už pradinio turto paskirstymo parametrų nustatymą pensijų inves</w:t>
      </w:r>
      <w:r w:rsidR="00D97585">
        <w:t xml:space="preserve">tavimo veiklai. Išties tai yra </w:t>
      </w:r>
      <w:r w:rsidR="004260D7">
        <w:t>i</w:t>
      </w:r>
      <w:r w:rsidR="004260D7" w:rsidRPr="00EC4418">
        <w:t>tin</w:t>
      </w:r>
      <w:r w:rsidRPr="00EC4418">
        <w:t xml:space="preserve"> svarbus bet kokio investic</w:t>
      </w:r>
      <w:r w:rsidR="00D97585">
        <w:t>inio portfelio valdymo aspektas</w:t>
      </w:r>
      <w:r w:rsidRPr="00EC4418">
        <w:t xml:space="preserve"> ir faktiškai daugelis šį klausimą nagrinėjusių ekonomistų sutinka, kad sprendimas dėl turto paskirstymo, o ne konkrečių vertybinių popierių parinkimas, yra svarbiausias veiksnys, nulemiantis ilgalaikį investicijų rezultatyvumą.</w:t>
      </w:r>
      <w:r w:rsidRPr="00EC4418">
        <w:rPr>
          <w:rStyle w:val="Puslapioinaosnuoroda"/>
        </w:rPr>
        <w:footnoteReference w:id="50"/>
      </w:r>
      <w:r w:rsidR="007A59FC">
        <w:t xml:space="preserve"> N</w:t>
      </w:r>
      <w:r w:rsidRPr="00EC4418">
        <w:t>ustatytu vyriausybės reguliavimu galima apriboti pensijų fondų investicijas į finansų rinkas arba suteikti pensijų fondams laisvesnes investavimo teises, sugriežtinant mokumo priežiūrą. Todėl didesniais ar mažesniais investicijų apribojimais pensijų fondai sudaro savo tolesnes investavimo gaires, nuo kurių priklauso, kokia investicinė strategija bus pasirenkama.</w:t>
      </w:r>
    </w:p>
    <w:p w:rsidR="00445C7E" w:rsidRPr="00EC4418" w:rsidRDefault="00445C7E" w:rsidP="00B44EC4">
      <w:pPr>
        <w:pStyle w:val="Betarp"/>
        <w:spacing w:line="360" w:lineRule="auto"/>
        <w:ind w:firstLine="567"/>
      </w:pPr>
      <w:r w:rsidRPr="0048307E">
        <w:t xml:space="preserve">Pastaruoju metu visame pasaulyje </w:t>
      </w:r>
      <w:r w:rsidR="0048307E" w:rsidRPr="0048307E">
        <w:t>didėjo tendencija, kai</w:t>
      </w:r>
      <w:r w:rsidRPr="0048307E">
        <w:t xml:space="preserve"> finansų reguliavimo institucijos vis dažniau taikė </w:t>
      </w:r>
      <w:r w:rsidRPr="00EC4418">
        <w:rPr>
          <w:i/>
        </w:rPr>
        <w:t xml:space="preserve">apdairaus reguliavimo būdą ar kitaip dar vadinamąją „protingo žmogaus“ taisyklę. </w:t>
      </w:r>
      <w:r w:rsidR="007A59FC">
        <w:t>Daugelis investicinių</w:t>
      </w:r>
      <w:r w:rsidRPr="00EC4418">
        <w:t xml:space="preserve"> apribojimų buvo panaikinti, taip sudarant galimybes pensijų fondams labiau </w:t>
      </w:r>
      <w:r w:rsidRPr="00EC4418">
        <w:lastRenderedPageBreak/>
        <w:t>dive</w:t>
      </w:r>
      <w:r w:rsidR="007A59FC">
        <w:t>rsifikuoti jų</w:t>
      </w:r>
      <w:r w:rsidRPr="00EC4418">
        <w:t xml:space="preserve"> valdomą turtą į skirtingas turto rūšis įvairiose finansų rinkose. </w:t>
      </w:r>
      <w:r w:rsidR="007A59FC">
        <w:t>Esant tokiam reguliavimui, p</w:t>
      </w:r>
      <w:r w:rsidRPr="00EC4418">
        <w:t xml:space="preserve">ensijų fondai patys savarankiškai siekia sumažinti investavimo riziką ir užtikrinti </w:t>
      </w:r>
      <w:r w:rsidR="007A59FC">
        <w:t>investicijų pelningumą</w:t>
      </w:r>
      <w:r w:rsidRPr="00EC4418">
        <w:t>, todėl dėl šios priežasties</w:t>
      </w:r>
      <w:r w:rsidR="007A59FC">
        <w:t xml:space="preserve"> nemaža dalis pasaulio šalių</w:t>
      </w:r>
      <w:r w:rsidRPr="00EC4418">
        <w:t xml:space="preserve"> nesikiša </w:t>
      </w:r>
      <w:r w:rsidR="007A59FC">
        <w:t>sudarant pensijų fondų investicinį portfelį.</w:t>
      </w:r>
      <w:r w:rsidRPr="00EC4418">
        <w:t xml:space="preserve"> Šiuo atveju valstybinis reguliavimas apima </w:t>
      </w:r>
      <w:r w:rsidR="00676B52">
        <w:t xml:space="preserve">tokius </w:t>
      </w:r>
      <w:r w:rsidRPr="00EC4418">
        <w:t>pensijų fondų</w:t>
      </w:r>
      <w:r w:rsidR="007A59FC">
        <w:t xml:space="preserve"> aspektus, kaip </w:t>
      </w:r>
      <w:r w:rsidRPr="00EC4418">
        <w:t xml:space="preserve">mokumo ataskaitų tikrinimus, analizes ir kitus mokumo reikalavimus, </w:t>
      </w:r>
      <w:r w:rsidR="00676B52">
        <w:t>apsaugančius</w:t>
      </w:r>
      <w:r w:rsidRPr="00EC4418">
        <w:t xml:space="preserve"> pensijų fondų turtą</w:t>
      </w:r>
      <w:r w:rsidR="00676B52">
        <w:t>,</w:t>
      </w:r>
      <w:r w:rsidRPr="00EC4418">
        <w:t xml:space="preserve"> ir įpareigoja tinkamai paskirstyti turtą finansų rinkose. Tokia reguliavimo politika, dar kitaip </w:t>
      </w:r>
      <w:r w:rsidR="00676B52">
        <w:t>kartais į</w:t>
      </w:r>
      <w:r w:rsidRPr="00EC4418">
        <w:t>va</w:t>
      </w:r>
      <w:r w:rsidR="00676B52">
        <w:t>rdija</w:t>
      </w:r>
      <w:r w:rsidRPr="00EC4418">
        <w:t>ma „šviesoforo“ modeliu, taikoma Nyderlanduose</w:t>
      </w:r>
      <w:r w:rsidR="004260D7">
        <w:t>, Švedijoje ir kt.</w:t>
      </w:r>
      <w:r w:rsidRPr="00EC4418">
        <w:t xml:space="preserve"> Esant šiai reguliavimo politikai pensijų fondai, </w:t>
      </w:r>
      <w:r w:rsidR="00676B52">
        <w:t>nevaržomi jokių investavimo apribojimų</w:t>
      </w:r>
      <w:r w:rsidRPr="00EC4418">
        <w:t xml:space="preserve">, gali pasirinkti alternatyvias finansinio turto klases, apimtis bei vietines ar globalias finansų rinkas. </w:t>
      </w:r>
      <w:r w:rsidR="00676B52">
        <w:t xml:space="preserve">„Protingo žmogaus“ </w:t>
      </w:r>
      <w:r w:rsidRPr="00EC4418">
        <w:t>reguliavimo principas pensijų fondams leidžia patiems nusistatyti investavimo strategijas.</w:t>
      </w:r>
      <w:r w:rsidRPr="00EC4418">
        <w:rPr>
          <w:rStyle w:val="Puslapioinaosnuoroda"/>
        </w:rPr>
        <w:footnoteReference w:id="51"/>
      </w:r>
      <w:r w:rsidRPr="00EC4418">
        <w:t xml:space="preserve"> Esant </w:t>
      </w:r>
      <w:r w:rsidR="00676B52">
        <w:t>tokiam</w:t>
      </w:r>
      <w:r w:rsidRPr="00EC4418">
        <w:t xml:space="preserve"> požiūriui, teisės aktais </w:t>
      </w:r>
      <w:r w:rsidR="00676B52">
        <w:t xml:space="preserve">yra </w:t>
      </w:r>
      <w:r w:rsidRPr="00EC4418">
        <w:t>reglamentuojamos procedūros, kaip turi elgtis fondo valdytojai, kad jų veikla būtų sąžininga</w:t>
      </w:r>
      <w:r w:rsidRPr="00E564ED">
        <w:t>, nustatoma jų atsakomybė už veiksmus, kai nuo procedūrų nukrypstama. Tačiau pensijų fo</w:t>
      </w:r>
      <w:r w:rsidRPr="00EC4418">
        <w:t>ndų valdytojai nėra teisiškai atsakingi už veiklos rezultatą, jei buvo veikta teisingai.</w:t>
      </w:r>
      <w:r w:rsidRPr="00EC4418">
        <w:rPr>
          <w:rStyle w:val="Puslapioinaosnuoroda"/>
        </w:rPr>
        <w:footnoteReference w:id="52"/>
      </w:r>
    </w:p>
    <w:p w:rsidR="00445C7E" w:rsidRPr="001A1C89" w:rsidRDefault="00445C7E" w:rsidP="00B44EC4">
      <w:pPr>
        <w:pStyle w:val="Betarp"/>
        <w:spacing w:line="360" w:lineRule="auto"/>
        <w:ind w:firstLine="567"/>
        <w:rPr>
          <w:b/>
          <w:color w:val="FF0000"/>
        </w:rPr>
      </w:pPr>
      <w:r w:rsidRPr="00EC4418">
        <w:t>“Protingo žmogaus” taisyklė  yra orientuota į elgseną, o ne į rezultatą. Todėl taikant šią taisyklę, svarbu, kaip kruopščiai patikėtinis vykdo savo įsipareigojimus pensijų fondo atžvilgiu, įskaitant ir tai, kaip yra priimami investiciniai sprendimai. Tai reiškia, kad patikėtiniai yra vertinami ne retrospektyviai nustačius, ar jų investiciniai sprendimai buvo sėkmingi, o pagal tai, ar jie rėmėsi pagrįstu procesu priimdami savo sprendimus. „Protingo žmogaus“ taisyklė, apima keletą pagrindinių pareigų ir principų, t.y. pareigą veikti apdairiai ir su deramu rūpestingumu valdant pensijų fondą bei jo turtą, pareigą išlikti lojaliam pensijų fondui bei jo nariams ir diversifikacijos principą, pagal kurį reikalaujama, kad pensijų fondo investicinis portfelis būtų tinkamai diversifikuotas ir būtų vengiama prisiimti bereikalingos rizikos. Kalbant apie pensijų fondo turto investavimo valdymą, apdairumo, lojalumo ir diversifikavimo pareigos vaidina itin svarbų vaidmenį. Be jų patikėtinis būtų įgaliotas beveik nevaržomai valdyti pensijų turtą, nesivadovaudamas jokiomis rekomendacijomis ar gairėmis.</w:t>
      </w:r>
      <w:r>
        <w:t xml:space="preserve"> </w:t>
      </w:r>
      <w:r w:rsidRPr="00EC4418">
        <w:t>Jei pirmiau apibrėžti principai yra suprantami, įvykdomi ir vykdomi, jie gali labai pasitarnauti užtikrinant, kad investavimo veikla būtų pagrįsta protingais ir pagrįstais sprendimais.</w:t>
      </w:r>
      <w:r w:rsidRPr="00EC4418">
        <w:rPr>
          <w:rStyle w:val="Puslapioinaosnuoroda"/>
        </w:rPr>
        <w:footnoteReference w:id="53"/>
      </w:r>
      <w:r>
        <w:t xml:space="preserve"> </w:t>
      </w:r>
    </w:p>
    <w:p w:rsidR="00445C7E" w:rsidRPr="00EC4418" w:rsidRDefault="00445C7E" w:rsidP="004D3D96">
      <w:pPr>
        <w:pStyle w:val="Betarp"/>
        <w:spacing w:line="360" w:lineRule="auto"/>
        <w:ind w:firstLine="567"/>
      </w:pPr>
      <w:r w:rsidRPr="00EC4418">
        <w:rPr>
          <w:bCs/>
          <w:i/>
          <w:iCs/>
        </w:rPr>
        <w:t>Griežto pensijų fondų turto reguliavimo atveju</w:t>
      </w:r>
      <w:r w:rsidRPr="00EC4418">
        <w:rPr>
          <w:b/>
          <w:bCs/>
          <w:i/>
          <w:iCs/>
        </w:rPr>
        <w:t xml:space="preserve"> </w:t>
      </w:r>
      <w:r w:rsidRPr="00EC4418">
        <w:t xml:space="preserve">nustatyti investicijų apribojimai turi </w:t>
      </w:r>
      <w:r w:rsidR="00E15EA9">
        <w:t>didelę įtaką sudarant pensijų fondų investicinį portfelį.</w:t>
      </w:r>
      <w:r w:rsidRPr="00EC4418">
        <w:t xml:space="preserve"> Kiekviena šalis </w:t>
      </w:r>
      <w:r w:rsidR="00E15EA9">
        <w:t>nustato</w:t>
      </w:r>
      <w:r w:rsidRPr="00EC4418">
        <w:t xml:space="preserve"> skirtingus investicijų reikalavimus: turto rūšies, jų apimties ir dalies </w:t>
      </w:r>
      <w:r w:rsidR="00E15EA9">
        <w:t xml:space="preserve">bendrame </w:t>
      </w:r>
      <w:r w:rsidRPr="00EC4418">
        <w:t xml:space="preserve">investiciniame portfelyje, vietinių/tarptautinių vertybinių popierių apribojimai. T.y. esant griežtam reguliavimui tarsi sudaromas sąrašas, kuri veikla yra leistina, o kuri – ne. Tai gali </w:t>
      </w:r>
      <w:r w:rsidR="00676B52">
        <w:t>sąlygoti</w:t>
      </w:r>
      <w:r w:rsidRPr="00EC4418">
        <w:t xml:space="preserve"> tam </w:t>
      </w:r>
      <w:r w:rsidR="00676B52">
        <w:t>tikros turto rūšies paklausą ir</w:t>
      </w:r>
      <w:r w:rsidRPr="00EC4418">
        <w:t xml:space="preserve"> didesnių apimčių investicijas į </w:t>
      </w:r>
      <w:r w:rsidR="00676B52">
        <w:t xml:space="preserve">tam </w:t>
      </w:r>
      <w:r w:rsidR="00676B52">
        <w:lastRenderedPageBreak/>
        <w:t xml:space="preserve">tikros </w:t>
      </w:r>
      <w:r w:rsidRPr="00EC4418">
        <w:t xml:space="preserve">pasirinktos turto rūšies finansų rinkas. </w:t>
      </w:r>
      <w:r w:rsidR="00676B52">
        <w:t>Paprastai</w:t>
      </w:r>
      <w:r w:rsidRPr="00EC4418">
        <w:t xml:space="preserve"> vyriausybės apribojimais yra skatinamas konservatyvesnis portfelio valdymas.</w:t>
      </w:r>
      <w:r w:rsidRPr="00EC4418">
        <w:rPr>
          <w:rStyle w:val="Puslapioinaosnuoroda"/>
        </w:rPr>
        <w:footnoteReference w:id="54"/>
      </w:r>
      <w:r w:rsidRPr="00EC4418">
        <w:t xml:space="preserve"> </w:t>
      </w:r>
    </w:p>
    <w:p w:rsidR="00445C7E" w:rsidRPr="00EC4418" w:rsidRDefault="00445C7E" w:rsidP="00A30BA9">
      <w:pPr>
        <w:pStyle w:val="Betarp"/>
        <w:spacing w:line="360" w:lineRule="auto"/>
        <w:ind w:firstLine="567"/>
      </w:pPr>
      <w:r w:rsidRPr="00EC4418">
        <w:t xml:space="preserve">Daugelis šalių, taikančių „protingo žmogaus“ taisyklę, remiasi anglo-saksiška paprotinės teisės tradicija. Kai kurios ne anglo-saksiškos tradicijos šalys savo reguliavimo sistemose taip pat remiasi šia taisykle, įskaitant principus, tokius kaip diversifikacija ir išskaidymas. Tačiau kai kuriais atvejais „protingo žmogaus“ taisyklė yra lydima tam tikrų kiekybinių apribojimų. Anglo-saksų šalys, kaip jau minėta, reikalauja, kad pensijų lėšos būtų investuojamos diversifikavimo pagrindu. Tačiau kiekvienu atveju šis diversifikavimo reikalavimas yra formuluojamas kaip bendrasis principas, o ne kaip konkrečios kiekybinės taisyklės. Pavyzdžiui, </w:t>
      </w:r>
      <w:r w:rsidRPr="0015548D">
        <w:t xml:space="preserve">Nyderlandų įstatymuose taip pat yra įtrauktas bendrasis diversifikavimo reikalavimas. Kanada, priešingai, taiko tam tikrus kiekybinius apribojimus, susijusius su diversifikavimu, pavyzdžiui, investicijos į nekilnojamąjį turtą apribojamos iki 5 % pensijų fondo investicinio portfelio vertės, o fondo investavimas į užsienyje esantį turtą – iki 30 %. Italijoje leidžiama investuoti tik 15 % pensijų fondo lėšų į vieną investicinį vienetą. Šalys, kurios taiko “protingo </w:t>
      </w:r>
      <w:r>
        <w:t>žmogaus“ taisyklę</w:t>
      </w:r>
      <w:r w:rsidRPr="0015548D">
        <w:t>, taip pat dažnai taiko aiškius kiekybinius apribo</w:t>
      </w:r>
      <w:r w:rsidRPr="00433348">
        <w:t>jimus savi-investavimui. Tokių šalių pavyzdžiai – Australija (5 %), Kanada (10 %), Nyderlandai (paprastai 5%) ir, kaip pirmiau minėta, Jungtinė Karalystė (5 %) bei Jungtinės Amerikos Valstijos (paprastai 10 %). Airijoje reikalaujama atskleisti informaciją apie tokį investavimą, kai yra peržengiama 5 % riba. ES direktyva taiko 5 % ribą investavimui į „remiantįjį subjektą“ ir 10 % ribą investavimui į subjektus, priklausančius tai pačiai grupei, kaip ir remiantysis subjektas. Ne anglosaksiškos tradicijos šalys, kurios vadovaujasi rizikos ribojimo požiūriu, taip pat kartais įtraukia panašius aiškius kiekybinius saviinvestavimo apribojimus. Žinoma, kuo aiškesni yra apribojimai ir kuo daugiau jų taikoma pensijų fondo investicinio portfelio struktūrai, tuo sunkiau atskirti „protingo žmogaus“ taisyklę nuo kiekybinių apribojimų požiūrio, naudojamo daugelio kitų šalių.</w:t>
      </w:r>
      <w:r w:rsidRPr="00433348">
        <w:rPr>
          <w:rStyle w:val="Puslapioinaosnuoroda"/>
        </w:rPr>
        <w:footnoteReference w:id="55"/>
      </w:r>
    </w:p>
    <w:p w:rsidR="00445C7E" w:rsidRPr="00EC4418" w:rsidRDefault="00445C7E" w:rsidP="00B44EC4">
      <w:pPr>
        <w:pStyle w:val="Betarp"/>
        <w:spacing w:line="360" w:lineRule="auto"/>
        <w:ind w:firstLine="567"/>
        <w:rPr>
          <w:u w:val="single"/>
        </w:rPr>
      </w:pPr>
      <w:r w:rsidRPr="00EC4418">
        <w:t xml:space="preserve">Pensijų fondų reguliavimas turi įtakos pensijų fondų valdytojų elgsenai. Taikant „protingo žmogaus“ ar griežto reguliavimo koncepcijas atitinkamai yra suteikiami didesni ar mažesni įgaliojimai pensijų fondų valdytojams savarankiškai priimti investavimo sprendimus. </w:t>
      </w:r>
    </w:p>
    <w:p w:rsidR="00445C7E" w:rsidRDefault="00445C7E" w:rsidP="00B44EC4">
      <w:pPr>
        <w:pStyle w:val="Betarp"/>
        <w:spacing w:line="360" w:lineRule="auto"/>
        <w:ind w:firstLine="567"/>
        <w:jc w:val="left"/>
        <w:rPr>
          <w:b/>
        </w:rPr>
      </w:pPr>
    </w:p>
    <w:p w:rsidR="00445C7E" w:rsidRPr="00EC4418" w:rsidRDefault="00445C7E" w:rsidP="00B44EC4">
      <w:pPr>
        <w:pStyle w:val="Betarp"/>
        <w:spacing w:line="360" w:lineRule="auto"/>
        <w:ind w:firstLine="567"/>
        <w:jc w:val="left"/>
        <w:rPr>
          <w:b/>
        </w:rPr>
      </w:pPr>
      <w:r w:rsidRPr="00EC4418">
        <w:rPr>
          <w:b/>
        </w:rPr>
        <w:t>2.1.2. „Protingo žmogaus“ koncepcijos pranašumas</w:t>
      </w:r>
    </w:p>
    <w:p w:rsidR="00445C7E" w:rsidRDefault="00445C7E" w:rsidP="00981B09">
      <w:pPr>
        <w:pStyle w:val="Betarp"/>
        <w:tabs>
          <w:tab w:val="left" w:pos="567"/>
        </w:tabs>
        <w:spacing w:line="360" w:lineRule="auto"/>
        <w:ind w:firstLine="567"/>
      </w:pPr>
    </w:p>
    <w:p w:rsidR="00445C7E" w:rsidRPr="00EC4418" w:rsidRDefault="00445C7E" w:rsidP="00981B09">
      <w:pPr>
        <w:pStyle w:val="Betarp"/>
        <w:tabs>
          <w:tab w:val="left" w:pos="567"/>
        </w:tabs>
        <w:spacing w:line="360" w:lineRule="auto"/>
        <w:ind w:firstLine="567"/>
      </w:pPr>
      <w:r>
        <w:t xml:space="preserve">Skirtingi investavimo reguliavimo požiūriai – „protingo žmogaus“ taisyklės bei kiekybinių apribojimų taikymas </w:t>
      </w:r>
      <w:r w:rsidR="00E15EA9">
        <w:t xml:space="preserve">(griežto reguliavimo atveju) </w:t>
      </w:r>
      <w:r>
        <w:t>-</w:t>
      </w:r>
      <w:r w:rsidRPr="00EC4418">
        <w:t xml:space="preserve"> turi tiek privalumų, tiek trūkumų, kurie yra reikšmingi atsižvelgiant į pensijų fondų lėšų saugumą ir investicijų rezultatyvumo optimizacij</w:t>
      </w:r>
      <w:r w:rsidRPr="00433348">
        <w:t xml:space="preserve">ą. Kyla </w:t>
      </w:r>
      <w:r w:rsidRPr="00433348">
        <w:lastRenderedPageBreak/>
        <w:t>klausimas, kaip sukurti tokią aplinką, kurioje turto valdymas visų pirma užtikrintų didžiausią grąžą esant priimtiniems rizikos lygiams.</w:t>
      </w:r>
    </w:p>
    <w:p w:rsidR="00445C7E" w:rsidRPr="00EC4418" w:rsidRDefault="00445C7E" w:rsidP="00981B09">
      <w:pPr>
        <w:pStyle w:val="Betarp"/>
        <w:tabs>
          <w:tab w:val="left" w:pos="567"/>
        </w:tabs>
        <w:spacing w:line="360" w:lineRule="auto"/>
        <w:ind w:firstLine="567"/>
      </w:pPr>
      <w:r>
        <w:t>Vienas pagrindinių argumentų</w:t>
      </w:r>
      <w:r w:rsidRPr="00EC4418">
        <w:t>, nurodomas pasisakant už griežtą reguliavimą, yra tai, kad jis užtikrina investicijų saugumą ir apsaugo pensijų fondų dalyvius nuo įvairios kapitalo rinkos rizikos, nes valdytojai yra įpareigoti investuoti į mažos rizikos turtą (pvz., į obligacijas, o ne paprastąsias akcijas). Be to, šie apribojimai yra lengvai vertinami, todėl investicijų valdytojų veiklą galima lengvai stebėti. Tačiau dažnai teigi</w:t>
      </w:r>
      <w:r w:rsidRPr="00A94A59">
        <w:t>ama, kad tokie apribojimai varžo tinkamą investicinio portfelio diversifikaciją ir faktiškai padidina, o ne sumažina antros pakopos pensijų kaupimo sistemos riziką.</w:t>
      </w:r>
      <w:r w:rsidRPr="00A94A59">
        <w:rPr>
          <w:rStyle w:val="Puslapioinaosnuoroda"/>
        </w:rPr>
        <w:footnoteReference w:id="56"/>
      </w:r>
      <w:r w:rsidRPr="00A94A59">
        <w:t xml:space="preserve"> P. Antolin (2008) pateikė skirtingų žemynų šalyse privačių pensijų fondų veiklos vertinimą. Buvo atsižvelgta į fondų veiklos reguliavimą ir investicijų pasiskirstymą. Dažniausiai buvo vertinama pagal investicijų grąžą. Jo atliktas tyrimas parodė, kad kai kuriais atvejais riziką valdantys ribojimai tik trukdė pasiekti gerus rezultatus.</w:t>
      </w:r>
      <w:r w:rsidRPr="00A94A59">
        <w:rPr>
          <w:rStyle w:val="Puslapioinaosnuoroda"/>
        </w:rPr>
        <w:footnoteReference w:id="57"/>
      </w:r>
      <w:r w:rsidRPr="00A94A59">
        <w:t xml:space="preserve"> Taip pat ES Komisijos ataskaitoje (</w:t>
      </w:r>
      <w:proofErr w:type="spellStart"/>
      <w:r w:rsidRPr="000C2C33">
        <w:t>Recommendations</w:t>
      </w:r>
      <w:proofErr w:type="spellEnd"/>
      <w:r w:rsidRPr="000C2C33">
        <w:t xml:space="preserve"> </w:t>
      </w:r>
      <w:proofErr w:type="spellStart"/>
      <w:r w:rsidRPr="000C2C33">
        <w:t>for</w:t>
      </w:r>
      <w:proofErr w:type="spellEnd"/>
      <w:r w:rsidRPr="000C2C33">
        <w:t xml:space="preserve"> a </w:t>
      </w:r>
      <w:proofErr w:type="spellStart"/>
      <w:r w:rsidRPr="000C2C33">
        <w:t>European</w:t>
      </w:r>
      <w:proofErr w:type="spellEnd"/>
      <w:r w:rsidRPr="000C2C33">
        <w:t xml:space="preserve"> </w:t>
      </w:r>
      <w:proofErr w:type="spellStart"/>
      <w:r w:rsidRPr="000C2C33">
        <w:t>Code</w:t>
      </w:r>
      <w:proofErr w:type="spellEnd"/>
      <w:r w:rsidRPr="000C2C33">
        <w:t xml:space="preserve"> </w:t>
      </w:r>
      <w:proofErr w:type="spellStart"/>
      <w:r w:rsidRPr="000C2C33">
        <w:t>of</w:t>
      </w:r>
      <w:proofErr w:type="spellEnd"/>
      <w:r w:rsidRPr="000C2C33">
        <w:t xml:space="preserve"> Best </w:t>
      </w:r>
      <w:proofErr w:type="spellStart"/>
      <w:r w:rsidRPr="000C2C33">
        <w:t>Practice</w:t>
      </w:r>
      <w:proofErr w:type="spellEnd"/>
      <w:r w:rsidRPr="000C2C33">
        <w:t xml:space="preserve"> </w:t>
      </w:r>
      <w:proofErr w:type="spellStart"/>
      <w:r w:rsidRPr="000C2C33">
        <w:t>for</w:t>
      </w:r>
      <w:proofErr w:type="spellEnd"/>
      <w:r w:rsidRPr="000C2C33">
        <w:t xml:space="preserve"> </w:t>
      </w:r>
      <w:proofErr w:type="spellStart"/>
      <w:r w:rsidRPr="000C2C33">
        <w:t>Second</w:t>
      </w:r>
      <w:proofErr w:type="spellEnd"/>
      <w:r w:rsidRPr="000C2C33">
        <w:t xml:space="preserve"> </w:t>
      </w:r>
      <w:proofErr w:type="spellStart"/>
      <w:r w:rsidRPr="000C2C33">
        <w:t>Pillar</w:t>
      </w:r>
      <w:proofErr w:type="spellEnd"/>
      <w:r w:rsidRPr="000C2C33">
        <w:t xml:space="preserve"> </w:t>
      </w:r>
      <w:proofErr w:type="spellStart"/>
      <w:r w:rsidRPr="000C2C33">
        <w:t>Pension</w:t>
      </w:r>
      <w:proofErr w:type="spellEnd"/>
      <w:r w:rsidRPr="000C2C33">
        <w:t xml:space="preserve"> </w:t>
      </w:r>
      <w:r w:rsidRPr="009155FE">
        <w:t>Funds,</w:t>
      </w:r>
      <w:r w:rsidRPr="00A94A59">
        <w:t xml:space="preserve"> 1999) teigiama, kad 1984–1998 m. pensi</w:t>
      </w:r>
      <w:r w:rsidR="00A94A59">
        <w:t>jų fondų, kuriems buvo taikomi</w:t>
      </w:r>
      <w:r w:rsidRPr="00A94A59">
        <w:t xml:space="preserve"> griežti kiekybiniai reikalavimai, vidutinis realus pelningumas buvo 6 proc., o pensijų fondų, kurie buvo valdomi </w:t>
      </w:r>
      <w:r w:rsidR="00A94A59" w:rsidRPr="00A94A59">
        <w:t>remiantis „protingo žmogaus“ taisykle</w:t>
      </w:r>
      <w:r w:rsidRPr="00A94A59">
        <w:t>, atitinkamas pelningumas buvo 10 proc. Mažesnis pelningumas reiškia mažesnes išmokas. Kitaip tariant, griežtas valstybinis reguliavimas turi įtakos pensijų fondų pelningumui.</w:t>
      </w:r>
      <w:r w:rsidRPr="00A94A59">
        <w:rPr>
          <w:rStyle w:val="Puslapioinaosnuoroda"/>
        </w:rPr>
        <w:footnoteReference w:id="58"/>
      </w:r>
      <w:r w:rsidRPr="00A94A59">
        <w:t xml:space="preserve"> </w:t>
      </w:r>
      <w:r w:rsidRPr="00EC4418">
        <w:t>Nustatytų kiekybinių apribojimų taikymas užkerta kelią geriausiam galimam investicinio portfelio paskirstymui, o taip pat jie kliudo pasiekti didesnę grąžą. Teisės aktais ir taisyklėmis regl</w:t>
      </w:r>
      <w:r>
        <w:t>amentuojami apribojimai neleidžia</w:t>
      </w:r>
      <w:r w:rsidRPr="00EC4418">
        <w:t xml:space="preserve"> investicijų valdytojams pasinaudoti rinkos galimybėmis ir naujovėmis ir gali apriboti investicijas iki priemonių, kurios nebūtinai užtikrins didžiausią grąžą nepakenkiant investicijų saugumui.</w:t>
      </w:r>
      <w:r w:rsidRPr="00EC4418">
        <w:rPr>
          <w:rStyle w:val="Puslapioinaosnuoroda"/>
        </w:rPr>
        <w:footnoteReference w:id="59"/>
      </w:r>
      <w:r w:rsidRPr="00EC4418">
        <w:t xml:space="preserve"> </w:t>
      </w:r>
      <w:r w:rsidRPr="0048307E">
        <w:t xml:space="preserve">Tuo tarpu investicijų valdytojai, </w:t>
      </w:r>
      <w:r w:rsidR="00A94A59" w:rsidRPr="0048307E">
        <w:t>turintys</w:t>
      </w:r>
      <w:r w:rsidRPr="0048307E">
        <w:t xml:space="preserve"> tik sąžiningai veikti dalyvių interesais, </w:t>
      </w:r>
      <w:r w:rsidR="0048307E" w:rsidRPr="0048307E">
        <w:t>geba</w:t>
      </w:r>
      <w:r w:rsidRPr="0048307E">
        <w:t xml:space="preserve"> geriau ir greičiau prisitaikyti prie rinkos</w:t>
      </w:r>
      <w:r w:rsidR="0048307E" w:rsidRPr="0048307E">
        <w:t xml:space="preserve"> pokyčių nei tie, kurie</w:t>
      </w:r>
      <w:r w:rsidR="00A94A59" w:rsidRPr="0048307E">
        <w:t xml:space="preserve"> privalo</w:t>
      </w:r>
      <w:r w:rsidRPr="0048307E">
        <w:t xml:space="preserve"> savo </w:t>
      </w:r>
      <w:r w:rsidR="00A94A59" w:rsidRPr="0048307E">
        <w:t xml:space="preserve">priimtus </w:t>
      </w:r>
      <w:r w:rsidRPr="0048307E">
        <w:t xml:space="preserve">sprendimus derinti su nustatytais </w:t>
      </w:r>
      <w:r w:rsidR="00A94A59" w:rsidRPr="0048307E">
        <w:t>tam tikrais apribojimais. Bet kokie</w:t>
      </w:r>
      <w:r w:rsidRPr="0048307E">
        <w:t xml:space="preserve"> </w:t>
      </w:r>
      <w:r w:rsidR="0048307E" w:rsidRPr="0048307E">
        <w:t>taikomi ap</w:t>
      </w:r>
      <w:r w:rsidRPr="0048307E">
        <w:t xml:space="preserve">ribojimai </w:t>
      </w:r>
      <w:r w:rsidR="00A94A59" w:rsidRPr="0048307E">
        <w:t>sumažina gaunamą investicijų</w:t>
      </w:r>
      <w:r w:rsidRPr="0048307E">
        <w:t xml:space="preserve"> grąžą, ne</w:t>
      </w:r>
      <w:r w:rsidR="00A94A59" w:rsidRPr="0048307E">
        <w:t xml:space="preserve">s investicijų valdytojai yra </w:t>
      </w:r>
      <w:r w:rsidRPr="0048307E">
        <w:t>verčiami pasirinkti ne</w:t>
      </w:r>
      <w:r w:rsidR="00A94A59" w:rsidRPr="0048307E">
        <w:t xml:space="preserve"> visada</w:t>
      </w:r>
      <w:r w:rsidRPr="0048307E">
        <w:t xml:space="preserve"> pačius efektyviausius investavimo būdus. </w:t>
      </w:r>
      <w:r w:rsidR="00A94A59" w:rsidRPr="0048307E">
        <w:t>Griežti a</w:t>
      </w:r>
      <w:r w:rsidRPr="0048307E">
        <w:t>pribojimai ar net</w:t>
      </w:r>
      <w:r w:rsidR="0048307E" w:rsidRPr="0048307E">
        <w:t>gi</w:t>
      </w:r>
      <w:r w:rsidRPr="0048307E">
        <w:t xml:space="preserve"> draudimai investuoti užsienyje labai sumaži</w:t>
      </w:r>
      <w:r w:rsidR="00A94A59" w:rsidRPr="0048307E">
        <w:t>na investicijų diversifikavimą, o</w:t>
      </w:r>
      <w:r w:rsidRPr="0048307E">
        <w:t xml:space="preserve"> tuo pačiu </w:t>
      </w:r>
      <w:r w:rsidR="00A94A59" w:rsidRPr="0048307E">
        <w:t xml:space="preserve">ir </w:t>
      </w:r>
      <w:r w:rsidR="001E75EA" w:rsidRPr="0048307E">
        <w:t>jų saugumą, nes šalies rinka turėtų</w:t>
      </w:r>
      <w:r w:rsidRPr="0048307E">
        <w:t xml:space="preserve"> būti labai segmentiška ir įvairi, neorientuota į vieno produkto ar jų</w:t>
      </w:r>
      <w:r w:rsidR="001E75EA" w:rsidRPr="0048307E">
        <w:t xml:space="preserve"> grupės gamybą, kad joje </w:t>
      </w:r>
      <w:r w:rsidRPr="0048307E">
        <w:t>būtų</w:t>
      </w:r>
      <w:r w:rsidR="001E75EA" w:rsidRPr="0048307E">
        <w:t xml:space="preserve"> galima</w:t>
      </w:r>
      <w:r w:rsidRPr="0048307E">
        <w:t xml:space="preserve"> pasiekti tokį </w:t>
      </w:r>
      <w:r w:rsidR="001E75EA" w:rsidRPr="0048307E">
        <w:t>diversifikavimo lygį, kokį teiktų</w:t>
      </w:r>
      <w:r w:rsidRPr="0048307E">
        <w:t xml:space="preserve"> investavimas tarptautinėse rinkose.</w:t>
      </w:r>
      <w:r w:rsidRPr="0048307E">
        <w:rPr>
          <w:rStyle w:val="Puslapioinaosnuoroda"/>
        </w:rPr>
        <w:footnoteReference w:id="60"/>
      </w:r>
      <w:r w:rsidRPr="0048307E">
        <w:t xml:space="preserve"> </w:t>
      </w:r>
    </w:p>
    <w:p w:rsidR="00445C7E" w:rsidRDefault="00445C7E" w:rsidP="00981B09">
      <w:pPr>
        <w:pStyle w:val="Betarp"/>
        <w:spacing w:line="360" w:lineRule="auto"/>
        <w:ind w:firstLine="567"/>
      </w:pPr>
      <w:r w:rsidRPr="00EC4418">
        <w:lastRenderedPageBreak/>
        <w:t xml:space="preserve">Vis dėlto minėtas “protingo žmogaus” taisyklės pritaikomumas bei jos lankstumas tuo pačiu yra jos privalumas bei trūkumas. Tinkamas šios taisyklės taikymas negali būti taip lengvai įvertintas, kaip tai galima padaryti aiškaus kiekybinio apribojimo atveju. Nors tas pats galioja bet kokiam bendrajam teisės principui, </w:t>
      </w:r>
      <w:r>
        <w:t>tačiau</w:t>
      </w:r>
      <w:r w:rsidRPr="00EC4418">
        <w:t xml:space="preserve"> tai sukelia keblumų patikėtiniams, reguliavimo ir priežiūros institucijoms. Šiandien </w:t>
      </w:r>
      <w:r>
        <w:t>pensijų fondų turto valdytojai</w:t>
      </w:r>
      <w:r w:rsidRPr="00EC4418">
        <w:t xml:space="preserve"> privalo įvertinti nuolatinį srautą naujų pokyčių finansų rinkose, naujus investavimo produktus bei investavimo metodus. Vadovaudamiesi „protingo žmogaus“ taisykle, </w:t>
      </w:r>
      <w:r>
        <w:t>jie</w:t>
      </w:r>
      <w:r w:rsidRPr="00EC4418">
        <w:t xml:space="preserve"> privalo įvertinti, ar jų dabartinė investavimo praktika ir investicinis portfelis remiasi šiuo principu, o taip pat ar naujos galimybės gali būti tinkamai ir apdairiai naudoja</w:t>
      </w:r>
      <w:r>
        <w:t xml:space="preserve">mos konkrečiam pensijų fondui. </w:t>
      </w:r>
      <w:r w:rsidRPr="00EC4418">
        <w:t>Būtent “protingo žmogaus” taisyklė suteikia patikėtiniams reikalingo lankstumo priimant investicijų valdymo sprendimus</w:t>
      </w:r>
      <w:r w:rsidR="00D97585">
        <w:t>,</w:t>
      </w:r>
      <w:r w:rsidRPr="00EC4418">
        <w:t xml:space="preserve"> šioje nuolat besikeičiančioje aplinkoje. Tačiau tuo pačiu čia atsiskleidžia ir šitos taisyklės didžiausias trūkumas. Taip yra todėl, kad skirtingai nei kiekybinių apribojimų atveju, nėra lengva nustatyti, ar šia taisykle buvo vadovautasi tinkamai. Paprasčiau tariant, gali būti ne taip lengva nustatyti, kada ši taisyklė yra pažeidžiama. Pasikeitus ekonominei situacijai, atsiradus naujiems investavimo objektams, metodams ir pan. </w:t>
      </w:r>
      <w:r>
        <w:t>turto valdytojai</w:t>
      </w:r>
      <w:r w:rsidRPr="00EC4418">
        <w:t xml:space="preserve">, remiantis „protingo žmogaus“ taisykle, turi nuspręsti, kaip prisiderinti prie naujos aplinkos ir ar atsiradę nauji produktai gali būti įtraukti į jų investicinį portfelį. Šis nuolatinės stebėsenos, apžvalgos ir vertinimo procesas yra, be abejo, „protingo žmogaus“ taisyklės pagrindas. Taip pat gali atsirasti poreikis pačioms pensijų reguliavimo ir priežiūros institucijoms nuspręsti, ar yra didesnė ar mažesnė tikimybė, kad konkretūs produktai, investavimo metodai ir praktikos bus </w:t>
      </w:r>
      <w:r>
        <w:t>turto valdytojų</w:t>
      </w:r>
      <w:r w:rsidRPr="00EC4418">
        <w:t xml:space="preserve"> panaudoti apdairiai, o taip pat pateikti </w:t>
      </w:r>
      <w:r>
        <w:t xml:space="preserve">jiems </w:t>
      </w:r>
      <w:r w:rsidRPr="00EC4418">
        <w:t>rekomendacijas.</w:t>
      </w:r>
      <w:r w:rsidRPr="00EC4418">
        <w:rPr>
          <w:rStyle w:val="Puslapioinaosnuoroda"/>
        </w:rPr>
        <w:footnoteReference w:id="61"/>
      </w:r>
      <w:r>
        <w:t xml:space="preserve"> </w:t>
      </w:r>
      <w:r w:rsidRPr="00BB1404">
        <w:t>Be to, pastaruoju metu iškilęs ir daug diskusijų sukėlęs klausimas investicijų reguliavimo srityje yra susijęs su vieningo ir daugybiniu portfelių naudojimu. Daugelyje šalių pensijų fondų portfeliai jau yra pagrįstai diversifikuoti ir diversifikavimo laipsnis didėja, o investavimo apribojimai daugelyje šalių silpnėja. Vis dėlto teigiama, kad bendras diversifikacijos laipsnis vis dar yra nepakankamas, nes portfelių sudėtis skirtinguose fonduose yra panaši dėl stipraus vienodinimo poveikio. Net ir tose šalyse, kuriose leidžiama keisti pensijų fondus, darbuotojai neturi reikšmingo pasirinkimo tarp rizikos ir grąžos derinių, nes visi galimi portfeliai iš esmės yra vienodi. Taigi, jauni ir vyresnio amžiaus darbuotojai yra priversti rinktis tą patį portfelį, kuris yra nepakankamas abiem grupėms, kadangi jauniems darbuotojams būtų palankesni portfeliai su didesne akcijų dalimi, o vyresnio amžiaus darbuotojams naudingesni portfeliai, kurių rizika mažesnė ir didesnis likvidumas. Nors atskiri pensijų fondai taiko investavimo politiką, orientuotą į vidutinio amžiaus fondo narius, galima teigti, kad toks portfelis nepakankamas įvairaus amžiaus nariams. Siekiant padėti išspręsti šią problemą buvo pasiūlyta, kad darbuotojams turi būti suteikta galimybė pasiri</w:t>
      </w:r>
      <w:r w:rsidR="004F219F">
        <w:t>nkti daugiau nei vieną portfelį.</w:t>
      </w:r>
    </w:p>
    <w:p w:rsidR="00445C7E" w:rsidRPr="00CA6161" w:rsidRDefault="00445C7E" w:rsidP="00DE098C">
      <w:pPr>
        <w:pStyle w:val="Betarp"/>
        <w:spacing w:line="360" w:lineRule="auto"/>
        <w:ind w:firstLine="567"/>
      </w:pPr>
      <w:r w:rsidRPr="00CA6161">
        <w:lastRenderedPageBreak/>
        <w:t>Pensijų fondo investavimo būdas yra tiesiogiai susijęs su jo portfelio rizika ir gaunama investicine grąža. Didžiausios galimos pensijų fondų investicijų grąžos užtikrinimas nepatiriant nereikalingos rizikos yra svarbiausias pensijų kaupimo dalyvių, interesas, ypač fiksuotų įmokų sistemų atveju, kai pelnas priklauso nuo investavimo efektyvumo ir nėra numatytas iš anksto kaip fiksuotų išmok</w:t>
      </w:r>
      <w:r>
        <w:t>ų schemų atveju. Atsižvelgiant</w:t>
      </w:r>
      <w:r w:rsidRPr="00CA6161">
        <w:t xml:space="preserve"> į tai, pensijų fondai turėtų laikytis protingumo principo. Remiantis anksčiau išdėstyta informacija, būtų galima išskirti šiuos svarbiausius aspektus, susijusius su investavimo įstatymine baze, kuomet yra vadovaujamasi „protingo žmogaus taisykle“:</w:t>
      </w:r>
    </w:p>
    <w:p w:rsidR="00445C7E" w:rsidRPr="00CA6161" w:rsidRDefault="00445C7E" w:rsidP="00DE098C">
      <w:pPr>
        <w:pStyle w:val="Betarp"/>
        <w:spacing w:line="360" w:lineRule="auto"/>
        <w:ind w:firstLine="567"/>
      </w:pPr>
      <w:r w:rsidRPr="00CA6161">
        <w:t>a. Svarbu, kad būtų nustatyti atitinkami standartai turto investicijų valdymui. Tokiam valdymui turėtų būti taikomas protingumo principas. Minėti standartai turėtų užtikrinti saugą ir saugumą bei suteikti investicijų valdytojams pagrįstas galias, leidžiančias užtikrinti didžiausią grąžą esant priimtinam rizikos lygiui, t.y. turto investicijų paskirstymas turėtų būti paliktas kompetentingų investicijų valdytojų rankose, kuriems turėtų būti suteikiama pakankamai galios skirstyti lėšas siekiant užtikrinti saugų ir efektyvų pensijų kaupimo dalyvių interesų gynimą. Tačiau protingumo principo įgyvendinimą turėtų užtikrinti stipri įstatyminė bazė, kuriama remiantis priežiūros, diversifikavimo, protingumo ir lojalumo principais. Reguliavimo sistema turėtų numatyti tvirtą pensijų fondų valdymo veiklos sistemą.</w:t>
      </w:r>
    </w:p>
    <w:p w:rsidR="00445C7E" w:rsidRPr="00CA6161" w:rsidRDefault="00445C7E" w:rsidP="00DE098C">
      <w:pPr>
        <w:pStyle w:val="Betarp"/>
        <w:spacing w:line="360" w:lineRule="auto"/>
        <w:ind w:firstLine="567"/>
      </w:pPr>
      <w:r w:rsidRPr="00CA6161">
        <w:t>b. Investavimo apribojimai turėtų būti riboti, kad būtų užtikrintas tinkamas portfelio diversifikavimas. Tokie apribojimai neturėtų nurodyti, kur ir ką investuoti. Taip pat neturėtų būti taikomi geografiniai apribojimai investavimo procesui. Vis dėlto protingumo taisyklė turėtų būti lydima tam tikrų kiekybinių apribojimų, kuriais visų pirma būtų siekiama užtikrinti įvairovę ir spręsti konkrečias rizikas.</w:t>
      </w:r>
      <w:r w:rsidRPr="00CA6161">
        <w:rPr>
          <w:rStyle w:val="Puslapioinaosnuoroda"/>
        </w:rPr>
        <w:footnoteReference w:id="62"/>
      </w:r>
    </w:p>
    <w:p w:rsidR="00445C7E" w:rsidRDefault="00445C7E" w:rsidP="00B44EC4">
      <w:pPr>
        <w:pStyle w:val="Betarp"/>
        <w:spacing w:line="360" w:lineRule="auto"/>
        <w:ind w:firstLine="567"/>
      </w:pPr>
      <w:r w:rsidRPr="00EC4418">
        <w:t>Taigi, pensijų fondų reguliavimas turi įtakos pensijų fondų valdytojų elgsenai, kadangi apribojimais suvaržyta investavimo politika valdytojams neleidžia laisvai ir neprik</w:t>
      </w:r>
      <w:r w:rsidR="001E75EA">
        <w:t>lausomai priimti sprendimus. Kuomet</w:t>
      </w:r>
      <w:r w:rsidRPr="00EC4418">
        <w:t xml:space="preserve"> reguliavimo politika</w:t>
      </w:r>
      <w:r w:rsidR="001E75EA">
        <w:t xml:space="preserve"> remiasi apdairiu principu,</w:t>
      </w:r>
      <w:r w:rsidRPr="00EC4418">
        <w:t xml:space="preserve"> </w:t>
      </w:r>
      <w:r w:rsidR="001E75EA">
        <w:t xml:space="preserve">investicijų </w:t>
      </w:r>
      <w:r w:rsidRPr="00EC4418">
        <w:t xml:space="preserve">valdytojai gali formuoti investicinį portfelį pagal savo nusistatytus </w:t>
      </w:r>
      <w:r w:rsidR="001E75EA">
        <w:t xml:space="preserve">tam tikrus </w:t>
      </w:r>
      <w:r w:rsidRPr="00EC4418">
        <w:t xml:space="preserve">portfelio formavimo modelius ir </w:t>
      </w:r>
      <w:r w:rsidR="001E75EA">
        <w:t>pasirinkti</w:t>
      </w:r>
      <w:r w:rsidRPr="00EC4418">
        <w:t xml:space="preserve"> tokį finansinį turtą, kuris tuo metu finansų rinkoje yra patrauklesnis. Šalių, </w:t>
      </w:r>
      <w:r w:rsidR="001E75EA">
        <w:t xml:space="preserve">besiremiančių šiuo </w:t>
      </w:r>
      <w:r w:rsidRPr="00EC4418">
        <w:t xml:space="preserve">principu, praktika aiškiai rodo, kad </w:t>
      </w:r>
      <w:r w:rsidR="001E75EA">
        <w:t>taip vykdomos investicijos teikia</w:t>
      </w:r>
      <w:r w:rsidRPr="00EC4418">
        <w:t xml:space="preserve"> </w:t>
      </w:r>
      <w:r w:rsidR="001E75EA">
        <w:t>gerokai didesnę grąžą negu</w:t>
      </w:r>
      <w:r w:rsidRPr="00EC4418">
        <w:t xml:space="preserve"> laikantis griežto reguliavimo požiūrio.</w:t>
      </w:r>
      <w:r w:rsidRPr="00EC4418">
        <w:rPr>
          <w:rStyle w:val="Puslapioinaosnuoroda"/>
        </w:rPr>
        <w:footnoteReference w:id="63"/>
      </w:r>
    </w:p>
    <w:p w:rsidR="001E75EA" w:rsidRDefault="001E75EA" w:rsidP="00B44EC4">
      <w:pPr>
        <w:pStyle w:val="Betarp"/>
        <w:spacing w:line="360" w:lineRule="auto"/>
        <w:ind w:firstLine="567"/>
      </w:pPr>
    </w:p>
    <w:p w:rsidR="001E75EA" w:rsidRDefault="001E75EA" w:rsidP="00B44EC4">
      <w:pPr>
        <w:pStyle w:val="Betarp"/>
        <w:spacing w:line="360" w:lineRule="auto"/>
        <w:ind w:firstLine="567"/>
      </w:pPr>
    </w:p>
    <w:p w:rsidR="001E75EA" w:rsidRDefault="001E75EA" w:rsidP="00B44EC4">
      <w:pPr>
        <w:pStyle w:val="Betarp"/>
        <w:spacing w:line="360" w:lineRule="auto"/>
        <w:ind w:firstLine="567"/>
      </w:pPr>
    </w:p>
    <w:p w:rsidR="001E75EA" w:rsidRDefault="001E75EA" w:rsidP="00B44EC4">
      <w:pPr>
        <w:pStyle w:val="Betarp"/>
        <w:spacing w:line="360" w:lineRule="auto"/>
        <w:ind w:firstLine="567"/>
      </w:pPr>
    </w:p>
    <w:p w:rsidR="00445C7E" w:rsidRDefault="00445C7E" w:rsidP="00B44EC4">
      <w:pPr>
        <w:pStyle w:val="Betarp"/>
        <w:spacing w:line="360" w:lineRule="auto"/>
        <w:ind w:firstLine="567"/>
        <w:jc w:val="left"/>
        <w:rPr>
          <w:b/>
        </w:rPr>
      </w:pPr>
    </w:p>
    <w:p w:rsidR="00445C7E" w:rsidRPr="00EC4418" w:rsidRDefault="00445C7E" w:rsidP="00A73A2E">
      <w:pPr>
        <w:pStyle w:val="Betarp"/>
        <w:tabs>
          <w:tab w:val="left" w:pos="567"/>
        </w:tabs>
        <w:spacing w:line="360" w:lineRule="auto"/>
        <w:ind w:firstLine="567"/>
        <w:jc w:val="left"/>
        <w:rPr>
          <w:b/>
        </w:rPr>
      </w:pPr>
      <w:r>
        <w:rPr>
          <w:b/>
        </w:rPr>
        <w:lastRenderedPageBreak/>
        <w:t>2.2</w:t>
      </w:r>
      <w:r w:rsidRPr="00EC4418">
        <w:rPr>
          <w:b/>
        </w:rPr>
        <w:t>. Veiksniai, lemiantys skirtingą požiūrį į investicinės veiklos teisinį reguliavimą</w:t>
      </w:r>
    </w:p>
    <w:p w:rsidR="00445C7E" w:rsidRPr="00EC4418" w:rsidRDefault="00445C7E" w:rsidP="00B44EC4">
      <w:pPr>
        <w:pStyle w:val="Betarp"/>
        <w:spacing w:line="360" w:lineRule="auto"/>
        <w:ind w:firstLine="567"/>
      </w:pPr>
    </w:p>
    <w:p w:rsidR="00445C7E" w:rsidRDefault="00445C7E" w:rsidP="00B44EC4">
      <w:pPr>
        <w:pStyle w:val="Betarp"/>
        <w:spacing w:line="360" w:lineRule="auto"/>
        <w:ind w:firstLine="567"/>
      </w:pPr>
      <w:r w:rsidRPr="00427E49">
        <w:t>TEBIPO</w:t>
      </w:r>
      <w:r>
        <w:t xml:space="preserve"> atliktame tyrime</w:t>
      </w:r>
      <w:r w:rsidRPr="00EC4418">
        <w:rPr>
          <w:rStyle w:val="Puslapioinaosnuoroda"/>
        </w:rPr>
        <w:footnoteReference w:id="64"/>
      </w:r>
      <w:r>
        <w:t xml:space="preserve"> nurodoma</w:t>
      </w:r>
      <w:r w:rsidRPr="00EC4418">
        <w:t xml:space="preserve">, kad šalyse investavimo reguliavimas tiesiogiai yra susijęs, visų pirma, su tuo ar pensijų fondai yra uždaro (ang. </w:t>
      </w:r>
      <w:r w:rsidRPr="008F7B00">
        <w:t>closed funds</w:t>
      </w:r>
      <w:r w:rsidRPr="00EC4418">
        <w:t xml:space="preserve">) ar atviro (angl. </w:t>
      </w:r>
      <w:r w:rsidRPr="00E662A8">
        <w:t>open funds</w:t>
      </w:r>
      <w:r w:rsidRPr="00EC4418">
        <w:t>) tipo, ir antra, ar dalyvavimas pensijų fonduose yra privalomas ar savanoriškas. Taip pat investavimo reguliavimas priklauso nuo to, kokia kaupiamųjų pensijų organizavimo schema pasirenkama – apibrėžtų išmokų ar apibrėžtų įmokų</w:t>
      </w:r>
      <w:r>
        <w:t>.</w:t>
      </w:r>
      <w:r w:rsidRPr="00EC4418">
        <w:t xml:space="preserve"> </w:t>
      </w:r>
    </w:p>
    <w:p w:rsidR="00445C7E" w:rsidRDefault="00445C7E" w:rsidP="00B44EC4">
      <w:pPr>
        <w:pStyle w:val="Betarp"/>
        <w:spacing w:line="360" w:lineRule="auto"/>
        <w:ind w:firstLine="567"/>
        <w:rPr>
          <w:i/>
          <w:iCs/>
        </w:rPr>
      </w:pPr>
    </w:p>
    <w:p w:rsidR="00445C7E" w:rsidRPr="00F40B38" w:rsidRDefault="00445C7E" w:rsidP="00A73A2E">
      <w:pPr>
        <w:pStyle w:val="Betarp"/>
        <w:spacing w:line="360" w:lineRule="auto"/>
        <w:ind w:firstLine="567"/>
        <w:jc w:val="left"/>
        <w:rPr>
          <w:b/>
          <w:iCs/>
          <w:lang w:val="es-ES"/>
        </w:rPr>
      </w:pPr>
      <w:r w:rsidRPr="00F40B38">
        <w:rPr>
          <w:b/>
          <w:iCs/>
          <w:lang w:val="es-ES"/>
        </w:rPr>
        <w:t>2.2.1.</w:t>
      </w:r>
      <w:r>
        <w:rPr>
          <w:b/>
          <w:iCs/>
          <w:lang w:val="es-ES"/>
        </w:rPr>
        <w:t xml:space="preserve"> </w:t>
      </w:r>
      <w:r w:rsidRPr="00F40B38">
        <w:rPr>
          <w:b/>
          <w:iCs/>
          <w:lang w:val="es-ES"/>
        </w:rPr>
        <w:t>Turto patikėjimo institutas ir jo reikšmė pensijų fondų veikloje</w:t>
      </w:r>
    </w:p>
    <w:p w:rsidR="00445C7E" w:rsidRPr="00A73A2E" w:rsidRDefault="00445C7E" w:rsidP="00B44EC4">
      <w:pPr>
        <w:pStyle w:val="Betarp"/>
        <w:spacing w:line="360" w:lineRule="auto"/>
        <w:ind w:firstLine="567"/>
        <w:rPr>
          <w:iCs/>
        </w:rPr>
      </w:pPr>
    </w:p>
    <w:p w:rsidR="00445C7E" w:rsidRPr="00EC4418" w:rsidRDefault="00445C7E" w:rsidP="00B44EC4">
      <w:pPr>
        <w:pStyle w:val="Betarp"/>
        <w:spacing w:line="360" w:lineRule="auto"/>
        <w:ind w:firstLine="567"/>
      </w:pPr>
      <w:r w:rsidRPr="00EC4418">
        <w:rPr>
          <w:i/>
          <w:iCs/>
        </w:rPr>
        <w:t xml:space="preserve">Atviro ir uždaro tipo pensijų fondai. </w:t>
      </w:r>
      <w:r w:rsidRPr="00EC4418">
        <w:rPr>
          <w:iCs/>
        </w:rPr>
        <w:t xml:space="preserve">Uždaro tipo pensijų fondai pasižymi tuo, kad narystė juose yra ribojama atskirų įmonių, profesinių sąjungų, visuomeninių organizacijų ir pan. Atviro tipo pensijų fondai yra atviri įstoti visiems norintiems. </w:t>
      </w:r>
      <w:r w:rsidRPr="00EC4418">
        <w:t>Uždaro tipo pensijų fondai paprastai steigiami darbdavių ar profesinių sąjungų, tuo tarpu atviro tipo pensijų fondai kuriami finansinių įmonių (tokių kaip bankai, draudimo įmonės ir kt.).</w:t>
      </w:r>
      <w:r w:rsidRPr="00EC4418">
        <w:rPr>
          <w:rStyle w:val="Puslapioinaosnuoroda"/>
        </w:rPr>
        <w:footnoteReference w:id="65"/>
      </w:r>
      <w:r w:rsidRPr="00EC4418">
        <w:t xml:space="preserve">  </w:t>
      </w:r>
    </w:p>
    <w:p w:rsidR="00445C7E" w:rsidRPr="00672302" w:rsidRDefault="00445C7E" w:rsidP="00B44EC4">
      <w:pPr>
        <w:pStyle w:val="Betarp"/>
        <w:spacing w:line="360" w:lineRule="auto"/>
        <w:ind w:firstLine="567"/>
      </w:pPr>
      <w:r w:rsidRPr="00EC4418">
        <w:t xml:space="preserve">Daugumoje šalių uždaro ir atviro tipo pensijų fondai skiriasi ir savo teisiniu statusu. Tai ypač išryškėja šalyse, </w:t>
      </w:r>
      <w:r w:rsidR="00EC0486">
        <w:t>kuriose egzistuoja kontinentinė</w:t>
      </w:r>
      <w:r w:rsidRPr="00EC4418">
        <w:t xml:space="preserve"> ir anglo-saksų teisės sistemos. </w:t>
      </w:r>
      <w:r>
        <w:t xml:space="preserve">Kontinentinės teisės šalyse vyrauja atvirto tipo </w:t>
      </w:r>
      <w:r w:rsidRPr="00672302">
        <w:t>pensijų fondai, kurie paprastai kuriami institucinio ar kontraktinio tipo. Institucinio tipo pensijų fondai pasižymi tuo, kad jie turi juridinio asmens statusą ir teisnumą. Kontraktinio tipo pensijų fondai neturi juridinio statuso ir teisnumo, juos sudaro pensijų fondų dalyvių į vieną sąskaitą sudėtas turtas.</w:t>
      </w:r>
      <w:r w:rsidRPr="00672302">
        <w:rPr>
          <w:rStyle w:val="Puslapioinaosnuoroda"/>
        </w:rPr>
        <w:footnoteReference w:id="66"/>
      </w:r>
      <w:r w:rsidRPr="00672302">
        <w:t xml:space="preserve"> Atviro tipo pensijų fonduose draustis renkasi dirbantysis. Tai didina pensijų fondų efektyvumą, nes dirbantieji turi galimybę pereiti iš vienų pensijų fondų į kitus, </w:t>
      </w:r>
      <w:r w:rsidR="00F4385C">
        <w:t xml:space="preserve">o </w:t>
      </w:r>
      <w:r w:rsidRPr="00672302">
        <w:t>prastai dirbantys pensijų f</w:t>
      </w:r>
      <w:r w:rsidR="00F4385C">
        <w:t>ondai nėra išlaikomi. Tokiu būdu</w:t>
      </w:r>
      <w:r w:rsidRPr="00672302">
        <w:t xml:space="preserve"> pensijų fondų valdytojai yra skatinami priimti labiau apgalvotus sprendimus. Tuo tarpu uždaro tipo pensijų fondai paprastai organizuojami „tresto“ (ang. </w:t>
      </w:r>
      <w:r w:rsidRPr="00672302">
        <w:rPr>
          <w:lang w:val="es-ES"/>
        </w:rPr>
        <w:t>trust</w:t>
      </w:r>
      <w:r w:rsidRPr="00672302">
        <w:t>) forma. „Trestai" daugiausia kuriami uždari įmonėse, kai darbdavys sprendžia pens</w:t>
      </w:r>
      <w:r w:rsidR="00F4385C">
        <w:t>ijų fondo valdymą, o darbuotojas neturi galimybės</w:t>
      </w:r>
      <w:r w:rsidRPr="00672302">
        <w:t xml:space="preserve"> pasirinkti. Sąvoka „trestas“ atsirado ir buvo išplėtota anglo-saksų teisės šalyse, kuri reiškia, kad pensijų fondo turtas patikėtojo yra perduodamas patikėtiniui ir šis jį valdo trečiojo asmens naudai.</w:t>
      </w:r>
      <w:r w:rsidRPr="00672302">
        <w:rPr>
          <w:rStyle w:val="Puslapioinaosnuoroda"/>
        </w:rPr>
        <w:footnoteReference w:id="67"/>
      </w:r>
      <w:r w:rsidRPr="00672302">
        <w:t xml:space="preserve"> </w:t>
      </w:r>
    </w:p>
    <w:p w:rsidR="0074400E" w:rsidRDefault="00445C7E" w:rsidP="004B74F4">
      <w:pPr>
        <w:pStyle w:val="Betarp"/>
        <w:spacing w:line="360" w:lineRule="auto"/>
        <w:ind w:firstLine="567"/>
      </w:pPr>
      <w:r w:rsidRPr="007E557E">
        <w:rPr>
          <w:rFonts w:eastAsia="MinionPro-Regular"/>
        </w:rPr>
        <w:lastRenderedPageBreak/>
        <w:t>Anglijoje ir Jungtinėse Amerikos Valstijose turto patikėj</w:t>
      </w:r>
      <w:r w:rsidR="00EC0486">
        <w:rPr>
          <w:rFonts w:eastAsia="MinionPro-Regular"/>
        </w:rPr>
        <w:t xml:space="preserve">imo teisė </w:t>
      </w:r>
      <w:r w:rsidR="0074400E">
        <w:rPr>
          <w:rFonts w:eastAsia="MinionPro-Regular"/>
        </w:rPr>
        <w:t xml:space="preserve">yra </w:t>
      </w:r>
      <w:r w:rsidR="00EC0486">
        <w:rPr>
          <w:rFonts w:eastAsia="MinionPro-Regular"/>
        </w:rPr>
        <w:t>žinoma kaip „trestas”</w:t>
      </w:r>
      <w:r w:rsidRPr="007E557E">
        <w:rPr>
          <w:rFonts w:eastAsia="MinionPro-Regular"/>
        </w:rPr>
        <w:t xml:space="preserve">. </w:t>
      </w:r>
      <w:r w:rsidRPr="007E557E">
        <w:t>Patikėtoji nuosavybė (patikėjimo teisė) buvo n</w:t>
      </w:r>
      <w:r w:rsidR="00F4385C">
        <w:t>audojama siekiant apeiti įvairiu</w:t>
      </w:r>
      <w:r w:rsidRPr="007E557E">
        <w:t xml:space="preserve">s feodalinius nuosavybės apribojimus nekilnojamajam turtui. Pavyzdžiui, </w:t>
      </w:r>
      <w:r w:rsidR="0074400E">
        <w:t xml:space="preserve">tuo metu </w:t>
      </w:r>
      <w:r w:rsidRPr="007E557E">
        <w:t xml:space="preserve">vienuolynams ir bažnyčiai nebuvo galima pirkti ar dovanoti žemės. Bažnyčia ir vienuolynai, taikydami </w:t>
      </w:r>
      <w:r w:rsidR="0074400E">
        <w:t xml:space="preserve">būtent </w:t>
      </w:r>
      <w:r w:rsidRPr="007E557E">
        <w:t>patikėtosios nuosavybės teisę, valdė ir naudojosi patikėta nuosavybe savininko naudai, gindami ir atstovaudami savininkui žemės</w:t>
      </w:r>
      <w:r w:rsidR="00F4385C">
        <w:t xml:space="preserve"> naudojimo klausimais. Laikui bėgant</w:t>
      </w:r>
      <w:r w:rsidRPr="007E557E">
        <w:t xml:space="preserve"> patikėtosios nuosavybės institutas </w:t>
      </w:r>
      <w:r w:rsidR="00F4385C">
        <w:t xml:space="preserve">buvo </w:t>
      </w:r>
      <w:r w:rsidRPr="007E557E">
        <w:t xml:space="preserve">pradėtas </w:t>
      </w:r>
      <w:r w:rsidR="00F4385C">
        <w:t>naudoti ir kitokiai</w:t>
      </w:r>
      <w:r w:rsidRPr="007E557E">
        <w:t xml:space="preserve">s tikslais. </w:t>
      </w:r>
    </w:p>
    <w:p w:rsidR="00445C7E" w:rsidRDefault="0074400E" w:rsidP="004B74F4">
      <w:pPr>
        <w:pStyle w:val="Betarp"/>
        <w:spacing w:line="360" w:lineRule="auto"/>
        <w:ind w:firstLine="567"/>
      </w:pPr>
      <w:r w:rsidRPr="0074400E">
        <w:t>Patikėtosios nuosavybės institutas pasirodė labai patrauklus valstybinio kapitalizmo sąlygomis, todėl sparčiai paplito kapitalo šalyse. Šiuo metu p</w:t>
      </w:r>
      <w:r w:rsidR="00445C7E" w:rsidRPr="0074400E">
        <w:t xml:space="preserve">atikėjimo teisė </w:t>
      </w:r>
      <w:r w:rsidR="00445C7E" w:rsidRPr="007E557E">
        <w:t>vienokiu ar kitokiu pavidalu egzistuoja visų pasaulio šalių teisės sistemose.</w:t>
      </w:r>
      <w:r w:rsidRPr="007E557E">
        <w:rPr>
          <w:rStyle w:val="Puslapioinaosnuoroda"/>
        </w:rPr>
        <w:footnoteReference w:id="68"/>
      </w:r>
      <w:r>
        <w:t xml:space="preserve"> </w:t>
      </w:r>
      <w:r w:rsidR="00445C7E" w:rsidRPr="007E557E">
        <w:t xml:space="preserve">Patikėjimo teisė – tai civilinės teisės institutas, kuris, priklausomai nuo teisinės minties ir tradicijos, </w:t>
      </w:r>
      <w:r w:rsidR="00F4385C">
        <w:t xml:space="preserve">šalyse </w:t>
      </w:r>
      <w:r w:rsidR="00445C7E" w:rsidRPr="007E557E">
        <w:t xml:space="preserve">gali </w:t>
      </w:r>
      <w:r w:rsidR="00445C7E" w:rsidRPr="00F4385C">
        <w:t xml:space="preserve">pasižymėti </w:t>
      </w:r>
      <w:r w:rsidR="00F4385C">
        <w:t>savitu turiniu ir</w:t>
      </w:r>
      <w:r w:rsidR="00445C7E" w:rsidRPr="00F4385C">
        <w:t xml:space="preserve"> atlikti skirtingą vaidmenį šalies civilinės teisės sistemoje. Šis institutas per t</w:t>
      </w:r>
      <w:r w:rsidR="00445C7E" w:rsidRPr="00F4385C">
        <w:rPr>
          <w:rFonts w:eastAsia="TimesNewRoman"/>
        </w:rPr>
        <w:t>ū</w:t>
      </w:r>
      <w:r w:rsidR="00445C7E" w:rsidRPr="00F4385C">
        <w:t>kstant</w:t>
      </w:r>
      <w:r w:rsidR="00445C7E" w:rsidRPr="00F4385C">
        <w:rPr>
          <w:rFonts w:eastAsia="TimesNewRoman"/>
        </w:rPr>
        <w:t xml:space="preserve">į </w:t>
      </w:r>
      <w:r w:rsidR="00445C7E" w:rsidRPr="00F4385C">
        <w:t>savo egzistavimo met</w:t>
      </w:r>
      <w:r w:rsidR="00445C7E" w:rsidRPr="00F4385C">
        <w:rPr>
          <w:rFonts w:eastAsia="TimesNewRoman"/>
        </w:rPr>
        <w:t xml:space="preserve">ų </w:t>
      </w:r>
      <w:r w:rsidR="00445C7E" w:rsidRPr="00F4385C">
        <w:t>prigijo bendrosios teis</w:t>
      </w:r>
      <w:r w:rsidR="00445C7E" w:rsidRPr="00F4385C">
        <w:rPr>
          <w:rFonts w:eastAsia="TimesNewRoman"/>
        </w:rPr>
        <w:t>ė</w:t>
      </w:r>
      <w:r w:rsidR="00F4385C">
        <w:t>s tradicijos šalyse, taipogi</w:t>
      </w:r>
      <w:r w:rsidR="00445C7E" w:rsidRPr="00F4385C">
        <w:t xml:space="preserve"> j</w:t>
      </w:r>
      <w:r w:rsidR="00445C7E" w:rsidRPr="00F4385C">
        <w:rPr>
          <w:rFonts w:eastAsia="TimesNewRoman"/>
        </w:rPr>
        <w:t xml:space="preserve">į </w:t>
      </w:r>
      <w:r w:rsidR="00445C7E" w:rsidRPr="00F4385C">
        <w:t>per</w:t>
      </w:r>
      <w:r w:rsidR="00445C7E" w:rsidRPr="00F4385C">
        <w:rPr>
          <w:rFonts w:eastAsia="TimesNewRoman"/>
        </w:rPr>
        <w:t>ė</w:t>
      </w:r>
      <w:r w:rsidR="00445C7E" w:rsidRPr="00F4385C">
        <w:t>m</w:t>
      </w:r>
      <w:r w:rsidR="00445C7E" w:rsidRPr="00F4385C">
        <w:rPr>
          <w:rFonts w:eastAsia="TimesNewRoman"/>
        </w:rPr>
        <w:t xml:space="preserve">ė </w:t>
      </w:r>
      <w:r w:rsidR="00C77286" w:rsidRPr="00F4385C">
        <w:rPr>
          <w:rFonts w:eastAsia="TimesNewRoman"/>
        </w:rPr>
        <w:t xml:space="preserve">ir </w:t>
      </w:r>
      <w:r w:rsidR="00445C7E" w:rsidRPr="00F4385C">
        <w:t>kai kurios kontinentin</w:t>
      </w:r>
      <w:r w:rsidR="00445C7E" w:rsidRPr="00F4385C">
        <w:rPr>
          <w:rFonts w:eastAsia="TimesNewRoman"/>
        </w:rPr>
        <w:t>ė</w:t>
      </w:r>
      <w:r w:rsidR="00445C7E" w:rsidRPr="00F4385C">
        <w:t>s teis</w:t>
      </w:r>
      <w:r w:rsidR="00445C7E" w:rsidRPr="00F4385C">
        <w:rPr>
          <w:rFonts w:eastAsia="TimesNewRoman"/>
        </w:rPr>
        <w:t>ė</w:t>
      </w:r>
      <w:r w:rsidR="00445C7E" w:rsidRPr="00F4385C">
        <w:t>s tradicijos valstyb</w:t>
      </w:r>
      <w:r w:rsidR="00445C7E" w:rsidRPr="00F4385C">
        <w:rPr>
          <w:rFonts w:eastAsia="TimesNewRoman"/>
        </w:rPr>
        <w:t>ė</w:t>
      </w:r>
      <w:r w:rsidR="00445C7E" w:rsidRPr="00F4385C">
        <w:t>s.</w:t>
      </w:r>
      <w:r w:rsidR="004238F4" w:rsidRPr="007E557E">
        <w:t xml:space="preserve"> </w:t>
      </w:r>
      <w:r w:rsidR="00D55C91" w:rsidRPr="007E557E">
        <w:rPr>
          <w:rFonts w:eastAsia="MinionPro-Regular"/>
        </w:rPr>
        <w:t xml:space="preserve">Patikėjimo teisės institutas yra globalus teisinis reiškinys, žinomas daugelio skirtingų teisės tradicijų </w:t>
      </w:r>
      <w:r w:rsidR="00D55C91" w:rsidRPr="007E557E">
        <w:t xml:space="preserve">valstybių civilinei teisei. </w:t>
      </w:r>
      <w:r w:rsidR="00445C7E" w:rsidRPr="007E557E">
        <w:t xml:space="preserve">Nors </w:t>
      </w:r>
      <w:r w:rsidR="00C50045">
        <w:t>atskirose šalyse</w:t>
      </w:r>
      <w:r w:rsidR="00445C7E" w:rsidRPr="007E557E">
        <w:t xml:space="preserve"> turto patikėjimo teisė vadinama skirtingai, daugeliu atvejų jos turinys yra panašus ir neretai siekia atkartoti anglo-saksų „tresto“ modelio esmę. Bendrosios teis</w:t>
      </w:r>
      <w:r w:rsidR="00445C7E" w:rsidRPr="007E557E">
        <w:rPr>
          <w:rFonts w:eastAsia="TimesNewRoman"/>
        </w:rPr>
        <w:t>ė</w:t>
      </w:r>
      <w:r w:rsidR="00445C7E" w:rsidRPr="007E557E">
        <w:t>s tradicijos valstyb</w:t>
      </w:r>
      <w:r w:rsidR="00445C7E" w:rsidRPr="007E557E">
        <w:rPr>
          <w:rFonts w:eastAsia="TimesNewRoman"/>
        </w:rPr>
        <w:t>ė</w:t>
      </w:r>
      <w:r w:rsidR="00445C7E" w:rsidRPr="007E557E">
        <w:t>se „trestas“ yra naudojamas labai pla</w:t>
      </w:r>
      <w:r w:rsidR="00445C7E" w:rsidRPr="007E557E">
        <w:rPr>
          <w:rFonts w:eastAsia="TimesNewRoman"/>
        </w:rPr>
        <w:t>č</w:t>
      </w:r>
      <w:r w:rsidR="00445C7E" w:rsidRPr="007E557E">
        <w:t xml:space="preserve">iai. To priežastis yra </w:t>
      </w:r>
      <w:r w:rsidR="00C50045">
        <w:t xml:space="preserve">šio </w:t>
      </w:r>
      <w:r w:rsidR="00445C7E" w:rsidRPr="007E557E">
        <w:t xml:space="preserve">instituto pritaikomumas </w:t>
      </w:r>
      <w:r w:rsidR="00445C7E" w:rsidRPr="007E557E">
        <w:rPr>
          <w:rFonts w:eastAsia="TimesNewRoman"/>
        </w:rPr>
        <w:t>į</w:t>
      </w:r>
      <w:r w:rsidR="00445C7E" w:rsidRPr="007E557E">
        <w:t>vairiems santykiams ir suteikimas instrument</w:t>
      </w:r>
      <w:r w:rsidR="00445C7E" w:rsidRPr="007E557E">
        <w:rPr>
          <w:rFonts w:eastAsia="TimesNewRoman"/>
        </w:rPr>
        <w:t>ų</w:t>
      </w:r>
      <w:r w:rsidR="00445C7E" w:rsidRPr="007E557E">
        <w:t xml:space="preserve">, </w:t>
      </w:r>
      <w:r w:rsidR="00C50045">
        <w:t>kurie leidžia</w:t>
      </w:r>
      <w:r w:rsidR="00445C7E" w:rsidRPr="007E557E">
        <w:rPr>
          <w:rFonts w:eastAsia="TimesNewRoman"/>
        </w:rPr>
        <w:t xml:space="preserve"> </w:t>
      </w:r>
      <w:r w:rsidR="00445C7E" w:rsidRPr="007E557E">
        <w:t xml:space="preserve">pasiekti </w:t>
      </w:r>
      <w:r w:rsidR="00445C7E" w:rsidRPr="007E557E">
        <w:rPr>
          <w:rFonts w:eastAsia="TimesNewRoman"/>
        </w:rPr>
        <w:t>į</w:t>
      </w:r>
      <w:r w:rsidR="00445C7E" w:rsidRPr="007E557E">
        <w:t>vairaus pob</w:t>
      </w:r>
      <w:r w:rsidR="00445C7E" w:rsidRPr="007E557E">
        <w:rPr>
          <w:rFonts w:eastAsia="TimesNewRoman"/>
        </w:rPr>
        <w:t>ū</w:t>
      </w:r>
      <w:r w:rsidR="00C50045">
        <w:t>džio tikslų</w:t>
      </w:r>
      <w:r w:rsidR="00445C7E" w:rsidRPr="007E557E">
        <w:t xml:space="preserve">. </w:t>
      </w:r>
      <w:r w:rsidR="00C50045">
        <w:t>K</w:t>
      </w:r>
      <w:r w:rsidR="00445C7E" w:rsidRPr="007E557E">
        <w:t>ai kurie turto patikėjimo instituto tyrinėtojai</w:t>
      </w:r>
      <w:r w:rsidR="00C50045">
        <w:t xml:space="preserve"> pažymi</w:t>
      </w:r>
      <w:r w:rsidR="00445C7E" w:rsidRPr="007E557E">
        <w:t xml:space="preserve">, </w:t>
      </w:r>
      <w:r w:rsidR="00C50045">
        <w:t xml:space="preserve">kad </w:t>
      </w:r>
      <w:r w:rsidR="00445C7E" w:rsidRPr="007E557E">
        <w:t xml:space="preserve">daugelis civilinės teisės institutų yra tarsi patikėtos nuosavybės kopijos, tačiau visos jos netobulos. Nors </w:t>
      </w:r>
      <w:r w:rsidR="00C50045">
        <w:t xml:space="preserve">ir yra </w:t>
      </w:r>
      <w:r w:rsidR="00445C7E" w:rsidRPr="007E557E">
        <w:t>naudojami tam pačiam rezultatui pa</w:t>
      </w:r>
      <w:r w:rsidR="00C50045">
        <w:t>siekti, šie institutai dažnai</w:t>
      </w:r>
      <w:r w:rsidR="00445C7E" w:rsidRPr="007E557E">
        <w:t xml:space="preserve"> yra </w:t>
      </w:r>
      <w:r w:rsidR="00C50045">
        <w:t>kur kas labiau suvaržyti ir</w:t>
      </w:r>
      <w:r w:rsidR="00445C7E" w:rsidRPr="007E557E">
        <w:t xml:space="preserve"> ne tokie efektyvūs kaip </w:t>
      </w:r>
      <w:r>
        <w:t xml:space="preserve">minėtas </w:t>
      </w:r>
      <w:r w:rsidR="00445C7E" w:rsidRPr="007E557E">
        <w:t>bendrosios teis</w:t>
      </w:r>
      <w:r w:rsidR="00573CB5" w:rsidRPr="007E557E">
        <w:t>ės „trestas“.</w:t>
      </w:r>
      <w:r w:rsidR="00D55C91" w:rsidRPr="007E557E">
        <w:rPr>
          <w:rStyle w:val="Puslapioinaosnuoroda"/>
        </w:rPr>
        <w:footnoteReference w:id="69"/>
      </w:r>
      <w:r w:rsidR="00445C7E" w:rsidRPr="007E557E">
        <w:t xml:space="preserve"> Turto patik</w:t>
      </w:r>
      <w:r w:rsidR="00445C7E" w:rsidRPr="007E557E">
        <w:rPr>
          <w:rFonts w:eastAsia="TimesNewRoman"/>
        </w:rPr>
        <w:t>ė</w:t>
      </w:r>
      <w:r w:rsidR="00445C7E" w:rsidRPr="007E557E">
        <w:t>jimo institutas at</w:t>
      </w:r>
      <w:r w:rsidR="00445C7E" w:rsidRPr="007E557E">
        <w:rPr>
          <w:rFonts w:eastAsia="TimesNewRoman"/>
        </w:rPr>
        <w:t>ė</w:t>
      </w:r>
      <w:r w:rsidR="00445C7E" w:rsidRPr="007E557E">
        <w:t xml:space="preserve">jo ir </w:t>
      </w:r>
      <w:r w:rsidR="00445C7E" w:rsidRPr="007E557E">
        <w:rPr>
          <w:rFonts w:eastAsia="TimesNewRoman"/>
        </w:rPr>
        <w:t xml:space="preserve">į </w:t>
      </w:r>
      <w:r w:rsidR="00445C7E" w:rsidRPr="007E557E">
        <w:t>Lietuv</w:t>
      </w:r>
      <w:r w:rsidR="00445C7E" w:rsidRPr="007E557E">
        <w:rPr>
          <w:rFonts w:eastAsia="TimesNewRoman"/>
        </w:rPr>
        <w:t xml:space="preserve">ą </w:t>
      </w:r>
      <w:r w:rsidR="00445C7E" w:rsidRPr="007E557E">
        <w:t>iš bendrosios teis</w:t>
      </w:r>
      <w:r w:rsidR="00445C7E" w:rsidRPr="007E557E">
        <w:rPr>
          <w:rFonts w:eastAsia="TimesNewRoman"/>
        </w:rPr>
        <w:t>ė</w:t>
      </w:r>
      <w:r w:rsidR="00445C7E" w:rsidRPr="007E557E">
        <w:t>s tradicijos valstybi</w:t>
      </w:r>
      <w:r w:rsidR="0048307E">
        <w:rPr>
          <w:rFonts w:eastAsia="TimesNewRoman"/>
        </w:rPr>
        <w:t xml:space="preserve">ų, kurio sąvoka yra įtvirtinta </w:t>
      </w:r>
      <w:r w:rsidR="0048307E" w:rsidRPr="0048307E">
        <w:rPr>
          <w:rFonts w:eastAsia="TimesNewRoman"/>
        </w:rPr>
        <w:t>CK</w:t>
      </w:r>
      <w:r w:rsidR="00445C7E" w:rsidRPr="0048307E">
        <w:rPr>
          <w:rFonts w:eastAsia="TimesNewRoman"/>
        </w:rPr>
        <w:t xml:space="preserve"> 4.106 straipsnio 1 dalyje</w:t>
      </w:r>
      <w:r w:rsidR="0048307E" w:rsidRPr="0048307E">
        <w:rPr>
          <w:rFonts w:eastAsia="TimesNewRoman"/>
        </w:rPr>
        <w:t>,</w:t>
      </w:r>
      <w:r w:rsidR="00C50045" w:rsidRPr="0048307E">
        <w:rPr>
          <w:rStyle w:val="Puslapioinaosnuoroda"/>
          <w:rFonts w:eastAsia="TimesNewRoman"/>
        </w:rPr>
        <w:footnoteReference w:id="70"/>
      </w:r>
      <w:r w:rsidR="0048307E" w:rsidRPr="0048307E">
        <w:rPr>
          <w:rFonts w:eastAsia="TimesNewRoman"/>
        </w:rPr>
        <w:t xml:space="preserve"> nurodanti, kad „</w:t>
      </w:r>
      <w:r w:rsidR="00445C7E" w:rsidRPr="0048307E">
        <w:rPr>
          <w:rFonts w:eastAsia="TimesNewRoman"/>
        </w:rPr>
        <w:t>patikėjimo teisė tai patikėtojo nustatyta tvarka ir sąlygomis valdyti, naudoti perduotą turtą bei juo disponuoti.</w:t>
      </w:r>
      <w:r w:rsidR="0048307E" w:rsidRPr="0048307E">
        <w:rPr>
          <w:rFonts w:eastAsia="TimesNewRoman"/>
        </w:rPr>
        <w:t>“</w:t>
      </w:r>
      <w:r w:rsidR="00445C7E" w:rsidRPr="0048307E">
        <w:rPr>
          <w:rFonts w:eastAsia="TimesNewRoman"/>
        </w:rPr>
        <w:t xml:space="preserve"> Patikėjimo teisė egzistuoja visais atvejais, kai </w:t>
      </w:r>
      <w:r>
        <w:rPr>
          <w:rFonts w:eastAsia="TimesNewRoman"/>
        </w:rPr>
        <w:t xml:space="preserve">yra </w:t>
      </w:r>
      <w:r w:rsidR="00445C7E" w:rsidRPr="0048307E">
        <w:rPr>
          <w:rFonts w:eastAsia="TimesNewRoman"/>
        </w:rPr>
        <w:t xml:space="preserve">valdomas kitam asmeniui – teisės subjektui priklausantis </w:t>
      </w:r>
      <w:r w:rsidR="00445C7E" w:rsidRPr="00EC4418">
        <w:rPr>
          <w:rFonts w:eastAsia="TimesNewRoman"/>
        </w:rPr>
        <w:t>turtas. Ne išimtis yra ir p</w:t>
      </w:r>
      <w:r w:rsidR="00445C7E" w:rsidRPr="00EC4418">
        <w:t xml:space="preserve">ensijų fondų valdymas. Dalį gautų mokesčių „Sodra“ perveda pensijų fondams ir nuo tada šias lėšas perėmusi pensijų kaupimo bendrovė jas valdo (investuoja). </w:t>
      </w:r>
      <w:r w:rsidR="009A36C4">
        <w:t xml:space="preserve">Lietuvos Respublikos </w:t>
      </w:r>
      <w:r w:rsidR="00445C7E" w:rsidRPr="00EC4418">
        <w:t xml:space="preserve">Pensijų kaupimo </w:t>
      </w:r>
      <w:r w:rsidR="009A36C4">
        <w:t xml:space="preserve">(toliau – PK) </w:t>
      </w:r>
      <w:r w:rsidR="00445C7E" w:rsidRPr="00EC4418">
        <w:t>įstatymas</w:t>
      </w:r>
      <w:r w:rsidR="00445C7E" w:rsidRPr="00EC4418">
        <w:rPr>
          <w:rStyle w:val="Puslapioinaosnuoroda"/>
        </w:rPr>
        <w:footnoteReference w:id="71"/>
      </w:r>
      <w:r w:rsidR="00445C7E">
        <w:t xml:space="preserve"> </w:t>
      </w:r>
      <w:r w:rsidR="00445C7E" w:rsidRPr="00EC4418">
        <w:t>nustatė, kad pensijų fondo turtas yra valdomas turto patikėjimo teise.</w:t>
      </w:r>
      <w:r w:rsidR="00445C7E" w:rsidRPr="00EC4418">
        <w:rPr>
          <w:sz w:val="21"/>
          <w:szCs w:val="21"/>
        </w:rPr>
        <w:t xml:space="preserve"> </w:t>
      </w:r>
      <w:r w:rsidR="00445C7E" w:rsidRPr="00EC4418">
        <w:t xml:space="preserve">Turto patikėjimo teisė Lietuvoje yra mažai tyrinėtas civilinės teisės institutas, kurio esmė yra sudaryti galimybes savininkui perduoti jo turtą patikėtiniui </w:t>
      </w:r>
      <w:r w:rsidR="00445C7E" w:rsidRPr="00EC4418">
        <w:lastRenderedPageBreak/>
        <w:t>tam, kad šis turtą valdytų, naudotų ir disponuotų juo taip, kaip nurodyta patikėjimo teisę nustatančiame akte ir įstatyme.</w:t>
      </w:r>
      <w:r w:rsidR="00445C7E" w:rsidRPr="00EC4418">
        <w:rPr>
          <w:rStyle w:val="Puslapioinaosnuoroda"/>
        </w:rPr>
        <w:footnoteReference w:id="72"/>
      </w:r>
    </w:p>
    <w:p w:rsidR="00445C7E" w:rsidRPr="007E557E" w:rsidRDefault="00445C7E" w:rsidP="004B74F4">
      <w:pPr>
        <w:pStyle w:val="Betarp"/>
        <w:spacing w:line="360" w:lineRule="auto"/>
        <w:ind w:firstLine="567"/>
      </w:pPr>
      <w:r>
        <w:t xml:space="preserve">Vis dėlto, </w:t>
      </w:r>
      <w:r w:rsidRPr="00EC4418">
        <w:t>Lietuviška teisinė sistema neturi „tresto“ sąvokos, o ją taikyti tik pensijų fondams, be platesnio pakeitimo, specialistų nuom</w:t>
      </w:r>
      <w:r w:rsidRPr="007E557E">
        <w:t>one, būtų gana keblu. „Tresto“ tradicija kitose šalyse susiklostė per gerą šimtmetį, teisiniai jo pagrindai buvo nuosekliai kuriami, susiformavo ir tam tikras žmonių suvokimas, todėl tiesiogiai ją taikyti pensijų fondų įstatyme būtų neįmanoma.</w:t>
      </w:r>
      <w:r w:rsidRPr="007E557E">
        <w:rPr>
          <w:rStyle w:val="Puslapioinaosnuoroda"/>
        </w:rPr>
        <w:footnoteReference w:id="73"/>
      </w:r>
    </w:p>
    <w:p w:rsidR="00445C7E" w:rsidRPr="007E557E" w:rsidRDefault="00445C7E" w:rsidP="00B44EC4">
      <w:pPr>
        <w:pStyle w:val="Betarp"/>
        <w:spacing w:line="360" w:lineRule="auto"/>
        <w:ind w:firstLine="567"/>
        <w:rPr>
          <w:b/>
        </w:rPr>
      </w:pPr>
      <w:r w:rsidRPr="001A1E37">
        <w:t xml:space="preserve">Daugelyje pasaulio šalių turto patikėjimas vaidina didelį vaidmenį turto investicijose, todėl labai svarbu išsiaiškinti kaip turto patikėjimo </w:t>
      </w:r>
      <w:r w:rsidRPr="00E2099C">
        <w:t xml:space="preserve">institutas reglamentuojamas teisės aktuose, kadangi tai lemia ir pensijų fondų investicinės veiklos reguliavimą. </w:t>
      </w:r>
      <w:r w:rsidR="00CC01D7">
        <w:t>Pagrindinius skirtumus lemia skirtingas požiūris į nuosavybės teisės turinį. Lietuvos civilinėje teisėje yra įdiegta vadinamoji „triada“ –</w:t>
      </w:r>
      <w:r w:rsidR="0083629F">
        <w:t xml:space="preserve"> nuostata, kad</w:t>
      </w:r>
      <w:r w:rsidR="0083629F" w:rsidRPr="0083629F">
        <w:t xml:space="preserve"> nuosavybės teisės turinį sudaro trys savininko teisės – teisė turtą valdyti ir naudoti bei juo disponuoti.</w:t>
      </w:r>
      <w:r w:rsidR="00B74733" w:rsidRPr="00E2099C">
        <w:rPr>
          <w:rStyle w:val="Puslapioinaosnuoroda"/>
        </w:rPr>
        <w:footnoteReference w:id="74"/>
      </w:r>
      <w:r w:rsidR="0083629F">
        <w:t xml:space="preserve"> Atsižvelgiant į tai, atsiranda esminiai „tresto“ ir patikėjimo teisės instituto skirtumai. </w:t>
      </w:r>
      <w:r w:rsidRPr="00E2099C">
        <w:t>Šiuo atveju reik</w:t>
      </w:r>
      <w:r w:rsidRPr="00E2099C">
        <w:rPr>
          <w:rFonts w:eastAsia="TimesNewRoman"/>
        </w:rPr>
        <w:t>ė</w:t>
      </w:r>
      <w:r w:rsidRPr="00E2099C">
        <w:t>t</w:t>
      </w:r>
      <w:r w:rsidRPr="00E2099C">
        <w:rPr>
          <w:rFonts w:eastAsia="TimesNewRoman"/>
        </w:rPr>
        <w:t xml:space="preserve">ų </w:t>
      </w:r>
      <w:r w:rsidR="00AA4CD2" w:rsidRPr="00E2099C">
        <w:t>paminėti</w:t>
      </w:r>
      <w:r w:rsidRPr="00E2099C">
        <w:t xml:space="preserve"> </w:t>
      </w:r>
      <w:r w:rsidR="0048307E" w:rsidRPr="00E2099C">
        <w:t>CK</w:t>
      </w:r>
      <w:r w:rsidRPr="00E2099C">
        <w:t xml:space="preserve"> 6.953 straipsnio 2 dalies </w:t>
      </w:r>
      <w:r w:rsidRPr="00E2099C">
        <w:rPr>
          <w:rStyle w:val="Puslapioinaosnuoroda"/>
        </w:rPr>
        <w:t xml:space="preserve"> </w:t>
      </w:r>
      <w:r w:rsidR="00B74733" w:rsidRPr="00E2099C">
        <w:t>nuostatą,</w:t>
      </w:r>
      <w:r w:rsidR="00B74733" w:rsidRPr="00E2099C">
        <w:rPr>
          <w:rStyle w:val="Puslapioinaosnuoroda"/>
        </w:rPr>
        <w:footnoteReference w:id="75"/>
      </w:r>
      <w:r w:rsidRPr="00E2099C">
        <w:t xml:space="preserve"> kad „</w:t>
      </w:r>
      <w:r w:rsidRPr="00E2099C">
        <w:rPr>
          <w:iCs/>
        </w:rPr>
        <w:t>Turto perdavimas kitam asmeniui patikėjimo teise nepakeičia turto nuosavybės teisės. Perduoto turto savininku ir toliau lieka patikėtojas</w:t>
      </w:r>
      <w:r w:rsidRPr="00E2099C">
        <w:t>.” Todėl asmuo nusprendęs</w:t>
      </w:r>
      <w:r w:rsidRPr="001A1E37">
        <w:t xml:space="preserve"> dalyvauti pensijų kaupime nuosavybės teisės į pensijų turtą nepraranda, o lėšas patikėjimo teise valdo pensijų kaupimo bendrovės. </w:t>
      </w:r>
      <w:r w:rsidR="008D5C57">
        <w:t>Tuo tarpu</w:t>
      </w:r>
      <w:r w:rsidRPr="001A1E37">
        <w:t xml:space="preserve">, </w:t>
      </w:r>
      <w:r w:rsidR="001A1E37" w:rsidRPr="001A1E37">
        <w:t>bendroji teisė pasižymi tik jai būdingu patikėjimo teisės institutu (ang. trust). Jo</w:t>
      </w:r>
      <w:r w:rsidRPr="001A1E37">
        <w:t xml:space="preserve"> esm</w:t>
      </w:r>
      <w:r w:rsidRPr="001A1E37">
        <w:rPr>
          <w:rFonts w:eastAsia="TimesNewRoman"/>
        </w:rPr>
        <w:t xml:space="preserve">ė </w:t>
      </w:r>
      <w:r w:rsidRPr="001A1E37">
        <w:t>ta, kad turto savininkas (</w:t>
      </w:r>
      <w:r w:rsidR="001A1E37" w:rsidRPr="001A1E37">
        <w:t>angl. settlor</w:t>
      </w:r>
      <w:r w:rsidRPr="001A1E37">
        <w:t>) perduoda turt</w:t>
      </w:r>
      <w:r w:rsidRPr="001A1E37">
        <w:rPr>
          <w:rFonts w:eastAsia="TimesNewRoman"/>
        </w:rPr>
        <w:t xml:space="preserve">ą </w:t>
      </w:r>
      <w:r w:rsidRPr="001A1E37">
        <w:t>nuosavyb</w:t>
      </w:r>
      <w:r w:rsidRPr="001A1E37">
        <w:rPr>
          <w:rFonts w:eastAsia="TimesNewRoman"/>
        </w:rPr>
        <w:t>ė</w:t>
      </w:r>
      <w:r w:rsidRPr="001A1E37">
        <w:t>n kitam asmeniui (</w:t>
      </w:r>
      <w:r w:rsidR="001A1E37" w:rsidRPr="001A1E37">
        <w:t>angl. trustee</w:t>
      </w:r>
      <w:r w:rsidRPr="001A1E37">
        <w:t>), kuris privalo naudoti j</w:t>
      </w:r>
      <w:r w:rsidRPr="001A1E37">
        <w:rPr>
          <w:rFonts w:eastAsia="TimesNewRoman"/>
        </w:rPr>
        <w:t xml:space="preserve">į </w:t>
      </w:r>
      <w:r w:rsidRPr="001A1E37">
        <w:t>tam tikram tikslui, o iš turto gaunam</w:t>
      </w:r>
      <w:r w:rsidRPr="001A1E37">
        <w:rPr>
          <w:rFonts w:eastAsia="TimesNewRoman"/>
        </w:rPr>
        <w:t xml:space="preserve">ą </w:t>
      </w:r>
      <w:r w:rsidRPr="001A1E37">
        <w:t>naud</w:t>
      </w:r>
      <w:r w:rsidRPr="001A1E37">
        <w:rPr>
          <w:rFonts w:eastAsia="TimesNewRoman"/>
        </w:rPr>
        <w:t xml:space="preserve">ą </w:t>
      </w:r>
      <w:r w:rsidRPr="001A1E37">
        <w:t>turi perduoti tre</w:t>
      </w:r>
      <w:r w:rsidRPr="001A1E37">
        <w:rPr>
          <w:rFonts w:eastAsia="TimesNewRoman"/>
        </w:rPr>
        <w:t>č</w:t>
      </w:r>
      <w:r w:rsidRPr="001A1E37">
        <w:t xml:space="preserve">iajam asmeniui </w:t>
      </w:r>
      <w:r w:rsidR="001A1E37" w:rsidRPr="001A1E37">
        <w:t xml:space="preserve">(angl. </w:t>
      </w:r>
      <w:proofErr w:type="spellStart"/>
      <w:r w:rsidR="001A1E37" w:rsidRPr="001A1E37">
        <w:t>beneficiary</w:t>
      </w:r>
      <w:proofErr w:type="spellEnd"/>
      <w:r w:rsidR="001A1E37" w:rsidRPr="001A1E37">
        <w:t xml:space="preserve">) </w:t>
      </w:r>
      <w:r w:rsidR="00185399" w:rsidRPr="001A1E37">
        <w:t xml:space="preserve">- </w:t>
      </w:r>
      <w:r w:rsidRPr="001A1E37">
        <w:t>naudos gav</w:t>
      </w:r>
      <w:r w:rsidRPr="001A1E37">
        <w:rPr>
          <w:rFonts w:eastAsia="TimesNewRoman"/>
        </w:rPr>
        <w:t>ė</w:t>
      </w:r>
      <w:r w:rsidR="00185399" w:rsidRPr="001A1E37">
        <w:t>jui.</w:t>
      </w:r>
      <w:r w:rsidR="00B74733" w:rsidRPr="001A1E37">
        <w:rPr>
          <w:rStyle w:val="Puslapioinaosnuoroda"/>
        </w:rPr>
        <w:footnoteReference w:id="76"/>
      </w:r>
      <w:r w:rsidR="00B74733" w:rsidRPr="007E557E">
        <w:t xml:space="preserve"> </w:t>
      </w:r>
      <w:r w:rsidRPr="007E557E">
        <w:t>Tokiu b</w:t>
      </w:r>
      <w:r w:rsidRPr="007E557E">
        <w:rPr>
          <w:rFonts w:eastAsia="TimesNewRoman"/>
        </w:rPr>
        <w:t>ū</w:t>
      </w:r>
      <w:r w:rsidRPr="007E557E">
        <w:t>du nuosavyb</w:t>
      </w:r>
      <w:r w:rsidRPr="007E557E">
        <w:rPr>
          <w:rFonts w:eastAsia="TimesNewRoman"/>
        </w:rPr>
        <w:t>ė</w:t>
      </w:r>
      <w:r w:rsidRPr="007E557E">
        <w:t>s teis</w:t>
      </w:r>
      <w:r w:rsidRPr="007E557E">
        <w:rPr>
          <w:rFonts w:eastAsia="TimesNewRoman"/>
        </w:rPr>
        <w:t xml:space="preserve">ė </w:t>
      </w:r>
      <w:r w:rsidR="000743E2" w:rsidRPr="007E557E">
        <w:rPr>
          <w:rFonts w:eastAsia="TimesNewRoman"/>
        </w:rPr>
        <w:t>tarsi suskaidoma</w:t>
      </w:r>
      <w:r w:rsidRPr="007E557E">
        <w:t xml:space="preserve"> – viena savininko teisių dalis, būtent išskirtos nuosavybės valdymas ir tvarkymas, priklauso vienam asmeniui (patikėtiniui), o kita teisių dalis – naudos, taip pat ir pajamų, iš eksploatuojamos nuosavybės gavimas – kitam asmeniui arba asmenims (vienam arba keliems naudos gavėjams).</w:t>
      </w:r>
      <w:r w:rsidRPr="007E557E">
        <w:rPr>
          <w:rStyle w:val="Puslapioinaosnuoroda"/>
        </w:rPr>
        <w:footnoteReference w:id="77"/>
      </w:r>
      <w:r w:rsidRPr="007E557E">
        <w:t xml:space="preserve"> </w:t>
      </w:r>
      <w:r w:rsidR="00B74590">
        <w:t>„Tresto“ modelyje“ p</w:t>
      </w:r>
      <w:r w:rsidRPr="007E557E">
        <w:t xml:space="preserve">atikėtiniui suteikta galimybė įgyvendinti savininko teises, suteikia šiam institutui lankstumo, kadangi jis nėra varžomas teisinių apribojimų, todėl pasikeitus </w:t>
      </w:r>
      <w:r w:rsidRPr="00EC4418">
        <w:t>investicinei aplinkai patikėtinis gali greitai prisitaikyti prie naujų sąlygų ir priimti tinkamiausius investicinius sprendimu</w:t>
      </w:r>
      <w:r w:rsidRPr="00B74590">
        <w:t xml:space="preserve">s. </w:t>
      </w:r>
      <w:r w:rsidR="000634CD" w:rsidRPr="00B74590">
        <w:t xml:space="preserve">Asmuo, valdantis turtą patikėjimo teise, turi visas savininko teises, tačiau jis privalo naudoti turtą tik pagal paskirtį, dėl kurio buvo įsteigtas patikėjimo teisės institutas. </w:t>
      </w:r>
      <w:r w:rsidR="00F307C4" w:rsidRPr="00B74590">
        <w:t xml:space="preserve">Jis taip pat negali disponuoti turtu, jeigu tokia teisė nesuteikta dokumente, kurio įsteigtas patikėjimo teisės institutas. Be to, patikėtinis privalo atsiskaityti naudos gavėjui už turto panaudojimą, perduoti šiam visas gaunamas pajamas. Patikėtinis, kuris netinkamai vykdo savo </w:t>
      </w:r>
      <w:r w:rsidR="00F307C4" w:rsidRPr="00B74590">
        <w:lastRenderedPageBreak/>
        <w:t>funkcijas, privalo atlyginti nuostolius, padarytus naudos gavėjui, o kai kuriais atvejais gali būti patrauktas ir baudžiamojon atsakomybėn.</w:t>
      </w:r>
      <w:r w:rsidR="00F307C4" w:rsidRPr="00B74590">
        <w:rPr>
          <w:rStyle w:val="Puslapioinaosnuoroda"/>
        </w:rPr>
        <w:footnoteReference w:id="78"/>
      </w:r>
      <w:r w:rsidR="000634CD" w:rsidRPr="00B74590">
        <w:t xml:space="preserve"> </w:t>
      </w:r>
      <w:r w:rsidRPr="00E07D57">
        <w:t xml:space="preserve">Tuo tarpu Lietuvoje, kaip žinoma, </w:t>
      </w:r>
      <w:r w:rsidRPr="007E557E">
        <w:t xml:space="preserve">svarbiausias nuosavybės teisės kaip daiktinės teisės požymis yra jos absoliutumas, t.y. netoleruojama dviguba nuosavybė (angl. </w:t>
      </w:r>
      <w:proofErr w:type="spellStart"/>
      <w:r w:rsidRPr="000C2C33">
        <w:rPr>
          <w:i/>
          <w:iCs/>
        </w:rPr>
        <w:t>dual</w:t>
      </w:r>
      <w:proofErr w:type="spellEnd"/>
      <w:r w:rsidRPr="000C2C33">
        <w:rPr>
          <w:i/>
          <w:iCs/>
        </w:rPr>
        <w:t xml:space="preserve"> </w:t>
      </w:r>
      <w:proofErr w:type="spellStart"/>
      <w:r w:rsidRPr="000C2C33">
        <w:rPr>
          <w:i/>
          <w:iCs/>
        </w:rPr>
        <w:t>ownership</w:t>
      </w:r>
      <w:proofErr w:type="spellEnd"/>
      <w:r w:rsidRPr="007E557E">
        <w:t xml:space="preserve">) civiliniame teisiniame santykyje, kitaip tariant, toks teisinis reglamentavimas įtvirtina principinę nuostatą, jog pripažįstama viena teisė vienam daiktui (angl. </w:t>
      </w:r>
      <w:proofErr w:type="spellStart"/>
      <w:r w:rsidRPr="000C2C33">
        <w:rPr>
          <w:i/>
          <w:iCs/>
        </w:rPr>
        <w:t>one</w:t>
      </w:r>
      <w:proofErr w:type="spellEnd"/>
      <w:r w:rsidRPr="000C2C33">
        <w:rPr>
          <w:i/>
          <w:iCs/>
        </w:rPr>
        <w:t xml:space="preserve"> </w:t>
      </w:r>
      <w:proofErr w:type="spellStart"/>
      <w:r w:rsidRPr="000C2C33">
        <w:rPr>
          <w:i/>
          <w:iCs/>
        </w:rPr>
        <w:t>right</w:t>
      </w:r>
      <w:proofErr w:type="spellEnd"/>
      <w:r w:rsidRPr="000C2C33">
        <w:rPr>
          <w:i/>
          <w:iCs/>
        </w:rPr>
        <w:t xml:space="preserve"> to </w:t>
      </w:r>
      <w:proofErr w:type="spellStart"/>
      <w:r w:rsidRPr="000C2C33">
        <w:rPr>
          <w:i/>
          <w:iCs/>
        </w:rPr>
        <w:t>one</w:t>
      </w:r>
      <w:proofErr w:type="spellEnd"/>
      <w:r w:rsidRPr="000C2C33">
        <w:rPr>
          <w:i/>
          <w:iCs/>
        </w:rPr>
        <w:t xml:space="preserve"> </w:t>
      </w:r>
      <w:proofErr w:type="spellStart"/>
      <w:r w:rsidRPr="000C2C33">
        <w:rPr>
          <w:i/>
          <w:iCs/>
        </w:rPr>
        <w:t>thing</w:t>
      </w:r>
      <w:proofErr w:type="spellEnd"/>
      <w:r w:rsidR="00CB60E1" w:rsidRPr="007E557E">
        <w:t>).</w:t>
      </w:r>
      <w:r w:rsidR="00CB60E1" w:rsidRPr="007E557E">
        <w:rPr>
          <w:rStyle w:val="Puslapioinaosnuoroda"/>
        </w:rPr>
        <w:footnoteReference w:id="79"/>
      </w:r>
      <w:r w:rsidR="00CB60E1" w:rsidRPr="007E557E">
        <w:t xml:space="preserve"> </w:t>
      </w:r>
      <w:r w:rsidRPr="007E557E">
        <w:t>Turto patikėjimo teisė – tai viena iš daiktinių teisių, savo turiniu labai artima nuosavybės teisei. Visoms daiktinėms teisėms būdingas absol</w:t>
      </w:r>
      <w:r w:rsidR="00D5389F" w:rsidRPr="007E557E">
        <w:t xml:space="preserve">iutus pobūdis, tačiau tarpusavyje kiekviena </w:t>
      </w:r>
      <w:r w:rsidRPr="007E557E">
        <w:t xml:space="preserve">iš jų skiriasi savo turiniu. </w:t>
      </w:r>
      <w:r w:rsidR="00D5389F" w:rsidRPr="007E557E">
        <w:t>Plačiausia savo turiniu daiktinė teisė yra n</w:t>
      </w:r>
      <w:r w:rsidRPr="007E557E">
        <w:t>uosavybės teisė</w:t>
      </w:r>
      <w:r w:rsidR="00D5389F" w:rsidRPr="007E557E">
        <w:t>. Ji</w:t>
      </w:r>
      <w:r w:rsidRPr="007E557E">
        <w:t xml:space="preserve"> apima visas daiktinei teisei įmanomas teises t.y. teisę valdyti, naudoti daiktą bei juo disponuoti. Kitų daiktinių teisių turinį sudaro kai kurios teisės, įeinančios į valdymo, naudojimo teisių, o kartais net ir disponavimo daiktu teisių visumą.</w:t>
      </w:r>
      <w:r w:rsidR="00666396" w:rsidRPr="007E557E">
        <w:rPr>
          <w:rStyle w:val="Puslapioinaosnuoroda"/>
        </w:rPr>
        <w:footnoteReference w:id="80"/>
      </w:r>
      <w:r w:rsidRPr="007E557E">
        <w:t xml:space="preserve"> Įdomu tai, jog žiūrint į </w:t>
      </w:r>
      <w:r w:rsidR="00E07D57" w:rsidRPr="007E557E">
        <w:t>CK</w:t>
      </w:r>
      <w:r w:rsidRPr="007E557E">
        <w:rPr>
          <w:rStyle w:val="Puslapioinaosnuoroda"/>
        </w:rPr>
        <w:footnoteReference w:id="81"/>
      </w:r>
      <w:r w:rsidRPr="007E557E">
        <w:t xml:space="preserve"> įtvirtintas nuosavybės ir patikėjimo teisės sąvokas, jų turinys atrodo vienodas. </w:t>
      </w:r>
      <w:r w:rsidR="00551503" w:rsidRPr="007E557E">
        <w:t>„</w:t>
      </w:r>
      <w:r w:rsidRPr="007E557E">
        <w:t>Nuosavyb</w:t>
      </w:r>
      <w:r w:rsidRPr="007E557E">
        <w:rPr>
          <w:rFonts w:eastAsia="TimesNewRoman"/>
        </w:rPr>
        <w:t>ė</w:t>
      </w:r>
      <w:r w:rsidRPr="007E557E">
        <w:t>s teis</w:t>
      </w:r>
      <w:r w:rsidRPr="007E557E">
        <w:rPr>
          <w:rFonts w:eastAsia="TimesNewRoman"/>
        </w:rPr>
        <w:t xml:space="preserve">ė </w:t>
      </w:r>
      <w:r w:rsidRPr="007E557E">
        <w:t xml:space="preserve">– </w:t>
      </w:r>
      <w:r w:rsidRPr="007E557E">
        <w:rPr>
          <w:i/>
        </w:rPr>
        <w:t>tai teis</w:t>
      </w:r>
      <w:r w:rsidRPr="007E557E">
        <w:rPr>
          <w:rFonts w:eastAsia="TimesNewRoman"/>
          <w:i/>
        </w:rPr>
        <w:t xml:space="preserve">ė </w:t>
      </w:r>
      <w:r w:rsidRPr="007E557E">
        <w:rPr>
          <w:i/>
        </w:rPr>
        <w:t>savo nuoži</w:t>
      </w:r>
      <w:r w:rsidRPr="007E557E">
        <w:rPr>
          <w:rFonts w:eastAsia="TimesNewRoman"/>
          <w:i/>
        </w:rPr>
        <w:t>ū</w:t>
      </w:r>
      <w:r w:rsidRPr="007E557E">
        <w:rPr>
          <w:i/>
        </w:rPr>
        <w:t>ra</w:t>
      </w:r>
      <w:r w:rsidRPr="007E557E">
        <w:t xml:space="preserve">, nepažeidžiant </w:t>
      </w:r>
      <w:r w:rsidRPr="007E557E">
        <w:rPr>
          <w:rFonts w:eastAsia="TimesNewRoman"/>
        </w:rPr>
        <w:t>į</w:t>
      </w:r>
      <w:r w:rsidRPr="007E557E">
        <w:t>statym</w:t>
      </w:r>
      <w:r w:rsidRPr="007E557E">
        <w:rPr>
          <w:rFonts w:eastAsia="TimesNewRoman"/>
        </w:rPr>
        <w:t xml:space="preserve">ų </w:t>
      </w:r>
      <w:r w:rsidRPr="007E557E">
        <w:t>ir kit</w:t>
      </w:r>
      <w:r w:rsidRPr="007E557E">
        <w:rPr>
          <w:rFonts w:eastAsia="TimesNewRoman"/>
        </w:rPr>
        <w:t xml:space="preserve">ų </w:t>
      </w:r>
      <w:r w:rsidRPr="007E557E">
        <w:t>asmen</w:t>
      </w:r>
      <w:r w:rsidRPr="007E557E">
        <w:rPr>
          <w:rFonts w:eastAsia="TimesNewRoman"/>
        </w:rPr>
        <w:t xml:space="preserve">ų </w:t>
      </w:r>
      <w:r w:rsidRPr="007E557E">
        <w:t>teisi</w:t>
      </w:r>
      <w:r w:rsidRPr="007E557E">
        <w:rPr>
          <w:rFonts w:eastAsia="TimesNewRoman"/>
        </w:rPr>
        <w:t xml:space="preserve">ų </w:t>
      </w:r>
      <w:r w:rsidRPr="007E557E">
        <w:t>ir interes</w:t>
      </w:r>
      <w:r w:rsidRPr="007E557E">
        <w:rPr>
          <w:rFonts w:eastAsia="TimesNewRoman"/>
        </w:rPr>
        <w:t>ų</w:t>
      </w:r>
      <w:r w:rsidRPr="007E557E">
        <w:t>, valdyti, naudoti nuosavyb</w:t>
      </w:r>
      <w:r w:rsidRPr="007E557E">
        <w:rPr>
          <w:rFonts w:eastAsia="TimesNewRoman"/>
        </w:rPr>
        <w:t>ė</w:t>
      </w:r>
      <w:r w:rsidRPr="007E557E">
        <w:t>s teis</w:t>
      </w:r>
      <w:r w:rsidRPr="007E557E">
        <w:rPr>
          <w:rFonts w:eastAsia="TimesNewRoman"/>
        </w:rPr>
        <w:t>ė</w:t>
      </w:r>
      <w:r w:rsidRPr="007E557E">
        <w:t>s objekt</w:t>
      </w:r>
      <w:r w:rsidRPr="007E557E">
        <w:rPr>
          <w:rFonts w:eastAsia="TimesNewRoman"/>
        </w:rPr>
        <w:t xml:space="preserve">ą </w:t>
      </w:r>
      <w:r w:rsidRPr="007E557E">
        <w:t>ir juo disponuoti</w:t>
      </w:r>
      <w:r w:rsidR="00C359A4" w:rsidRPr="007E557E">
        <w:t>.</w:t>
      </w:r>
      <w:r w:rsidR="00551503" w:rsidRPr="007E557E">
        <w:t>“</w:t>
      </w:r>
      <w:r w:rsidR="00C359A4" w:rsidRPr="007E557E">
        <w:t xml:space="preserve"> (</w:t>
      </w:r>
      <w:r w:rsidRPr="007E557E">
        <w:t xml:space="preserve">4.37 str. 1d.). </w:t>
      </w:r>
      <w:r w:rsidR="00551503" w:rsidRPr="007E557E">
        <w:t>„</w:t>
      </w:r>
      <w:r w:rsidRPr="007E557E">
        <w:t>Turto patik</w:t>
      </w:r>
      <w:r w:rsidRPr="007E557E">
        <w:rPr>
          <w:rFonts w:eastAsia="TimesNewRoman"/>
        </w:rPr>
        <w:t>ė</w:t>
      </w:r>
      <w:r w:rsidRPr="007E557E">
        <w:t>jimo teis</w:t>
      </w:r>
      <w:r w:rsidRPr="007E557E">
        <w:rPr>
          <w:rFonts w:eastAsia="TimesNewRoman"/>
        </w:rPr>
        <w:t xml:space="preserve">ė </w:t>
      </w:r>
      <w:r w:rsidRPr="007E557E">
        <w:t xml:space="preserve">– </w:t>
      </w:r>
      <w:r w:rsidRPr="007E557E">
        <w:rPr>
          <w:i/>
        </w:rPr>
        <w:t>tai patik</w:t>
      </w:r>
      <w:r w:rsidRPr="007E557E">
        <w:rPr>
          <w:rFonts w:eastAsia="TimesNewRoman"/>
          <w:i/>
        </w:rPr>
        <w:t>ė</w:t>
      </w:r>
      <w:r w:rsidRPr="007E557E">
        <w:rPr>
          <w:i/>
        </w:rPr>
        <w:t>tinio teis</w:t>
      </w:r>
      <w:r w:rsidRPr="007E557E">
        <w:rPr>
          <w:rFonts w:eastAsia="TimesNewRoman"/>
          <w:i/>
        </w:rPr>
        <w:t xml:space="preserve">ė </w:t>
      </w:r>
      <w:r w:rsidRPr="007E557E">
        <w:rPr>
          <w:i/>
        </w:rPr>
        <w:t>patik</w:t>
      </w:r>
      <w:r w:rsidRPr="007E557E">
        <w:rPr>
          <w:rFonts w:eastAsia="TimesNewRoman"/>
          <w:i/>
        </w:rPr>
        <w:t>ė</w:t>
      </w:r>
      <w:r w:rsidRPr="007E557E">
        <w:rPr>
          <w:i/>
        </w:rPr>
        <w:t>tojo nustatyta tvarka ir s</w:t>
      </w:r>
      <w:r w:rsidRPr="007E557E">
        <w:rPr>
          <w:rFonts w:eastAsia="TimesNewRoman"/>
          <w:i/>
        </w:rPr>
        <w:t>ą</w:t>
      </w:r>
      <w:r w:rsidRPr="007E557E">
        <w:rPr>
          <w:i/>
        </w:rPr>
        <w:t>lygomis</w:t>
      </w:r>
      <w:r w:rsidRPr="007E557E">
        <w:t xml:space="preserve"> valdyti, naudoti perduot</w:t>
      </w:r>
      <w:r w:rsidRPr="007E557E">
        <w:rPr>
          <w:rFonts w:eastAsia="TimesNewRoman"/>
        </w:rPr>
        <w:t xml:space="preserve">ą </w:t>
      </w:r>
      <w:r w:rsidRPr="007E557E">
        <w:t>turt</w:t>
      </w:r>
      <w:r w:rsidRPr="007E557E">
        <w:rPr>
          <w:rFonts w:eastAsia="TimesNewRoman"/>
        </w:rPr>
        <w:t xml:space="preserve">ą </w:t>
      </w:r>
      <w:r w:rsidRPr="007E557E">
        <w:t>bei juo disponuoti</w:t>
      </w:r>
      <w:r w:rsidR="00551503" w:rsidRPr="007E557E">
        <w:t>.“</w:t>
      </w:r>
      <w:r w:rsidRPr="007E557E">
        <w:t xml:space="preserve"> (</w:t>
      </w:r>
      <w:r w:rsidR="00551503" w:rsidRPr="007E557E">
        <w:t>4.106 str. 1 d.)</w:t>
      </w:r>
      <w:r w:rsidRPr="007E557E">
        <w:t xml:space="preserve"> </w:t>
      </w:r>
      <w:r w:rsidRPr="004E3D9B">
        <w:t xml:space="preserve">Iš </w:t>
      </w:r>
      <w:r w:rsidR="00902674" w:rsidRPr="004E3D9B">
        <w:t>pateiktų sąvokų galima matyti, kad</w:t>
      </w:r>
      <w:r w:rsidRPr="004E3D9B">
        <w:t xml:space="preserve"> tiek nuosavyb</w:t>
      </w:r>
      <w:r w:rsidRPr="004E3D9B">
        <w:rPr>
          <w:rFonts w:eastAsia="TimesNewRoman"/>
        </w:rPr>
        <w:t>ė</w:t>
      </w:r>
      <w:r w:rsidR="00902674" w:rsidRPr="004E3D9B">
        <w:t>s, tiek</w:t>
      </w:r>
      <w:r w:rsidRPr="004E3D9B">
        <w:t xml:space="preserve"> patik</w:t>
      </w:r>
      <w:r w:rsidRPr="004E3D9B">
        <w:rPr>
          <w:rFonts w:eastAsia="TimesNewRoman"/>
        </w:rPr>
        <w:t>ė</w:t>
      </w:r>
      <w:r w:rsidRPr="004E3D9B">
        <w:t>jimo teis</w:t>
      </w:r>
      <w:r w:rsidRPr="004E3D9B">
        <w:rPr>
          <w:rFonts w:eastAsia="TimesNewRoman"/>
        </w:rPr>
        <w:t>ė</w:t>
      </w:r>
      <w:r w:rsidRPr="004E3D9B">
        <w:t>s turin</w:t>
      </w:r>
      <w:r w:rsidRPr="004E3D9B">
        <w:rPr>
          <w:rFonts w:eastAsia="TimesNewRoman"/>
        </w:rPr>
        <w:t xml:space="preserve">į </w:t>
      </w:r>
      <w:r w:rsidRPr="004E3D9B">
        <w:t>sudaro tos pa</w:t>
      </w:r>
      <w:r w:rsidRPr="004E3D9B">
        <w:rPr>
          <w:rFonts w:eastAsia="TimesNewRoman"/>
        </w:rPr>
        <w:t>č</w:t>
      </w:r>
      <w:r w:rsidRPr="004E3D9B">
        <w:t>ios teis</w:t>
      </w:r>
      <w:r w:rsidRPr="004E3D9B">
        <w:rPr>
          <w:rFonts w:eastAsia="TimesNewRoman"/>
        </w:rPr>
        <w:t>ė</w:t>
      </w:r>
      <w:r w:rsidRPr="004E3D9B">
        <w:t>s, t.y. teis</w:t>
      </w:r>
      <w:r w:rsidRPr="004E3D9B">
        <w:rPr>
          <w:rFonts w:eastAsia="TimesNewRoman"/>
        </w:rPr>
        <w:t xml:space="preserve">ė </w:t>
      </w:r>
      <w:r w:rsidRPr="004E3D9B">
        <w:t>valdyti, naudoti daikt</w:t>
      </w:r>
      <w:r w:rsidRPr="004E3D9B">
        <w:rPr>
          <w:rFonts w:eastAsia="TimesNewRoman"/>
        </w:rPr>
        <w:t xml:space="preserve">ą </w:t>
      </w:r>
      <w:r w:rsidR="00902674" w:rsidRPr="004E3D9B">
        <w:t>ir juo disponuoti,</w:t>
      </w:r>
      <w:r w:rsidRPr="004E3D9B">
        <w:t xml:space="preserve"> skiriasi </w:t>
      </w:r>
      <w:r w:rsidR="00902674" w:rsidRPr="004E3D9B">
        <w:t xml:space="preserve">tik </w:t>
      </w:r>
      <w:r w:rsidRPr="004E3D9B">
        <w:t>j</w:t>
      </w:r>
      <w:r w:rsidRPr="004E3D9B">
        <w:rPr>
          <w:rFonts w:eastAsia="TimesNewRoman"/>
        </w:rPr>
        <w:t>ų į</w:t>
      </w:r>
      <w:r w:rsidRPr="004E3D9B">
        <w:t xml:space="preserve">gyvendinimo apribojimai. Išsiaiškinus, jog </w:t>
      </w:r>
      <w:r w:rsidR="00A80FD1" w:rsidRPr="004E3D9B">
        <w:t xml:space="preserve">patikėjimo teisės turinys yra siauresnis nei </w:t>
      </w:r>
      <w:r w:rsidRPr="004E3D9B">
        <w:t>nuosavyb</w:t>
      </w:r>
      <w:r w:rsidRPr="004E3D9B">
        <w:rPr>
          <w:rFonts w:eastAsia="TimesNewRoman"/>
        </w:rPr>
        <w:t>ė</w:t>
      </w:r>
      <w:r w:rsidRPr="004E3D9B">
        <w:t>s teis</w:t>
      </w:r>
      <w:r w:rsidRPr="004E3D9B">
        <w:rPr>
          <w:rFonts w:eastAsia="TimesNewRoman"/>
        </w:rPr>
        <w:t>ė</w:t>
      </w:r>
      <w:r w:rsidRPr="004E3D9B">
        <w:t>s</w:t>
      </w:r>
      <w:r w:rsidR="00A80FD1" w:rsidRPr="004E3D9B">
        <w:t xml:space="preserve">, </w:t>
      </w:r>
      <w:r w:rsidR="004E3D9B" w:rsidRPr="004E3D9B">
        <w:t>galima teig</w:t>
      </w:r>
      <w:r w:rsidRPr="004E3D9B">
        <w:t xml:space="preserve">ti, jog </w:t>
      </w:r>
      <w:r w:rsidR="004E3D9B" w:rsidRPr="004E3D9B">
        <w:t>nuosavybės teisė į patikėjimo teise perduodamą turtą išlieka patikėtojui.</w:t>
      </w:r>
      <w:r w:rsidRPr="004E3D9B">
        <w:t xml:space="preserve"> Savininkas išlaiko nuosavybės teisę į jo patikėtą turtą, patikėtiniui perduodamas tik </w:t>
      </w:r>
      <w:r w:rsidR="004E3D9B" w:rsidRPr="004E3D9B">
        <w:t xml:space="preserve">nuosavybės turinį sudarančias </w:t>
      </w:r>
      <w:r w:rsidRPr="004E3D9B">
        <w:t>teises valdyti, naudoti ir disponuoti patikėtu turtu.</w:t>
      </w:r>
      <w:r w:rsidR="004238F4" w:rsidRPr="004E3D9B">
        <w:rPr>
          <w:rStyle w:val="Puslapioinaosnuoroda"/>
        </w:rPr>
        <w:footnoteReference w:id="82"/>
      </w:r>
      <w:r w:rsidRPr="007E557E">
        <w:t xml:space="preserve"> Patikėjimo teisę pagal jos turinį ir tikslus galima pavadinti pilnaverčiu </w:t>
      </w:r>
      <w:r w:rsidR="00DC37D5" w:rsidRPr="007E557E">
        <w:t>savininko interesų atstovavimu.</w:t>
      </w:r>
      <w:r w:rsidR="00E07D57" w:rsidRPr="007E557E">
        <w:rPr>
          <w:rStyle w:val="Puslapioinaosnuoroda"/>
        </w:rPr>
        <w:footnoteReference w:id="83"/>
      </w:r>
      <w:r w:rsidR="00DC37D5" w:rsidRPr="007E557E">
        <w:t xml:space="preserve"> </w:t>
      </w:r>
      <w:r w:rsidRPr="007E557E">
        <w:t>Dėl šios priežasties patikėtinio teisės ir patikėjimo teisė ginama tais pačiais pagrindais, kaip ir savininko nuosavybės teisė.</w:t>
      </w:r>
      <w:r w:rsidR="00666396" w:rsidRPr="007E557E">
        <w:rPr>
          <w:rStyle w:val="Puslapioinaosnuoroda"/>
        </w:rPr>
        <w:footnoteReference w:id="84"/>
      </w:r>
      <w:r w:rsidR="00666396" w:rsidRPr="007E557E">
        <w:t xml:space="preserve"> </w:t>
      </w:r>
      <w:r w:rsidRPr="007B3D74">
        <w:t xml:space="preserve">Kita vertus, nuosavybės teisės prigimtis savininkui suteikia teisę nustatyti </w:t>
      </w:r>
      <w:r w:rsidRPr="00E2099C">
        <w:t xml:space="preserve">patikėtiniui perduotų teisių valdyti turtą, naudoti ir juo disponuoti įgyvendinimo </w:t>
      </w:r>
      <w:r w:rsidR="00512E0E" w:rsidRPr="00E2099C">
        <w:t>tvarką ir sąlygas. Turto patikėjimo teisė yra daiktinė teisė su jai</w:t>
      </w:r>
      <w:r w:rsidR="007B3D74" w:rsidRPr="00E2099C">
        <w:t xml:space="preserve"> būdingu absoliutumo požymiu.</w:t>
      </w:r>
      <w:r w:rsidR="007B3D74" w:rsidRPr="00E2099C">
        <w:rPr>
          <w:rStyle w:val="Puslapioinaosnuoroda"/>
        </w:rPr>
        <w:footnoteReference w:id="85"/>
      </w:r>
      <w:r w:rsidR="007B3D74" w:rsidRPr="00E2099C">
        <w:t xml:space="preserve"> T</w:t>
      </w:r>
      <w:r w:rsidR="00512E0E" w:rsidRPr="00E2099C">
        <w:t xml:space="preserve">odėl atsižvelgiant į tai, kad Lietuva kaip ir kitos </w:t>
      </w:r>
      <w:r w:rsidRPr="00E2099C">
        <w:t>kontinentinės teisė</w:t>
      </w:r>
      <w:r w:rsidR="00512E0E" w:rsidRPr="00E2099C">
        <w:t xml:space="preserve">s </w:t>
      </w:r>
      <w:r w:rsidR="006C020D" w:rsidRPr="00E2099C">
        <w:t>tradicijos šalys</w:t>
      </w:r>
      <w:r w:rsidR="00512E0E" w:rsidRPr="00E2099C">
        <w:t xml:space="preserve">, </w:t>
      </w:r>
      <w:r w:rsidRPr="00E2099C">
        <w:t xml:space="preserve">nepripažįsta nuosavybės teisės </w:t>
      </w:r>
      <w:r w:rsidR="00512E0E" w:rsidRPr="00E2099C">
        <w:t>išskaidymo</w:t>
      </w:r>
      <w:r w:rsidR="00A33FE6" w:rsidRPr="00E2099C">
        <w:t xml:space="preserve">, </w:t>
      </w:r>
      <w:r w:rsidRPr="00E2099C">
        <w:t>nenu</w:t>
      </w:r>
      <w:r w:rsidR="007B3D74" w:rsidRPr="00E2099C">
        <w:t>stačius</w:t>
      </w:r>
      <w:r w:rsidRPr="00E2099C">
        <w:t xml:space="preserve"> pensijų kaupimo sutartyje disponavimo </w:t>
      </w:r>
      <w:r w:rsidR="00A33FE6" w:rsidRPr="00E2099C">
        <w:t xml:space="preserve">patikėtu turtu </w:t>
      </w:r>
      <w:r w:rsidRPr="00E2099C">
        <w:t>teisės apribojimų</w:t>
      </w:r>
      <w:r w:rsidR="00A33FE6" w:rsidRPr="00E2099C">
        <w:t>,</w:t>
      </w:r>
      <w:r w:rsidRPr="00E2099C">
        <w:t xml:space="preserve"> susiklostytų situacija</w:t>
      </w:r>
      <w:r w:rsidR="007B3D74" w:rsidRPr="00E2099C">
        <w:t xml:space="preserve">, </w:t>
      </w:r>
      <w:r w:rsidR="006C020D" w:rsidRPr="00E2099C">
        <w:t xml:space="preserve">kai </w:t>
      </w:r>
      <w:r w:rsidR="007B3D74" w:rsidRPr="00E2099C">
        <w:t>p</w:t>
      </w:r>
      <w:r w:rsidRPr="00E2099C">
        <w:t xml:space="preserve">atikėtinis valdydamas jam patikėtą pensijų fondo turtą būtų saistomas </w:t>
      </w:r>
      <w:r w:rsidR="007B3D74" w:rsidRPr="00E2099C">
        <w:t>tik savininko interesų. Remiantis tuo, atsirastų</w:t>
      </w:r>
      <w:r w:rsidR="00F943A0" w:rsidRPr="00E2099C">
        <w:t xml:space="preserve"> didelė rizika, kad</w:t>
      </w:r>
      <w:r w:rsidRPr="00E2099C">
        <w:t xml:space="preserve"> patikėtinis gali tuo </w:t>
      </w:r>
      <w:r w:rsidRPr="00E2099C">
        <w:lastRenderedPageBreak/>
        <w:t xml:space="preserve">piktnaudžiauti. </w:t>
      </w:r>
      <w:r w:rsidR="00385415" w:rsidRPr="00E2099C">
        <w:rPr>
          <w:shd w:val="clear" w:color="auto" w:fill="FFFFFF" w:themeFill="background1"/>
        </w:rPr>
        <w:t>Paprastai</w:t>
      </w:r>
      <w:r w:rsidRPr="00E2099C">
        <w:rPr>
          <w:shd w:val="clear" w:color="auto" w:fill="FFFFFF" w:themeFill="background1"/>
        </w:rPr>
        <w:t xml:space="preserve"> mokslininkai, apibūdindami pensijų fondus, </w:t>
      </w:r>
      <w:r w:rsidR="00F943A0" w:rsidRPr="00E2099C">
        <w:rPr>
          <w:shd w:val="clear" w:color="auto" w:fill="FFFFFF" w:themeFill="background1"/>
        </w:rPr>
        <w:t xml:space="preserve">naudoja sąvokas, atspindinčias </w:t>
      </w:r>
      <w:r w:rsidRPr="00E2099C">
        <w:rPr>
          <w:shd w:val="clear" w:color="auto" w:fill="FFFFFF" w:themeFill="background1"/>
        </w:rPr>
        <w:t xml:space="preserve">pensijų </w:t>
      </w:r>
      <w:r w:rsidR="00F943A0" w:rsidRPr="00E2099C">
        <w:rPr>
          <w:shd w:val="clear" w:color="auto" w:fill="FFFFFF" w:themeFill="background1"/>
        </w:rPr>
        <w:t>fondų socialinę reikšmę</w:t>
      </w:r>
      <w:r w:rsidR="00551503" w:rsidRPr="00E2099C">
        <w:rPr>
          <w:shd w:val="clear" w:color="auto" w:fill="FFFFFF" w:themeFill="background1"/>
        </w:rPr>
        <w:t xml:space="preserve"> </w:t>
      </w:r>
      <w:r w:rsidRPr="00E2099C">
        <w:t>–</w:t>
      </w:r>
      <w:r w:rsidR="008C4AF1" w:rsidRPr="00E2099C">
        <w:t xml:space="preserve"> padidinti pajamas senatvėje tiems, kurie rūpinasi ramesne ateitimi</w:t>
      </w:r>
      <w:r w:rsidR="00DC37D5" w:rsidRPr="00E2099C">
        <w:t>,</w:t>
      </w:r>
      <w:r w:rsidR="00385415" w:rsidRPr="00E2099C">
        <w:rPr>
          <w:rStyle w:val="Puslapioinaosnuoroda"/>
        </w:rPr>
        <w:footnoteReference w:id="86"/>
      </w:r>
      <w:r w:rsidR="00666396" w:rsidRPr="00E2099C">
        <w:t xml:space="preserve"> </w:t>
      </w:r>
      <w:r w:rsidRPr="00E2099C">
        <w:t xml:space="preserve">Steponavičienės </w:t>
      </w:r>
      <w:r w:rsidR="00616F86" w:rsidRPr="00E2099C">
        <w:t xml:space="preserve">G. </w:t>
      </w:r>
      <w:r w:rsidRPr="00E2099C">
        <w:t>nuomone</w:t>
      </w:r>
      <w:r w:rsidRPr="00E2099C">
        <w:rPr>
          <w:vertAlign w:val="superscript"/>
        </w:rPr>
        <w:footnoteReference w:id="87"/>
      </w:r>
      <w:r w:rsidR="0043795E" w:rsidRPr="00E2099C">
        <w:t xml:space="preserve"> -</w:t>
      </w:r>
      <w:r w:rsidRPr="00E2099C">
        <w:t xml:space="preserve"> </w:t>
      </w:r>
      <w:r w:rsidR="00616F86" w:rsidRPr="00E2099C">
        <w:t>„</w:t>
      </w:r>
      <w:r w:rsidRPr="00E2099C">
        <w:t>pensijų fondai yra verslas, kuris padeda žmonėms spręsti socialines pro</w:t>
      </w:r>
      <w:r w:rsidR="00616F86" w:rsidRPr="00E2099C">
        <w:t>blemas – sukaupti lėšų senatvei“.</w:t>
      </w:r>
      <w:r w:rsidRPr="00E2099C">
        <w:t xml:space="preserve"> </w:t>
      </w:r>
      <w:r w:rsidR="00616F86" w:rsidRPr="00E2099C">
        <w:t>Tačiau</w:t>
      </w:r>
      <w:r w:rsidRPr="00EC4418">
        <w:t xml:space="preserve"> pensijų fondai nėra savarankiški juridiniai asmenys, t.y. negali patys tiesiogiai prisiimti teisių ir pareigų, todėl veikia per valdymo įmonę. </w:t>
      </w:r>
      <w:r w:rsidR="00385415">
        <w:t>Tai patvirtina Lietuvos Respublikos</w:t>
      </w:r>
      <w:r w:rsidRPr="00EC4418">
        <w:rPr>
          <w:bCs/>
        </w:rPr>
        <w:t xml:space="preserve"> papildomo savanoriško pensijų kaupimo</w:t>
      </w:r>
      <w:r w:rsidR="00385415">
        <w:rPr>
          <w:bCs/>
        </w:rPr>
        <w:t xml:space="preserve"> </w:t>
      </w:r>
      <w:r w:rsidR="009A36C4" w:rsidRPr="009A36C4">
        <w:rPr>
          <w:bCs/>
        </w:rPr>
        <w:t xml:space="preserve">(toliau – PSPK) </w:t>
      </w:r>
      <w:r w:rsidR="00385415">
        <w:rPr>
          <w:bCs/>
        </w:rPr>
        <w:t>įstatymo 2 straipsnio 12 dalyje</w:t>
      </w:r>
      <w:r w:rsidR="00385415">
        <w:rPr>
          <w:rStyle w:val="Puslapioinaosnuoroda"/>
          <w:bCs/>
        </w:rPr>
        <w:footnoteReference w:id="88"/>
      </w:r>
      <w:r w:rsidR="00385415">
        <w:rPr>
          <w:bCs/>
        </w:rPr>
        <w:t xml:space="preserve"> įtvirtina pensijų fondų sąvoka</w:t>
      </w:r>
      <w:r w:rsidRPr="00EC4418">
        <w:rPr>
          <w:bCs/>
        </w:rPr>
        <w:t xml:space="preserve"> „pensijų fondas</w:t>
      </w:r>
      <w:r w:rsidRPr="00EC4418">
        <w:t xml:space="preserve"> – fiziniams asmenims, savanoriškai kaupiantiems pensijas ir mokantiems pensijų įmokas į pensijų fondą, bendrosios dalinės nuosavybės teise priklausantis pensijų turtas, kurio valdymas perduotas pensijų fondo valdymo įmonei ir kuris investuojamas pagal to pensijų fondo taisykles“. Kaip matome, šiame pensijų fondo apibrėžime yra išskiriamos dvi sudėtinės dalys: pensijų turtas ir jo valdymas. </w:t>
      </w:r>
      <w:r w:rsidR="009A36C4">
        <w:t>PK</w:t>
      </w:r>
      <w:r w:rsidRPr="00EC4418">
        <w:t xml:space="preserve"> įstatymo 9 straipsnio 2 dalyje</w:t>
      </w:r>
      <w:r w:rsidR="009A36C4">
        <w:rPr>
          <w:rStyle w:val="Puslapioinaosnuoroda"/>
        </w:rPr>
        <w:footnoteReference w:id="89"/>
      </w:r>
      <w:r w:rsidRPr="00EC4418">
        <w:t xml:space="preserve"> teigiama, kad „pensijų kaupimo bendrovė pensijų turtą valdo, naudoja ir juo disponuoja turto patikėjimo teisės pagrindais“.</w:t>
      </w:r>
      <w:r w:rsidRPr="00EC4418">
        <w:rPr>
          <w:b/>
        </w:rPr>
        <w:t xml:space="preserve"> </w:t>
      </w:r>
      <w:r w:rsidRPr="00EC4418">
        <w:t>Pensijų kaupimo bendrovė figūruoja kaip pensijų fondo valdymu užsiimanti pelno siekianti organizacija. Dažnai Lietuvoje galvojama, kad pensijų fondai turėtų būti ne pelno organizacijos. Tačiau pagal mūsų teisinę ne pelno organizacijų sąvoką toks juridinis statusas netinka. Ne pelno organizacija gali turėti pelno, bet negali jo niekaip skirstyti (taip pat ir savo nariams), o tik dėti į tolesnį organizacijos vystymą. Tuo tarpu anglo-saksiškoje tradicijoje pradėjus reguliuoti profesinius pensijų fondus ir siekiant riboti riziką, kai įmonės lėšos laikomos kartu su pensijų fondo lėšomis, pensijų fondų lėšos buvo atskirtos į atskirą juridinį vienetą – trestą. "Trestą" valdo patikėtieji savininkai (angl. trustees). Pats pensijų fondas nesiekia pelno sau kaip organizacijai, o tik savo nariams. Patikėjimo valdytojas privalo veikti patikėjimo gavėjo interesais ir, jei neveiks pakankamai rūpestingai, gali pažeisti įstatymą. Jis privalo vadovautis patikėjimo akte esančiais nurodymais bei atsiskaityti už visus sandorius. Jis turi teisę patirti pagrįstas sąnaudas, tačiau jam neleidžiama iš patikėto turto gauti jokios naudos. Jo veiksmus griežtai reguliuoja įstatymas. Taip pensijų fondas prilyginamas ne pelno organizacijai. Tuo pensijų fondas skiriasi nuo draudimo įmonės, kuri turi savo savininkus ir siekia pelno</w:t>
      </w:r>
      <w:r w:rsidRPr="00395911">
        <w:t>.</w:t>
      </w:r>
      <w:r w:rsidRPr="00395911">
        <w:rPr>
          <w:rStyle w:val="Puslapioinaosnuoroda"/>
        </w:rPr>
        <w:footnoteReference w:id="90"/>
      </w:r>
      <w:r w:rsidRPr="00395911">
        <w:t xml:space="preserve"> Atsižvelgiant į tai,</w:t>
      </w:r>
      <w:r w:rsidR="003807B4" w:rsidRPr="00395911">
        <w:t xml:space="preserve"> CK įtvirtinta </w:t>
      </w:r>
      <w:r w:rsidRPr="00395911">
        <w:t>turto patikėjimo teisė turi būti įgyvendinama laikantis patikėtojo nustatytų sąlygų bei apribojimų, o taip pat nepažeidžiant įstatymų ir kitų asmenų teisių i</w:t>
      </w:r>
      <w:r w:rsidR="009A36C4" w:rsidRPr="00395911">
        <w:t>r interesų. Visų pirma, pensijų kaupimo veiklą reglamentuojančiais įstatymais</w:t>
      </w:r>
      <w:r w:rsidRPr="00395911">
        <w:t xml:space="preserve"> yra numatytos investavimo taisyklės, kurių </w:t>
      </w:r>
      <w:r w:rsidRPr="00EC4418">
        <w:t xml:space="preserve">privalo laikytis kaupiamųjų lėšų valdytojai, ir antra, pensijų fondo dalyvis pasirašydamas pensijų kaupimo sutartį </w:t>
      </w:r>
      <w:r w:rsidR="009A36C4">
        <w:t>privalo nurodyti jo pageidaujamą</w:t>
      </w:r>
      <w:r w:rsidRPr="00EC4418">
        <w:t xml:space="preserve"> </w:t>
      </w:r>
      <w:r w:rsidRPr="00EC4418">
        <w:lastRenderedPageBreak/>
        <w:t>investavimo kryptį</w:t>
      </w:r>
      <w:r w:rsidRPr="007E557E">
        <w:t xml:space="preserve">. Tokiu būdu iš esmės </w:t>
      </w:r>
      <w:r w:rsidR="003807B4">
        <w:t>yra apribojamos</w:t>
      </w:r>
      <w:r w:rsidRPr="007E557E">
        <w:t xml:space="preserve"> pensijų fondų valdytojų galimybės veikti savo nuožiūra. </w:t>
      </w:r>
    </w:p>
    <w:p w:rsidR="00445C7E" w:rsidRPr="00EC4418" w:rsidRDefault="008C4AF1" w:rsidP="00B44EC4">
      <w:pPr>
        <w:pStyle w:val="Betarp"/>
        <w:tabs>
          <w:tab w:val="left" w:pos="851"/>
        </w:tabs>
        <w:spacing w:line="360" w:lineRule="auto"/>
        <w:ind w:firstLine="567"/>
      </w:pPr>
      <w:r w:rsidRPr="007E557E">
        <w:t>Apibendrinant, galima būtų teigti, kad turto patikėjimo teisė yra žinoma daugeliui teisės sistemų, tačiau s</w:t>
      </w:r>
      <w:r w:rsidR="00445C7E" w:rsidRPr="007E557E">
        <w:t>kirtumai tarp bendrosios ir kontinentinės</w:t>
      </w:r>
      <w:r w:rsidR="00445C7E" w:rsidRPr="007E557E">
        <w:rPr>
          <w:rFonts w:eastAsia="TimesNewRoman"/>
        </w:rPr>
        <w:t xml:space="preserve"> </w:t>
      </w:r>
      <w:r w:rsidR="00445C7E" w:rsidRPr="007E557E">
        <w:t>teis</w:t>
      </w:r>
      <w:r w:rsidR="00445C7E" w:rsidRPr="007E557E">
        <w:rPr>
          <w:rFonts w:eastAsia="TimesNewRoman"/>
        </w:rPr>
        <w:t>ė</w:t>
      </w:r>
      <w:r w:rsidR="00445C7E" w:rsidRPr="007E557E">
        <w:t>s sistem</w:t>
      </w:r>
      <w:r w:rsidR="00445C7E" w:rsidRPr="007E557E">
        <w:rPr>
          <w:rFonts w:eastAsia="TimesNewRoman"/>
        </w:rPr>
        <w:t xml:space="preserve">ų </w:t>
      </w:r>
      <w:r w:rsidR="00445C7E" w:rsidRPr="007E557E">
        <w:t>santykinai maži, ta</w:t>
      </w:r>
      <w:r w:rsidR="00445C7E" w:rsidRPr="007E557E">
        <w:rPr>
          <w:rFonts w:eastAsia="TimesNewRoman"/>
        </w:rPr>
        <w:t>č</w:t>
      </w:r>
      <w:r w:rsidR="00445C7E" w:rsidRPr="007E557E">
        <w:t>iau – esminiai. Pagrindinis iš j</w:t>
      </w:r>
      <w:r w:rsidR="00445C7E" w:rsidRPr="007E557E">
        <w:rPr>
          <w:rFonts w:eastAsia="TimesNewRoman"/>
        </w:rPr>
        <w:t xml:space="preserve">ų </w:t>
      </w:r>
      <w:r w:rsidR="00445C7E" w:rsidRPr="007E557E">
        <w:t>– giliai kontinentin</w:t>
      </w:r>
      <w:r w:rsidR="00445C7E" w:rsidRPr="007E557E">
        <w:rPr>
          <w:rFonts w:eastAsia="TimesNewRoman"/>
        </w:rPr>
        <w:t>ė</w:t>
      </w:r>
      <w:r w:rsidR="00445C7E" w:rsidRPr="007E557E">
        <w:t>s teisės tradicijas turin</w:t>
      </w:r>
      <w:r w:rsidR="00445C7E" w:rsidRPr="007E557E">
        <w:rPr>
          <w:rFonts w:eastAsia="TimesNewRoman"/>
        </w:rPr>
        <w:t>č</w:t>
      </w:r>
      <w:r w:rsidR="00445C7E" w:rsidRPr="007E557E">
        <w:t>iose valstyb</w:t>
      </w:r>
      <w:r w:rsidR="00445C7E" w:rsidRPr="007E557E">
        <w:rPr>
          <w:rFonts w:eastAsia="TimesNewRoman"/>
        </w:rPr>
        <w:t>ė</w:t>
      </w:r>
      <w:r w:rsidR="00445C7E" w:rsidRPr="007E557E">
        <w:t>se (</w:t>
      </w:r>
      <w:r w:rsidR="00445C7E" w:rsidRPr="007E557E">
        <w:rPr>
          <w:rFonts w:eastAsia="TimesNewRoman"/>
        </w:rPr>
        <w:t>į</w:t>
      </w:r>
      <w:r w:rsidR="00445C7E" w:rsidRPr="007E557E">
        <w:t>skaitant ir Lietuv</w:t>
      </w:r>
      <w:r w:rsidR="00445C7E" w:rsidRPr="007E557E">
        <w:rPr>
          <w:rFonts w:eastAsia="TimesNewRoman"/>
        </w:rPr>
        <w:t>ą</w:t>
      </w:r>
      <w:r w:rsidR="00445C7E" w:rsidRPr="007E557E">
        <w:t xml:space="preserve">) </w:t>
      </w:r>
      <w:r w:rsidR="00445C7E" w:rsidRPr="007E557E">
        <w:rPr>
          <w:rFonts w:eastAsia="TimesNewRoman"/>
        </w:rPr>
        <w:t>į</w:t>
      </w:r>
      <w:r w:rsidR="00445C7E" w:rsidRPr="007E557E">
        <w:t>sišaknijusi „absoliu</w:t>
      </w:r>
      <w:r w:rsidR="00445C7E" w:rsidRPr="007E557E">
        <w:rPr>
          <w:rFonts w:eastAsia="TimesNewRoman"/>
        </w:rPr>
        <w:t>č</w:t>
      </w:r>
      <w:r w:rsidR="00445C7E" w:rsidRPr="007E557E">
        <w:t>ios“ nuosavyb</w:t>
      </w:r>
      <w:r w:rsidR="00445C7E" w:rsidRPr="007E557E">
        <w:rPr>
          <w:rFonts w:eastAsia="TimesNewRoman"/>
        </w:rPr>
        <w:t>ė</w:t>
      </w:r>
      <w:r w:rsidR="00445C7E" w:rsidRPr="007E557E">
        <w:t xml:space="preserve">s doktrina. Todėl turto patikėjimo teisė nors ir </w:t>
      </w:r>
      <w:r w:rsidR="009A36C4" w:rsidRPr="007E557E">
        <w:t xml:space="preserve">yra </w:t>
      </w:r>
      <w:r w:rsidR="00445C7E" w:rsidRPr="007E557E">
        <w:t>panaši savo turiniu į nuosavybės teisės turinį, tačiau patikėjimo teisės įgyvendinimas teisiškai labiau apribotas nei nuosavybės teisės.</w:t>
      </w:r>
      <w:r w:rsidR="00445C7E" w:rsidRPr="00EC4418">
        <w:t xml:space="preserve"> </w:t>
      </w:r>
    </w:p>
    <w:p w:rsidR="00CB60E1" w:rsidRDefault="00CB60E1" w:rsidP="00B44EC4">
      <w:pPr>
        <w:pStyle w:val="Betarp"/>
        <w:spacing w:line="360" w:lineRule="auto"/>
        <w:ind w:firstLine="567"/>
        <w:jc w:val="left"/>
        <w:rPr>
          <w:b/>
          <w:noProof/>
          <w:lang w:eastAsia="lt-LT"/>
        </w:rPr>
      </w:pPr>
    </w:p>
    <w:p w:rsidR="00445C7E" w:rsidRPr="00EC4418" w:rsidRDefault="00445C7E" w:rsidP="00B44EC4">
      <w:pPr>
        <w:pStyle w:val="Betarp"/>
        <w:spacing w:line="360" w:lineRule="auto"/>
        <w:ind w:firstLine="567"/>
        <w:jc w:val="left"/>
        <w:rPr>
          <w:b/>
          <w:noProof/>
          <w:lang w:eastAsia="lt-LT"/>
        </w:rPr>
      </w:pPr>
      <w:r>
        <w:rPr>
          <w:b/>
          <w:noProof/>
          <w:lang w:eastAsia="lt-LT"/>
        </w:rPr>
        <w:t>2.2</w:t>
      </w:r>
      <w:r w:rsidRPr="00EC4418">
        <w:rPr>
          <w:b/>
          <w:noProof/>
          <w:lang w:eastAsia="lt-LT"/>
        </w:rPr>
        <w:t>.</w:t>
      </w:r>
      <w:r>
        <w:rPr>
          <w:b/>
          <w:noProof/>
          <w:lang w:eastAsia="lt-LT"/>
        </w:rPr>
        <w:t>2.</w:t>
      </w:r>
      <w:r w:rsidRPr="00EC4418">
        <w:rPr>
          <w:b/>
          <w:noProof/>
          <w:lang w:eastAsia="lt-LT"/>
        </w:rPr>
        <w:t xml:space="preserve"> </w:t>
      </w:r>
      <w:r>
        <w:rPr>
          <w:b/>
          <w:noProof/>
          <w:lang w:eastAsia="lt-LT"/>
        </w:rPr>
        <w:t>A</w:t>
      </w:r>
      <w:r w:rsidRPr="00EC4418">
        <w:rPr>
          <w:b/>
          <w:noProof/>
          <w:lang w:eastAsia="lt-LT"/>
        </w:rPr>
        <w:t>pibrėžtų išmokų ir apibrė</w:t>
      </w:r>
      <w:r w:rsidR="009155FE">
        <w:rPr>
          <w:b/>
          <w:noProof/>
          <w:lang w:eastAsia="lt-LT"/>
        </w:rPr>
        <w:t>ž</w:t>
      </w:r>
      <w:r w:rsidRPr="00EC4418">
        <w:rPr>
          <w:b/>
          <w:noProof/>
          <w:lang w:eastAsia="lt-LT"/>
        </w:rPr>
        <w:t>tų įmokų si</w:t>
      </w:r>
      <w:r>
        <w:rPr>
          <w:b/>
          <w:noProof/>
          <w:lang w:eastAsia="lt-LT"/>
        </w:rPr>
        <w:t>stemos</w:t>
      </w:r>
    </w:p>
    <w:p w:rsidR="00445C7E" w:rsidRPr="00EC4418" w:rsidRDefault="00445C7E" w:rsidP="00B44EC4">
      <w:pPr>
        <w:pStyle w:val="Betarp"/>
        <w:spacing w:line="360" w:lineRule="auto"/>
        <w:ind w:firstLine="567"/>
        <w:jc w:val="center"/>
        <w:rPr>
          <w:b/>
          <w:noProof/>
          <w:lang w:eastAsia="lt-LT"/>
        </w:rPr>
      </w:pPr>
    </w:p>
    <w:p w:rsidR="00445C7E" w:rsidRPr="00E2099C" w:rsidRDefault="00445C7E" w:rsidP="00B44EC4">
      <w:pPr>
        <w:pStyle w:val="Betarp"/>
        <w:spacing w:line="360" w:lineRule="auto"/>
        <w:ind w:firstLine="567"/>
      </w:pPr>
      <w:r w:rsidRPr="00EC4418">
        <w:t>Didelę įtaką pensijų fondų turto investavimo reguliavimui turi senat</w:t>
      </w:r>
      <w:r>
        <w:t>vės pensijos mokėjimo būdas -</w:t>
      </w:r>
      <w:r w:rsidRPr="00EC4418">
        <w:t xml:space="preserve"> ar </w:t>
      </w:r>
      <w:r w:rsidRPr="00E2099C">
        <w:t xml:space="preserve">pensijų sistema veikia apibrėžtų išmokų, ar apibrėžtų įmokų būdu. </w:t>
      </w:r>
    </w:p>
    <w:p w:rsidR="00961C36" w:rsidRDefault="009155FE" w:rsidP="00014198">
      <w:pPr>
        <w:pStyle w:val="Betarp"/>
        <w:spacing w:line="360" w:lineRule="auto"/>
        <w:ind w:firstLine="567"/>
      </w:pPr>
      <w:r w:rsidRPr="00E2099C">
        <w:t xml:space="preserve">„Protingo žmogaus“ principo taikymas </w:t>
      </w:r>
      <w:r w:rsidR="00445C7E" w:rsidRPr="00E2099C">
        <w:t>paprastai būdinga</w:t>
      </w:r>
      <w:r w:rsidRPr="00E2099C">
        <w:t>s</w:t>
      </w:r>
      <w:r w:rsidR="00445C7E" w:rsidRPr="00E2099C">
        <w:t xml:space="preserve"> šalims, kuriose veikia apibrėžtų išmokų pensijų sistemos modelis. Esant apibrėžtų išmokų sistemai investavimo politika nėra g</w:t>
      </w:r>
      <w:r w:rsidR="00486465" w:rsidRPr="00E2099C">
        <w:t>riežtai suvaržoma</w:t>
      </w:r>
      <w:r w:rsidR="00445C7E" w:rsidRPr="00E2099C">
        <w:t xml:space="preserve"> apribojimais, kadangi pensijų fondas prisiima tvirtą įsipareigojimą mokėti sutarto dydžio pensiją.</w:t>
      </w:r>
      <w:r w:rsidR="00445C7E" w:rsidRPr="00E2099C">
        <w:rPr>
          <w:rStyle w:val="Puslapioinaosnuoroda"/>
        </w:rPr>
        <w:footnoteReference w:id="91"/>
      </w:r>
      <w:r w:rsidR="00445C7E" w:rsidRPr="00E2099C">
        <w:t xml:space="preserve"> Būtent</w:t>
      </w:r>
      <w:r w:rsidR="00445C7E" w:rsidRPr="00EC4418">
        <w:t xml:space="preserve"> anglo-saksų valstybėse dauguma pensijų schemų veikia </w:t>
      </w:r>
      <w:r w:rsidR="00445C7E" w:rsidRPr="00EC4418">
        <w:rPr>
          <w:i/>
        </w:rPr>
        <w:t>apibrėžtų išmokų</w:t>
      </w:r>
      <w:r w:rsidR="00445C7E" w:rsidRPr="00EC4418">
        <w:t xml:space="preserve"> principu, t.y. darbdaviai </w:t>
      </w:r>
      <w:r w:rsidR="00656A11">
        <w:t>turi įgyvendinti prisiimtus pensijų pažadus, todėl</w:t>
      </w:r>
      <w:r w:rsidR="00445C7E" w:rsidRPr="00EC4418">
        <w:t xml:space="preserve"> jie ir skiria pensijų</w:t>
      </w:r>
      <w:r w:rsidR="00980DFD">
        <w:t xml:space="preserve"> fondų valdytojus - "truste</w:t>
      </w:r>
      <w:r w:rsidR="00980DFD" w:rsidRPr="00014198">
        <w:t>es".</w:t>
      </w:r>
      <w:r w:rsidR="00980DFD" w:rsidRPr="00014198">
        <w:rPr>
          <w:rStyle w:val="Puslapioinaosnuoroda"/>
        </w:rPr>
        <w:footnoteReference w:id="92"/>
      </w:r>
      <w:r w:rsidR="00980DFD" w:rsidRPr="00014198">
        <w:t xml:space="preserve"> </w:t>
      </w:r>
      <w:r w:rsidR="00656A11">
        <w:t>Apibrėžtų išmokų schemose s</w:t>
      </w:r>
      <w:r w:rsidR="00445C7E" w:rsidRPr="00014198">
        <w:t>enatvės pensijo</w:t>
      </w:r>
      <w:r w:rsidR="00656A11">
        <w:t>s dydis yra iš anksto apibrėžiamas</w:t>
      </w:r>
      <w:r w:rsidR="00445C7E" w:rsidRPr="00014198">
        <w:t>, o įmokų dydis gali svyruoti. Sumokėtos įmokos yra investuojamos</w:t>
      </w:r>
      <w:r w:rsidR="00656A11">
        <w:t>, siekiant</w:t>
      </w:r>
      <w:r w:rsidR="00445C7E" w:rsidRPr="00014198">
        <w:t xml:space="preserve"> finansuoti būsimas senatvės pens</w:t>
      </w:r>
      <w:r w:rsidR="00656A11">
        <w:t xml:space="preserve">ijas, kurios </w:t>
      </w:r>
      <w:r w:rsidR="00445C7E" w:rsidRPr="00014198">
        <w:t>nepriklauso nuo konkrečių investicinių rezultatų. Pensija yra nustatoma pagal išdi</w:t>
      </w:r>
      <w:r w:rsidR="00656A11">
        <w:t>rbtą metų skaičių ir paprastai</w:t>
      </w:r>
      <w:r w:rsidR="00445C7E" w:rsidRPr="00014198">
        <w:t xml:space="preserve"> atsižvelgiama į atlyginimo dydį tam tikrą periodą (pvz. viso darbingo laikotarpio vidurkis ir pan.). Tokiu būdu senatvės apskaičiavimo formulė yra apibrėžta iš karto</w:t>
      </w:r>
      <w:r w:rsidR="00656A11">
        <w:t>.</w:t>
      </w:r>
      <w:r w:rsidR="00445C7E" w:rsidRPr="00014198">
        <w:rPr>
          <w:rStyle w:val="Puslapioinaosnuoroda"/>
        </w:rPr>
        <w:footnoteReference w:id="93"/>
      </w:r>
      <w:r w:rsidR="00445C7E" w:rsidRPr="00EC4418">
        <w:t xml:space="preserve"> </w:t>
      </w:r>
      <w:r w:rsidR="00656A11">
        <w:t>A</w:t>
      </w:r>
      <w:r w:rsidR="00445C7E" w:rsidRPr="009965F7">
        <w:t xml:space="preserve">pibrėžtų išmokų schema reiškia, kad </w:t>
      </w:r>
      <w:r w:rsidR="00D9230D" w:rsidRPr="009965F7">
        <w:t>asmeniui</w:t>
      </w:r>
      <w:r w:rsidR="00445C7E" w:rsidRPr="009965F7">
        <w:t xml:space="preserve">, </w:t>
      </w:r>
      <w:r w:rsidR="00D9230D" w:rsidRPr="009965F7">
        <w:t xml:space="preserve">apsidraudusiam </w:t>
      </w:r>
      <w:r w:rsidR="00445C7E" w:rsidRPr="009965F7">
        <w:t xml:space="preserve">pensijai, </w:t>
      </w:r>
      <w:r w:rsidR="009965F7" w:rsidRPr="009965F7">
        <w:t xml:space="preserve">suteikiami konkretūs pažadai dėl jo </w:t>
      </w:r>
      <w:r w:rsidR="009965F7">
        <w:t>būsimos</w:t>
      </w:r>
      <w:r w:rsidR="009965F7" w:rsidRPr="009965F7">
        <w:t xml:space="preserve"> pensijos</w:t>
      </w:r>
      <w:r w:rsidR="009965F7" w:rsidRPr="00656A11">
        <w:t>.</w:t>
      </w:r>
      <w:r w:rsidR="00445C7E" w:rsidRPr="00656A11">
        <w:t xml:space="preserve"> </w:t>
      </w:r>
      <w:r w:rsidR="00445C7E" w:rsidRPr="009965F7">
        <w:t xml:space="preserve">Įmokos pensijai ir gautos investicijų pajamos yra investuojamos, todėl skaičiuojant </w:t>
      </w:r>
      <w:r w:rsidR="00F217FE">
        <w:t xml:space="preserve">pensijas </w:t>
      </w:r>
      <w:r w:rsidR="00445C7E" w:rsidRPr="009965F7">
        <w:t xml:space="preserve">atsižvelgiama </w:t>
      </w:r>
      <w:r w:rsidR="00656A11">
        <w:t>ir į būsimą</w:t>
      </w:r>
      <w:r w:rsidR="00445C7E" w:rsidRPr="009965F7">
        <w:t xml:space="preserve"> investicijų pelną. Taip pat, daromos prielaidos kaip </w:t>
      </w:r>
      <w:r w:rsidR="00F217FE">
        <w:t>turėtų augti</w:t>
      </w:r>
      <w:r w:rsidR="00445C7E" w:rsidRPr="009965F7">
        <w:t xml:space="preserve"> asmens darbo užmokestis. Kadangi pensijų fondas, veikiantis pagal apibrėžtų išmokų schemą, prisiima tvirtą įsipareigojimą </w:t>
      </w:r>
      <w:r w:rsidR="00F217FE">
        <w:t>sumokėti tam tikro</w:t>
      </w:r>
      <w:r w:rsidR="00445C7E" w:rsidRPr="009965F7">
        <w:t xml:space="preserve"> dydžio pensiją, tai nepasitvirtinus įmokų skaič</w:t>
      </w:r>
      <w:r w:rsidR="00F217FE">
        <w:t>iavimui naudotoms prielaidoms, atsiradusius</w:t>
      </w:r>
      <w:r w:rsidR="00445C7E" w:rsidRPr="009965F7">
        <w:t xml:space="preserve"> nuostolius ir perviršį </w:t>
      </w:r>
      <w:r w:rsidR="00F217FE">
        <w:t>turi išlyginti</w:t>
      </w:r>
      <w:r w:rsidR="00445C7E" w:rsidRPr="009965F7">
        <w:t xml:space="preserve"> pats draudikas. Todėl darbdaviai samdo profesio</w:t>
      </w:r>
      <w:r w:rsidR="00961C36" w:rsidRPr="009965F7">
        <w:t xml:space="preserve">nalius investicijų </w:t>
      </w:r>
      <w:r w:rsidR="00980DFD" w:rsidRPr="009965F7">
        <w:t>valdytojus</w:t>
      </w:r>
      <w:r w:rsidR="00961C36" w:rsidRPr="009965F7">
        <w:t xml:space="preserve">. </w:t>
      </w:r>
      <w:r w:rsidR="00445C7E" w:rsidRPr="009965F7">
        <w:t xml:space="preserve">Tačiau apibrėžtų išmokų schemą </w:t>
      </w:r>
      <w:r w:rsidR="00F217FE">
        <w:t>yra gana sudėtinga</w:t>
      </w:r>
      <w:r w:rsidR="00445C7E" w:rsidRPr="009965F7">
        <w:t xml:space="preserve"> administruoti, jai </w:t>
      </w:r>
      <w:r w:rsidR="00F217FE">
        <w:t xml:space="preserve">yra </w:t>
      </w:r>
      <w:r w:rsidR="00445C7E" w:rsidRPr="009965F7">
        <w:t>reikalinga nuolatinė priež</w:t>
      </w:r>
      <w:r w:rsidR="00F217FE">
        <w:t>iūra bei</w:t>
      </w:r>
      <w:r w:rsidR="000249C5" w:rsidRPr="009965F7">
        <w:t xml:space="preserve"> stabili ekonominė aplinka.</w:t>
      </w:r>
      <w:r w:rsidR="000249C5" w:rsidRPr="009965F7">
        <w:rPr>
          <w:rStyle w:val="Puslapioinaosnuoroda"/>
        </w:rPr>
        <w:footnoteReference w:id="94"/>
      </w:r>
      <w:r w:rsidR="00445C7E" w:rsidRPr="00980DFD">
        <w:t xml:space="preserve"> </w:t>
      </w:r>
      <w:r w:rsidR="000249C5" w:rsidRPr="00980DFD">
        <w:lastRenderedPageBreak/>
        <w:t>P</w:t>
      </w:r>
      <w:r w:rsidR="00445C7E" w:rsidRPr="00980DFD">
        <w:t>asikei</w:t>
      </w:r>
      <w:r w:rsidR="00F217FE">
        <w:t>tus socialinėms (pvz. pailgėjus</w:t>
      </w:r>
      <w:r w:rsidR="00445C7E" w:rsidRPr="00980DFD">
        <w:t xml:space="preserve"> laukiama</w:t>
      </w:r>
      <w:r w:rsidR="00F217FE">
        <w:t>i gyvenimo trukmei</w:t>
      </w:r>
      <w:r w:rsidR="00445C7E" w:rsidRPr="00980DFD">
        <w:t xml:space="preserve">) arba ekonominėms (pvz. ekonomikos sulėtėjimas) sąlygoms, valstybė gali </w:t>
      </w:r>
      <w:r w:rsidR="00F217FE">
        <w:t>tapti ne</w:t>
      </w:r>
      <w:r w:rsidR="00102556">
        <w:t>be</w:t>
      </w:r>
      <w:r w:rsidR="00F217FE">
        <w:t xml:space="preserve">pajėgi </w:t>
      </w:r>
      <w:r w:rsidR="00445C7E" w:rsidRPr="00980DFD">
        <w:t>užtikrinti suplanuotų išmokų dydžio.</w:t>
      </w:r>
      <w:r w:rsidR="00980DFD" w:rsidRPr="00980DFD">
        <w:rPr>
          <w:rStyle w:val="Puslapioinaosnuoroda"/>
        </w:rPr>
        <w:footnoteReference w:id="95"/>
      </w:r>
    </w:p>
    <w:p w:rsidR="00445C7E" w:rsidRPr="00992708" w:rsidRDefault="0018129E" w:rsidP="00B44EC4">
      <w:pPr>
        <w:pStyle w:val="Betarp"/>
        <w:spacing w:line="360" w:lineRule="auto"/>
        <w:ind w:firstLine="567"/>
        <w:rPr>
          <w:color w:val="76923C"/>
        </w:rPr>
      </w:pPr>
      <w:r>
        <w:t>Apibrėžtų</w:t>
      </w:r>
      <w:r w:rsidR="00445C7E" w:rsidRPr="0018129E">
        <w:t xml:space="preserve"> išmokų modelis paprastai buvo naudojamas senesnėse profesinėse programose, sekant valstybės tarnautojų programose taikomos išmokų formulės pavyzdžiu. Tačiau daug</w:t>
      </w:r>
      <w:r>
        <w:t>elis</w:t>
      </w:r>
      <w:r w:rsidR="00445C7E" w:rsidRPr="0018129E">
        <w:t xml:space="preserve"> tokių programų seniai žlugo. Beveik visos per pastaruosius </w:t>
      </w:r>
      <w:r w:rsidR="00FE4146">
        <w:t>kelis dešimtmečius</w:t>
      </w:r>
      <w:r w:rsidR="00445C7E" w:rsidRPr="0018129E">
        <w:t xml:space="preserve"> pradėtos programos yra </w:t>
      </w:r>
      <w:r>
        <w:t>apibrėžtų</w:t>
      </w:r>
      <w:r w:rsidR="00445C7E" w:rsidRPr="0018129E">
        <w:t xml:space="preserve"> įmokų modelio. J</w:t>
      </w:r>
      <w:r w:rsidR="00980DFD">
        <w:t>o</w:t>
      </w:r>
      <w:r w:rsidR="00445C7E" w:rsidRPr="0018129E">
        <w:t xml:space="preserve">s </w:t>
      </w:r>
      <w:r w:rsidR="00FE4146">
        <w:t xml:space="preserve">yra </w:t>
      </w:r>
      <w:r w:rsidR="00445C7E" w:rsidRPr="0018129E">
        <w:t xml:space="preserve">taikomas profesinėms ir įstatymų nustatytoms programoms. Visos valstybės narės, privalomai perkėlusios dalį </w:t>
      </w:r>
      <w:r w:rsidR="00445C7E" w:rsidRPr="00FE4146">
        <w:t>socialinio draudimo pensijų</w:t>
      </w:r>
      <w:r w:rsidR="00445C7E" w:rsidRPr="0018129E">
        <w:t xml:space="preserve"> įmokų į privačius fondus, pritaikė </w:t>
      </w:r>
      <w:r w:rsidR="00FE4146">
        <w:t>apibrėžtų</w:t>
      </w:r>
      <w:r w:rsidR="00445C7E" w:rsidRPr="0018129E">
        <w:t xml:space="preserve"> įmokų modelį, kur</w:t>
      </w:r>
      <w:r w:rsidR="00FE4146">
        <w:t>iame</w:t>
      </w:r>
      <w:r w:rsidR="00445C7E" w:rsidRPr="0018129E">
        <w:t xml:space="preserve"> investicijų riziką neša dirbanti</w:t>
      </w:r>
      <w:r w:rsidRPr="0018129E">
        <w:t>eji.</w:t>
      </w:r>
      <w:r w:rsidRPr="0018129E">
        <w:rPr>
          <w:rStyle w:val="Puslapioinaosnuoroda"/>
        </w:rPr>
        <w:footnoteReference w:id="96"/>
      </w:r>
      <w:r w:rsidRPr="0018129E">
        <w:t xml:space="preserve"> </w:t>
      </w:r>
      <w:r w:rsidRPr="00980DFD">
        <w:rPr>
          <w:i/>
        </w:rPr>
        <w:t>A</w:t>
      </w:r>
      <w:r w:rsidR="00445C7E" w:rsidRPr="00980DFD">
        <w:rPr>
          <w:i/>
        </w:rPr>
        <w:t>pibrėžtų įmokų</w:t>
      </w:r>
      <w:r w:rsidR="00445C7E" w:rsidRPr="00980DFD">
        <w:t xml:space="preserve"> sistemose </w:t>
      </w:r>
      <w:r w:rsidR="00980DFD" w:rsidRPr="00980DFD">
        <w:t>į</w:t>
      </w:r>
      <w:r w:rsidR="00445C7E" w:rsidRPr="00980DFD">
        <w:t>mokos, skirtos senatvės pensijai, yra iš anksto apibrėžtos. Sumokėtos įmokos yra investuojamos, kad būtų finansuojamos būsimos senatvės pensijos.</w:t>
      </w:r>
      <w:r w:rsidR="00445C7E" w:rsidRPr="00980DFD">
        <w:rPr>
          <w:rStyle w:val="Puslapioinaosnuoroda"/>
        </w:rPr>
        <w:footnoteReference w:id="97"/>
      </w:r>
      <w:r w:rsidR="00445C7E" w:rsidRPr="00EC4418">
        <w:t xml:space="preserve"> </w:t>
      </w:r>
      <w:r w:rsidR="00980DFD" w:rsidRPr="00980DFD">
        <w:t xml:space="preserve">Pensijų fondas neprisiima tvirto įsipareigojimo mokėti tam tikro dydžio pensiją. </w:t>
      </w:r>
      <w:r w:rsidR="00445C7E" w:rsidRPr="00980DFD">
        <w:t>Pen</w:t>
      </w:r>
      <w:r w:rsidR="00445C7E" w:rsidRPr="00EC4418">
        <w:t xml:space="preserve">sijos dydis priklauso nuo mokamų įmokų ir jomis uždirbto pelno, kuris gali būti tiek teigiamas, tiek neigiamas. Tokiu būdu </w:t>
      </w:r>
      <w:r w:rsidR="00FE4146">
        <w:t xml:space="preserve">visą </w:t>
      </w:r>
      <w:r w:rsidR="00445C7E" w:rsidRPr="00EC4418">
        <w:t xml:space="preserve">investicijų riziką </w:t>
      </w:r>
      <w:r w:rsidR="00FE4146">
        <w:t xml:space="preserve">turi prisiimti </w:t>
      </w:r>
      <w:r w:rsidR="00445C7E" w:rsidRPr="00EC4418">
        <w:t>apdraustasis asmuo, t.</w:t>
      </w:r>
      <w:r w:rsidR="00961C36">
        <w:t>y. pensijų fondas nėra įpareigojamas</w:t>
      </w:r>
      <w:r w:rsidR="00445C7E" w:rsidRPr="00EC4418">
        <w:t xml:space="preserve"> dengti nuostolius, jei</w:t>
      </w:r>
      <w:r w:rsidR="00961C36">
        <w:t>gu</w:t>
      </w:r>
      <w:r w:rsidR="00445C7E" w:rsidRPr="00EC4418">
        <w:t xml:space="preserve"> investicijos būna nesėkmingos. Atsižvelgiant į tai</w:t>
      </w:r>
      <w:r w:rsidR="00961C36">
        <w:t>,</w:t>
      </w:r>
      <w:r w:rsidR="00445C7E" w:rsidRPr="00EC4418">
        <w:t xml:space="preserve"> apibrėžtų įmokų sistemose </w:t>
      </w:r>
      <w:r w:rsidR="00961C36">
        <w:t xml:space="preserve">yra </w:t>
      </w:r>
      <w:r w:rsidR="00445C7E" w:rsidRPr="00EC4418">
        <w:t>numatomi griežtesni investicijų ribojimai.</w:t>
      </w:r>
    </w:p>
    <w:p w:rsidR="000A164C" w:rsidRDefault="00445C7E" w:rsidP="00EC0486">
      <w:pPr>
        <w:pStyle w:val="Betarp"/>
        <w:spacing w:line="360" w:lineRule="auto"/>
        <w:ind w:firstLine="567"/>
      </w:pPr>
      <w:r w:rsidRPr="00992708">
        <w:t xml:space="preserve">Siekiant sumažinti </w:t>
      </w:r>
      <w:r w:rsidR="00FE4146">
        <w:t>minėtų</w:t>
      </w:r>
      <w:r w:rsidRPr="00992708">
        <w:t xml:space="preserve"> schemų trūkumus,</w:t>
      </w:r>
      <w:r w:rsidR="00FE4146">
        <w:t xml:space="preserve"> kuriamos schemos, veikiančios</w:t>
      </w:r>
      <w:r w:rsidRPr="0076631B">
        <w:t xml:space="preserve"> kaip tam tikras apibrėžtų įmokų ir apibrėžtų išmokų schemų derinys. Prie tokių </w:t>
      </w:r>
      <w:r w:rsidR="00961C36">
        <w:t xml:space="preserve">yra </w:t>
      </w:r>
      <w:r w:rsidR="00FE4146">
        <w:t>priskiriamos</w:t>
      </w:r>
      <w:r w:rsidRPr="0076631B">
        <w:t xml:space="preserve"> apibrėžtų įmokų schemos su garantuota </w:t>
      </w:r>
      <w:r w:rsidR="00961C36">
        <w:t xml:space="preserve">tam tiko dydžio </w:t>
      </w:r>
      <w:r w:rsidRPr="0076631B">
        <w:t>investicijų grąža. Jose taip pat atsiranda tvirtas įsipareigojimas</w:t>
      </w:r>
      <w:r w:rsidR="00FE4146">
        <w:t xml:space="preserve"> pensijų kaupimo dalyviams</w:t>
      </w:r>
      <w:r w:rsidRPr="0076631B">
        <w:t>, kurį būtina vykdyti, tačiau apdraustajam garantuojamas ne pensijos dydis, bet jo įmokų prieaugis. Kokie draudimo schemų tipai naudojami pensijų fon</w:t>
      </w:r>
      <w:r>
        <w:t>duose atskirose šalyse, pateikta</w:t>
      </w:r>
      <w:r w:rsidR="008556F8">
        <w:t xml:space="preserve"> schemoje (1 l</w:t>
      </w:r>
      <w:r w:rsidR="00C84135">
        <w:t>ent</w:t>
      </w:r>
      <w:r w:rsidR="001871F5">
        <w:t>elė)</w:t>
      </w:r>
      <w:r w:rsidRPr="0076631B">
        <w:t xml:space="preserve">. </w:t>
      </w: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EC0486" w:rsidRDefault="00EC0486" w:rsidP="008556F8">
      <w:pPr>
        <w:pStyle w:val="Betarp"/>
        <w:spacing w:line="360" w:lineRule="auto"/>
        <w:ind w:firstLine="567"/>
        <w:jc w:val="center"/>
      </w:pPr>
    </w:p>
    <w:p w:rsidR="008556F8" w:rsidRPr="008556F8" w:rsidRDefault="008556F8" w:rsidP="008556F8">
      <w:pPr>
        <w:pStyle w:val="Betarp"/>
        <w:spacing w:line="360" w:lineRule="auto"/>
        <w:ind w:firstLine="567"/>
        <w:jc w:val="center"/>
        <w:rPr>
          <w:b/>
        </w:rPr>
      </w:pPr>
      <w:r w:rsidRPr="008556F8">
        <w:lastRenderedPageBreak/>
        <w:t>1 lentelė.</w:t>
      </w:r>
      <w:r w:rsidRPr="008556F8">
        <w:rPr>
          <w:b/>
        </w:rPr>
        <w:t xml:space="preserve"> Pensijų draudimo schemų įvairiose šalyse palyginimas</w:t>
      </w:r>
    </w:p>
    <w:p w:rsidR="00445C7E" w:rsidRDefault="00445C7E" w:rsidP="00103804">
      <w:pPr>
        <w:pStyle w:val="Betarp"/>
        <w:ind w:firstLine="567"/>
        <w:rPr>
          <w:color w:val="8064A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7"/>
        <w:gridCol w:w="2027"/>
        <w:gridCol w:w="2028"/>
        <w:gridCol w:w="2027"/>
        <w:gridCol w:w="2028"/>
      </w:tblGrid>
      <w:tr w:rsidR="00445C7E" w:rsidRPr="008448A2" w:rsidTr="008448A2">
        <w:trPr>
          <w:trHeight w:val="414"/>
        </w:trPr>
        <w:tc>
          <w:tcPr>
            <w:tcW w:w="2027" w:type="dxa"/>
          </w:tcPr>
          <w:p w:rsidR="00445C7E" w:rsidRPr="008448A2" w:rsidRDefault="00445C7E" w:rsidP="00ED35DE">
            <w:pPr>
              <w:pStyle w:val="Betarp"/>
              <w:spacing w:line="276" w:lineRule="auto"/>
              <w:ind w:firstLine="0"/>
              <w:jc w:val="left"/>
              <w:rPr>
                <w:b/>
              </w:rPr>
            </w:pPr>
            <w:r w:rsidRPr="008448A2">
              <w:rPr>
                <w:b/>
              </w:rPr>
              <w:t>Apibrėžtų išmokų su garantijoms</w:t>
            </w:r>
          </w:p>
        </w:tc>
        <w:tc>
          <w:tcPr>
            <w:tcW w:w="2027" w:type="dxa"/>
          </w:tcPr>
          <w:p w:rsidR="00445C7E" w:rsidRPr="008448A2" w:rsidRDefault="00445C7E" w:rsidP="00ED35DE">
            <w:pPr>
              <w:pStyle w:val="Betarp"/>
              <w:spacing w:line="276" w:lineRule="auto"/>
              <w:ind w:firstLine="0"/>
              <w:jc w:val="left"/>
              <w:rPr>
                <w:b/>
              </w:rPr>
            </w:pPr>
            <w:r w:rsidRPr="008448A2">
              <w:rPr>
                <w:b/>
              </w:rPr>
              <w:t>Apibrėžtų išmokų be garantijų</w:t>
            </w:r>
          </w:p>
        </w:tc>
        <w:tc>
          <w:tcPr>
            <w:tcW w:w="2028" w:type="dxa"/>
          </w:tcPr>
          <w:p w:rsidR="00445C7E" w:rsidRPr="008448A2" w:rsidRDefault="00445C7E" w:rsidP="00ED35DE">
            <w:pPr>
              <w:pStyle w:val="Betarp"/>
              <w:spacing w:line="276" w:lineRule="auto"/>
              <w:ind w:firstLine="0"/>
              <w:jc w:val="left"/>
              <w:rPr>
                <w:b/>
              </w:rPr>
            </w:pPr>
            <w:r w:rsidRPr="008448A2">
              <w:rPr>
                <w:b/>
              </w:rPr>
              <w:t>Apibrėžtų įmokų su absoliučia grąža</w:t>
            </w:r>
          </w:p>
        </w:tc>
        <w:tc>
          <w:tcPr>
            <w:tcW w:w="2027" w:type="dxa"/>
          </w:tcPr>
          <w:p w:rsidR="00445C7E" w:rsidRPr="008448A2" w:rsidRDefault="00445C7E" w:rsidP="00ED35DE">
            <w:pPr>
              <w:pStyle w:val="Betarp"/>
              <w:spacing w:line="276" w:lineRule="auto"/>
              <w:ind w:firstLine="0"/>
              <w:rPr>
                <w:b/>
              </w:rPr>
            </w:pPr>
            <w:r w:rsidRPr="008448A2">
              <w:rPr>
                <w:b/>
              </w:rPr>
              <w:t>Apibrėžtų įmokų su rinkos grąža</w:t>
            </w:r>
          </w:p>
        </w:tc>
        <w:tc>
          <w:tcPr>
            <w:tcW w:w="2028" w:type="dxa"/>
          </w:tcPr>
          <w:p w:rsidR="00445C7E" w:rsidRPr="008448A2" w:rsidRDefault="00445C7E" w:rsidP="00ED35DE">
            <w:pPr>
              <w:pStyle w:val="Betarp"/>
              <w:spacing w:line="276" w:lineRule="auto"/>
              <w:ind w:firstLine="0"/>
              <w:rPr>
                <w:b/>
              </w:rPr>
            </w:pPr>
            <w:r w:rsidRPr="008448A2">
              <w:rPr>
                <w:b/>
              </w:rPr>
              <w:t>Apibrėžtų įmokų be garantijų</w:t>
            </w:r>
          </w:p>
        </w:tc>
      </w:tr>
      <w:tr w:rsidR="00445C7E" w:rsidRPr="008448A2" w:rsidTr="008448A2">
        <w:trPr>
          <w:trHeight w:val="414"/>
        </w:trPr>
        <w:tc>
          <w:tcPr>
            <w:tcW w:w="2027" w:type="dxa"/>
          </w:tcPr>
          <w:p w:rsidR="00445C7E" w:rsidRPr="008448A2" w:rsidRDefault="00445C7E" w:rsidP="00ED35DE">
            <w:pPr>
              <w:pStyle w:val="Betarp"/>
              <w:spacing w:line="276" w:lineRule="auto"/>
              <w:ind w:firstLine="0"/>
              <w:jc w:val="left"/>
            </w:pPr>
            <w:r w:rsidRPr="008448A2">
              <w:t>Pensijos dydis nustatomas kaip priešpensinės algos dalis su tvirtu įsipareigojimu</w:t>
            </w:r>
          </w:p>
        </w:tc>
        <w:tc>
          <w:tcPr>
            <w:tcW w:w="2027" w:type="dxa"/>
          </w:tcPr>
          <w:p w:rsidR="00445C7E" w:rsidRPr="008448A2" w:rsidRDefault="00445C7E" w:rsidP="00ED35DE">
            <w:pPr>
              <w:pStyle w:val="Betarp"/>
              <w:spacing w:line="276" w:lineRule="auto"/>
              <w:ind w:firstLine="0"/>
              <w:jc w:val="left"/>
            </w:pPr>
            <w:r w:rsidRPr="008448A2">
              <w:t>Pensijos dydis nustatomas kaip priešpensinės algos dalis be tvirto įsipareigojimo</w:t>
            </w:r>
          </w:p>
        </w:tc>
        <w:tc>
          <w:tcPr>
            <w:tcW w:w="2028" w:type="dxa"/>
          </w:tcPr>
          <w:p w:rsidR="00445C7E" w:rsidRPr="008448A2" w:rsidRDefault="00445C7E" w:rsidP="00ED35DE">
            <w:pPr>
              <w:pStyle w:val="Betarp"/>
              <w:spacing w:line="276" w:lineRule="auto"/>
              <w:ind w:firstLine="0"/>
              <w:jc w:val="left"/>
            </w:pPr>
            <w:r w:rsidRPr="008448A2">
              <w:t>Nustatomas įmokų dydis ir minimali nominali investicijų grąžą</w:t>
            </w:r>
          </w:p>
        </w:tc>
        <w:tc>
          <w:tcPr>
            <w:tcW w:w="2027" w:type="dxa"/>
          </w:tcPr>
          <w:p w:rsidR="00445C7E" w:rsidRPr="008448A2" w:rsidRDefault="00445C7E" w:rsidP="00ED35DE">
            <w:pPr>
              <w:pStyle w:val="Betarp"/>
              <w:spacing w:line="276" w:lineRule="auto"/>
              <w:ind w:firstLine="0"/>
              <w:jc w:val="left"/>
            </w:pPr>
            <w:r w:rsidRPr="008448A2">
              <w:t>Nustatomas įmokų dydis ir investicijų grąža pagal visų pensijų fondų veiklos vidurkį</w:t>
            </w:r>
          </w:p>
        </w:tc>
        <w:tc>
          <w:tcPr>
            <w:tcW w:w="2028" w:type="dxa"/>
          </w:tcPr>
          <w:p w:rsidR="00445C7E" w:rsidRPr="008448A2" w:rsidRDefault="00445C7E" w:rsidP="00ED35DE">
            <w:pPr>
              <w:pStyle w:val="Betarp"/>
              <w:spacing w:line="276" w:lineRule="auto"/>
              <w:ind w:firstLine="0"/>
              <w:jc w:val="left"/>
            </w:pPr>
            <w:r w:rsidRPr="008448A2">
              <w:t>Nustatomas tik įmokų dydis be tvirto grąžos įsipareigojimo</w:t>
            </w:r>
          </w:p>
        </w:tc>
      </w:tr>
      <w:tr w:rsidR="00445C7E" w:rsidRPr="008448A2" w:rsidTr="008448A2">
        <w:trPr>
          <w:trHeight w:val="414"/>
        </w:trPr>
        <w:tc>
          <w:tcPr>
            <w:tcW w:w="2027" w:type="dxa"/>
          </w:tcPr>
          <w:p w:rsidR="00445C7E" w:rsidRPr="008448A2" w:rsidRDefault="00445C7E" w:rsidP="00ED35DE">
            <w:pPr>
              <w:pStyle w:val="Betarp"/>
              <w:spacing w:line="276" w:lineRule="auto"/>
              <w:ind w:firstLine="0"/>
              <w:rPr>
                <w:b/>
              </w:rPr>
            </w:pPr>
            <w:r w:rsidRPr="008448A2">
              <w:rPr>
                <w:b/>
              </w:rPr>
              <w:t>D. Britanija,</w:t>
            </w:r>
          </w:p>
          <w:p w:rsidR="00445C7E" w:rsidRPr="008448A2" w:rsidRDefault="00445C7E" w:rsidP="00ED35DE">
            <w:pPr>
              <w:pStyle w:val="Betarp"/>
              <w:spacing w:line="276" w:lineRule="auto"/>
              <w:ind w:firstLine="0"/>
              <w:rPr>
                <w:b/>
              </w:rPr>
            </w:pPr>
            <w:r w:rsidRPr="008448A2">
              <w:rPr>
                <w:b/>
              </w:rPr>
              <w:t>Olandija</w:t>
            </w:r>
          </w:p>
        </w:tc>
        <w:tc>
          <w:tcPr>
            <w:tcW w:w="2027" w:type="dxa"/>
          </w:tcPr>
          <w:p w:rsidR="00445C7E" w:rsidRPr="008448A2" w:rsidRDefault="00445C7E" w:rsidP="00ED35DE">
            <w:pPr>
              <w:pStyle w:val="Betarp"/>
              <w:spacing w:line="276" w:lineRule="auto"/>
              <w:ind w:firstLine="0"/>
              <w:rPr>
                <w:b/>
              </w:rPr>
            </w:pPr>
            <w:r w:rsidRPr="008448A2">
              <w:rPr>
                <w:b/>
              </w:rPr>
              <w:t>Australija</w:t>
            </w:r>
          </w:p>
        </w:tc>
        <w:tc>
          <w:tcPr>
            <w:tcW w:w="2028" w:type="dxa"/>
          </w:tcPr>
          <w:p w:rsidR="00445C7E" w:rsidRPr="008448A2" w:rsidRDefault="00445C7E" w:rsidP="00ED35DE">
            <w:pPr>
              <w:pStyle w:val="Betarp"/>
              <w:spacing w:line="276" w:lineRule="auto"/>
              <w:ind w:firstLine="0"/>
              <w:rPr>
                <w:b/>
              </w:rPr>
            </w:pPr>
            <w:r w:rsidRPr="008448A2">
              <w:rPr>
                <w:b/>
              </w:rPr>
              <w:t>Šveicarija</w:t>
            </w:r>
          </w:p>
        </w:tc>
        <w:tc>
          <w:tcPr>
            <w:tcW w:w="2027" w:type="dxa"/>
          </w:tcPr>
          <w:p w:rsidR="00445C7E" w:rsidRPr="008448A2" w:rsidRDefault="00445C7E" w:rsidP="00ED35DE">
            <w:pPr>
              <w:pStyle w:val="Betarp"/>
              <w:spacing w:line="276" w:lineRule="auto"/>
              <w:ind w:firstLine="0"/>
              <w:rPr>
                <w:b/>
              </w:rPr>
            </w:pPr>
            <w:r w:rsidRPr="008448A2">
              <w:rPr>
                <w:b/>
              </w:rPr>
              <w:t xml:space="preserve">Čilė </w:t>
            </w:r>
            <w:r w:rsidR="00ED35DE">
              <w:rPr>
                <w:b/>
              </w:rPr>
              <w:t xml:space="preserve">ir kitos Lotynų Amerikos šalys, </w:t>
            </w:r>
            <w:r w:rsidRPr="008448A2">
              <w:rPr>
                <w:b/>
              </w:rPr>
              <w:t xml:space="preserve">Vengrija, </w:t>
            </w:r>
            <w:r w:rsidR="00486465">
              <w:rPr>
                <w:b/>
              </w:rPr>
              <w:t>L</w:t>
            </w:r>
            <w:r w:rsidRPr="008448A2">
              <w:rPr>
                <w:b/>
              </w:rPr>
              <w:t>enkija</w:t>
            </w:r>
          </w:p>
        </w:tc>
        <w:tc>
          <w:tcPr>
            <w:tcW w:w="2028" w:type="dxa"/>
          </w:tcPr>
          <w:p w:rsidR="00445C7E" w:rsidRPr="008448A2" w:rsidRDefault="00445C7E" w:rsidP="00ED35DE">
            <w:pPr>
              <w:pStyle w:val="Betarp"/>
              <w:spacing w:line="276" w:lineRule="auto"/>
              <w:ind w:firstLine="0"/>
              <w:rPr>
                <w:b/>
              </w:rPr>
            </w:pPr>
            <w:r w:rsidRPr="008448A2">
              <w:rPr>
                <w:b/>
              </w:rPr>
              <w:t>Australija, D.Britanija, Švedija</w:t>
            </w:r>
          </w:p>
        </w:tc>
      </w:tr>
    </w:tbl>
    <w:p w:rsidR="00445C7E" w:rsidRDefault="00445C7E" w:rsidP="00992708">
      <w:pPr>
        <w:pStyle w:val="Betarp"/>
        <w:spacing w:line="360" w:lineRule="auto"/>
        <w:ind w:firstLine="567"/>
        <w:rPr>
          <w:sz w:val="20"/>
          <w:szCs w:val="20"/>
        </w:rPr>
      </w:pPr>
    </w:p>
    <w:p w:rsidR="00445C7E" w:rsidRPr="00671A88" w:rsidRDefault="00445C7E" w:rsidP="005A5D75">
      <w:pPr>
        <w:pStyle w:val="Betarp"/>
        <w:spacing w:line="360" w:lineRule="auto"/>
        <w:ind w:firstLine="567"/>
        <w:rPr>
          <w:sz w:val="20"/>
          <w:szCs w:val="20"/>
        </w:rPr>
      </w:pPr>
      <w:r w:rsidRPr="008556F8">
        <w:rPr>
          <w:b/>
          <w:sz w:val="20"/>
          <w:szCs w:val="20"/>
        </w:rPr>
        <w:t>Šaltinis:</w:t>
      </w:r>
      <w:r w:rsidRPr="0076631B">
        <w:rPr>
          <w:sz w:val="20"/>
          <w:szCs w:val="20"/>
        </w:rPr>
        <w:t xml:space="preserve"> Levišauskaitė K., Ruškys G.Valstybės finansai: vadovėlis. Kaunas: Vytauto Didžiojo universiteto leidykla, 2003. – 179 p. – ISBN 9955-530-91-X</w:t>
      </w:r>
      <w:r>
        <w:rPr>
          <w:sz w:val="20"/>
          <w:szCs w:val="20"/>
        </w:rPr>
        <w:t xml:space="preserve">, p. </w:t>
      </w:r>
      <w:r w:rsidRPr="00671A88">
        <w:rPr>
          <w:sz w:val="20"/>
          <w:szCs w:val="20"/>
        </w:rPr>
        <w:t>110</w:t>
      </w:r>
      <w:r w:rsidR="00B01CBF">
        <w:rPr>
          <w:sz w:val="20"/>
          <w:szCs w:val="20"/>
        </w:rPr>
        <w:t>.</w:t>
      </w:r>
    </w:p>
    <w:p w:rsidR="00445C7E" w:rsidRPr="00671A88" w:rsidRDefault="00445C7E" w:rsidP="005A5D75">
      <w:pPr>
        <w:pStyle w:val="Betarp"/>
        <w:spacing w:line="360" w:lineRule="auto"/>
        <w:ind w:firstLine="567"/>
        <w:rPr>
          <w:sz w:val="20"/>
          <w:szCs w:val="20"/>
        </w:rPr>
      </w:pPr>
    </w:p>
    <w:p w:rsidR="00445C7E" w:rsidRPr="00E43128" w:rsidRDefault="00445C7E" w:rsidP="00992708">
      <w:pPr>
        <w:pStyle w:val="Betarp"/>
        <w:spacing w:line="360" w:lineRule="auto"/>
        <w:ind w:firstLine="567"/>
        <w:rPr>
          <w:color w:val="8064A2"/>
        </w:rPr>
      </w:pPr>
      <w:r w:rsidRPr="0076631B">
        <w:t xml:space="preserve">Iš čia matome </w:t>
      </w:r>
      <w:r w:rsidR="00C84135">
        <w:t>(</w:t>
      </w:r>
      <w:r w:rsidR="001871F5">
        <w:t xml:space="preserve">žr. </w:t>
      </w:r>
      <w:r w:rsidR="00486465" w:rsidRPr="00486465">
        <w:t xml:space="preserve">1 </w:t>
      </w:r>
      <w:r w:rsidR="00C84135">
        <w:t>len</w:t>
      </w:r>
      <w:r w:rsidR="001871F5">
        <w:t>t.</w:t>
      </w:r>
      <w:r>
        <w:t>)</w:t>
      </w:r>
      <w:r w:rsidRPr="0076631B">
        <w:t xml:space="preserve">, kad populiariausia yra apibrėžtų įmokų schema su rinkos grąža. Ji </w:t>
      </w:r>
      <w:r w:rsidR="00486465">
        <w:t xml:space="preserve">yra </w:t>
      </w:r>
      <w:r w:rsidRPr="0076631B">
        <w:t>naudojam</w:t>
      </w:r>
      <w:r w:rsidR="00486465">
        <w:t>a Čilėje, Lenkijoje, Vengrijoje bei kitose šalyse.</w:t>
      </w:r>
      <w:r w:rsidRPr="0076631B">
        <w:t xml:space="preserve"> Draudimo schemos be jokių garantijų dažniausiai taikomos gerai ekonomiškai išsivysčiusiose šalyse, pvz., Australijoje, D. Britanijoje, Švedijoje.</w:t>
      </w:r>
      <w:r w:rsidRPr="0076631B">
        <w:rPr>
          <w:rStyle w:val="Puslapioinaosnuoroda"/>
        </w:rPr>
        <w:footnoteReference w:id="98"/>
      </w:r>
    </w:p>
    <w:p w:rsidR="00445C7E" w:rsidRDefault="00445C7E" w:rsidP="00992708">
      <w:pPr>
        <w:pStyle w:val="Betarp"/>
        <w:spacing w:line="360" w:lineRule="auto"/>
        <w:ind w:firstLine="567"/>
      </w:pPr>
      <w:r>
        <w:t>Daroma išvada</w:t>
      </w:r>
      <w:r w:rsidRPr="00EC4418">
        <w:t>,</w:t>
      </w:r>
      <w:r>
        <w:t xml:space="preserve"> kad</w:t>
      </w:r>
      <w:r w:rsidRPr="00EC4418">
        <w:t xml:space="preserve"> </w:t>
      </w:r>
      <w:r w:rsidR="00486465">
        <w:t xml:space="preserve">atsižvelgiant į tai, jog </w:t>
      </w:r>
      <w:r w:rsidRPr="00EC4418">
        <w:t>skirtingai nei apibrėžtų įmokų, apibrėžtų išmokų sistemose senatvės apskaičiavimo formu</w:t>
      </w:r>
      <w:r w:rsidR="00486465">
        <w:t xml:space="preserve">lė yra apibrėžta iš karto, </w:t>
      </w:r>
      <w:r w:rsidRPr="00EC4418">
        <w:t>skiriasi ir investavimo teisinis reguliavimas. Apibrėžtų įmokų sistemoje „protingo žmogaus“ taisyklės taikymas gali būti ne toks efektyvus.</w:t>
      </w:r>
    </w:p>
    <w:p w:rsidR="00486465" w:rsidRDefault="00486465" w:rsidP="00992708">
      <w:pPr>
        <w:pStyle w:val="Betarp"/>
        <w:spacing w:line="360" w:lineRule="auto"/>
        <w:ind w:firstLine="567"/>
      </w:pPr>
    </w:p>
    <w:p w:rsidR="00445C7E" w:rsidRPr="00744BD6" w:rsidRDefault="00445C7E" w:rsidP="00946251">
      <w:pPr>
        <w:pStyle w:val="Betarp"/>
        <w:spacing w:line="360" w:lineRule="auto"/>
        <w:ind w:firstLine="567"/>
        <w:rPr>
          <w:b/>
          <w:noProof/>
          <w:lang w:eastAsia="lt-LT"/>
        </w:rPr>
      </w:pPr>
      <w:r>
        <w:rPr>
          <w:b/>
          <w:noProof/>
          <w:lang w:eastAsia="lt-LT"/>
        </w:rPr>
        <w:t>2.2</w:t>
      </w:r>
      <w:r w:rsidRPr="00744BD6">
        <w:rPr>
          <w:b/>
          <w:noProof/>
          <w:lang w:eastAsia="lt-LT"/>
        </w:rPr>
        <w:t>.</w:t>
      </w:r>
      <w:r>
        <w:rPr>
          <w:b/>
          <w:noProof/>
          <w:lang w:eastAsia="lt-LT"/>
        </w:rPr>
        <w:t>3.</w:t>
      </w:r>
      <w:r w:rsidRPr="00744BD6">
        <w:rPr>
          <w:b/>
          <w:noProof/>
          <w:lang w:eastAsia="lt-LT"/>
        </w:rPr>
        <w:t xml:space="preserve"> Privalomas ir savanoriškas dalyvavimas pensijų fondų veikloje </w:t>
      </w:r>
    </w:p>
    <w:p w:rsidR="00445C7E" w:rsidRPr="00EC4418" w:rsidRDefault="00445C7E" w:rsidP="00946251">
      <w:pPr>
        <w:pStyle w:val="Betarp"/>
        <w:spacing w:line="360" w:lineRule="auto"/>
        <w:rPr>
          <w:noProof/>
          <w:lang w:eastAsia="lt-LT"/>
        </w:rPr>
      </w:pPr>
    </w:p>
    <w:p w:rsidR="00445C7E" w:rsidRPr="00EC4418" w:rsidRDefault="00445C7E" w:rsidP="00946251">
      <w:pPr>
        <w:pStyle w:val="Betarp"/>
        <w:spacing w:line="360" w:lineRule="auto"/>
        <w:ind w:firstLine="567"/>
      </w:pPr>
      <w:r w:rsidRPr="00EC4418">
        <w:t>Kaip minėta anksčiau, dalyvavimas II pakopos p</w:t>
      </w:r>
      <w:r>
        <w:t>ensijų fondų veikloje gali būti</w:t>
      </w:r>
      <w:r w:rsidRPr="00EC4418">
        <w:t xml:space="preserve"> privalomas ir savanoriškas.</w:t>
      </w:r>
      <w:r>
        <w:rPr>
          <w:lang w:eastAsia="lt-LT"/>
        </w:rPr>
        <w:t xml:space="preserve"> </w:t>
      </w:r>
      <w:r w:rsidRPr="00EC4418">
        <w:t>Jei pensijų fonduose yra privaloma dalyvauti didžiajai daliai gyventojų, jų veiklos įstatyminis reguliavimas paprastai yra griežtesnis nei tos sistemos, kurioje dalyvavimas yra laisvanoriškas.</w:t>
      </w:r>
      <w:r>
        <w:t xml:space="preserve"> </w:t>
      </w:r>
    </w:p>
    <w:p w:rsidR="00445C7E" w:rsidRDefault="00445C7E" w:rsidP="00946251">
      <w:pPr>
        <w:pStyle w:val="Betarp"/>
        <w:spacing w:line="360" w:lineRule="auto"/>
        <w:ind w:firstLine="567"/>
      </w:pPr>
      <w:r w:rsidRPr="00EC4418">
        <w:t xml:space="preserve">Privalomose sistemose valstybės </w:t>
      </w:r>
      <w:r w:rsidR="00F30039">
        <w:t>paprastai</w:t>
      </w:r>
      <w:r w:rsidRPr="00EC4418">
        <w:t xml:space="preserve"> teikia tam tikras garantijas. Atimdama galimybę </w:t>
      </w:r>
      <w:r w:rsidR="00F30039">
        <w:t xml:space="preserve">žmogui </w:t>
      </w:r>
      <w:r w:rsidRPr="00EC4418">
        <w:t xml:space="preserve">pasirinkti dalyvauti pensijų fonduose ar ne, valstybė </w:t>
      </w:r>
      <w:r>
        <w:t>siekia</w:t>
      </w:r>
      <w:r w:rsidRPr="00EC4418">
        <w:t xml:space="preserve"> užtikrinti</w:t>
      </w:r>
      <w:r w:rsidR="00F30039">
        <w:t xml:space="preserve"> pakankamą sistemos saugumą. Jeigu dalyvauti</w:t>
      </w:r>
      <w:r w:rsidRPr="00EC4418">
        <w:t xml:space="preserve"> pensijų fonduose laisvano</w:t>
      </w:r>
      <w:r w:rsidR="00F30039">
        <w:t xml:space="preserve">riškai renkasi pats dalyvis, jam tenka pagrindinė </w:t>
      </w:r>
      <w:r w:rsidR="00F30039">
        <w:lastRenderedPageBreak/>
        <w:t>atsakomybė</w:t>
      </w:r>
      <w:r w:rsidRPr="00EC4418">
        <w:t xml:space="preserve">, todėl </w:t>
      </w:r>
      <w:r w:rsidR="00F30039">
        <w:t xml:space="preserve">yra </w:t>
      </w:r>
      <w:r w:rsidRPr="00EC4418">
        <w:t>paliekama daugiau laisvės pasirinkti ir susitarti kontra</w:t>
      </w:r>
      <w:r w:rsidR="00F30039">
        <w:t xml:space="preserve">kto šalims. Šiuo atveju daugiau </w:t>
      </w:r>
      <w:r w:rsidRPr="00EC4418">
        <w:t>pasitikima rinkos savireguliavimu.</w:t>
      </w:r>
      <w:r w:rsidRPr="00EC4418">
        <w:rPr>
          <w:rStyle w:val="Puslapioinaosnuoroda"/>
        </w:rPr>
        <w:footnoteReference w:id="99"/>
      </w:r>
    </w:p>
    <w:p w:rsidR="00445C7E" w:rsidRDefault="00445C7E" w:rsidP="00946251">
      <w:pPr>
        <w:pStyle w:val="Betarp"/>
        <w:spacing w:line="360" w:lineRule="auto"/>
        <w:ind w:firstLine="567"/>
      </w:pPr>
      <w:r w:rsidRPr="00946251">
        <w:t xml:space="preserve">2002 m. paskelbtame LR </w:t>
      </w:r>
      <w:r w:rsidRPr="00CE6F6A">
        <w:t>Pensijų sistemos reformos įstatyme</w:t>
      </w:r>
      <w:r w:rsidRPr="00CE6F6A">
        <w:rPr>
          <w:rStyle w:val="Puslapioinaosnuoroda"/>
        </w:rPr>
        <w:footnoteReference w:id="100"/>
      </w:r>
      <w:r w:rsidRPr="00CE6F6A">
        <w:t xml:space="preserve"> </w:t>
      </w:r>
      <w:r>
        <w:t xml:space="preserve">buvo atsisakyta privalomojo </w:t>
      </w:r>
      <w:r w:rsidRPr="009660D7">
        <w:t xml:space="preserve">dalyvavimo privačiuose </w:t>
      </w:r>
      <w:r>
        <w:t>II</w:t>
      </w:r>
      <w:r w:rsidRPr="009660D7">
        <w:t xml:space="preserve"> pakopos pens</w:t>
      </w:r>
      <w:r>
        <w:t xml:space="preserve">ijų fonduose. Bet kurio amžiaus </w:t>
      </w:r>
      <w:r w:rsidRPr="009660D7">
        <w:t xml:space="preserve">asmenims, apdraustiems visai socialinio draudimo pensijai, </w:t>
      </w:r>
      <w:r w:rsidR="00F30039">
        <w:t xml:space="preserve">buvo </w:t>
      </w:r>
      <w:r w:rsidRPr="009660D7">
        <w:t>leista savanoriškai</w:t>
      </w:r>
      <w:r>
        <w:t xml:space="preserve"> </w:t>
      </w:r>
      <w:r w:rsidRPr="009660D7">
        <w:t xml:space="preserve">pasirinkti – dalyvauti pensijų sistemos reformoje ar </w:t>
      </w:r>
      <w:r>
        <w:t xml:space="preserve">likti tik socialinio </w:t>
      </w:r>
      <w:r w:rsidRPr="009660D7">
        <w:t>draudimo sistemoje.</w:t>
      </w:r>
      <w:r>
        <w:rPr>
          <w:rStyle w:val="Puslapioinaosnuoroda"/>
        </w:rPr>
        <w:footnoteReference w:id="101"/>
      </w:r>
      <w:r>
        <w:t xml:space="preserve"> Ši nuostata nepasikeitė bei išliko ir dabar galiojančioje Pensijų sistemos reformos įstatymo redakcijoje.</w:t>
      </w:r>
    </w:p>
    <w:p w:rsidR="00445C7E" w:rsidRPr="00277727" w:rsidRDefault="00445C7E" w:rsidP="00946251">
      <w:pPr>
        <w:pStyle w:val="Betarp"/>
        <w:spacing w:line="360" w:lineRule="auto"/>
        <w:ind w:firstLine="567"/>
        <w:rPr>
          <w:rStyle w:val="hps"/>
        </w:rPr>
      </w:pPr>
      <w:r w:rsidRPr="00277727">
        <w:rPr>
          <w:rStyle w:val="hps"/>
        </w:rPr>
        <w:t>ES Socialinės apsaugos komiteto 2008 m. atliktame tyrime</w:t>
      </w:r>
      <w:r w:rsidRPr="00277727">
        <w:rPr>
          <w:rStyle w:val="Puslapioinaosnuoroda"/>
        </w:rPr>
        <w:footnoteReference w:id="102"/>
      </w:r>
      <w:r w:rsidRPr="00277727">
        <w:rPr>
          <w:rStyle w:val="hps"/>
        </w:rPr>
        <w:t xml:space="preserve"> </w:t>
      </w:r>
      <w:r>
        <w:rPr>
          <w:rStyle w:val="hps"/>
        </w:rPr>
        <w:t>teigiama</w:t>
      </w:r>
      <w:r w:rsidRPr="00277727">
        <w:rPr>
          <w:rStyle w:val="hps"/>
        </w:rPr>
        <w:t xml:space="preserve">, kad </w:t>
      </w:r>
      <w:r>
        <w:rPr>
          <w:rStyle w:val="hps"/>
        </w:rPr>
        <w:t>v</w:t>
      </w:r>
      <w:r>
        <w:t xml:space="preserve">ienas iš </w:t>
      </w:r>
      <w:r>
        <w:rPr>
          <w:rStyle w:val="hps"/>
        </w:rPr>
        <w:t>populiariausių būdų užtikrinti</w:t>
      </w:r>
      <w:r>
        <w:t xml:space="preserve"> </w:t>
      </w:r>
      <w:r>
        <w:rPr>
          <w:rStyle w:val="hps"/>
        </w:rPr>
        <w:t>pensijų sistemų</w:t>
      </w:r>
      <w:r>
        <w:t xml:space="preserve"> </w:t>
      </w:r>
      <w:r>
        <w:rPr>
          <w:rStyle w:val="hps"/>
        </w:rPr>
        <w:t xml:space="preserve">ilgalaikį tvarumą yra privatus taupymas taikant tam tikrus privalomuosius reikalavimus. Šiame tyrime taip pat nurodoma, kad </w:t>
      </w:r>
      <w:r w:rsidRPr="00277727">
        <w:rPr>
          <w:rStyle w:val="hps"/>
        </w:rPr>
        <w:t>egzistuoja du pagrindiniai privalomumo tipai:</w:t>
      </w:r>
    </w:p>
    <w:p w:rsidR="00445C7E" w:rsidRPr="005D738E" w:rsidRDefault="00445C7E" w:rsidP="00946251">
      <w:pPr>
        <w:pStyle w:val="Betarp"/>
        <w:numPr>
          <w:ilvl w:val="0"/>
          <w:numId w:val="16"/>
        </w:numPr>
        <w:tabs>
          <w:tab w:val="left" w:pos="1276"/>
        </w:tabs>
        <w:spacing w:line="360" w:lineRule="auto"/>
        <w:ind w:left="0" w:firstLine="567"/>
        <w:rPr>
          <w:i/>
        </w:rPr>
      </w:pPr>
      <w:r w:rsidRPr="005D738E">
        <w:rPr>
          <w:i/>
        </w:rPr>
        <w:t xml:space="preserve">Privaloma sistema </w:t>
      </w:r>
      <w:r w:rsidRPr="005D738E">
        <w:rPr>
          <w:rStyle w:val="hps"/>
          <w:i/>
        </w:rPr>
        <w:t>(</w:t>
      </w:r>
      <w:r w:rsidRPr="005D738E">
        <w:rPr>
          <w:i/>
        </w:rPr>
        <w:t xml:space="preserve">privaloma </w:t>
      </w:r>
      <w:r w:rsidRPr="005D738E">
        <w:rPr>
          <w:rStyle w:val="hps"/>
          <w:i/>
        </w:rPr>
        <w:t>visiems)</w:t>
      </w:r>
      <w:r w:rsidRPr="005D738E">
        <w:rPr>
          <w:i/>
        </w:rPr>
        <w:t xml:space="preserve"> </w:t>
      </w:r>
      <w:r w:rsidRPr="005D738E">
        <w:rPr>
          <w:rStyle w:val="hps"/>
          <w:i/>
        </w:rPr>
        <w:t>arba pusiau</w:t>
      </w:r>
      <w:r w:rsidRPr="005D738E">
        <w:rPr>
          <w:i/>
        </w:rPr>
        <w:t xml:space="preserve"> </w:t>
      </w:r>
      <w:r w:rsidRPr="005D738E">
        <w:rPr>
          <w:rStyle w:val="hps"/>
          <w:i/>
        </w:rPr>
        <w:t>privaloma sistema</w:t>
      </w:r>
      <w:r w:rsidRPr="005D738E">
        <w:rPr>
          <w:i/>
        </w:rPr>
        <w:t xml:space="preserve"> </w:t>
      </w:r>
      <w:r w:rsidRPr="005D738E">
        <w:rPr>
          <w:rStyle w:val="hps"/>
          <w:i/>
        </w:rPr>
        <w:t>(privaloma</w:t>
      </w:r>
      <w:r w:rsidRPr="005D738E">
        <w:rPr>
          <w:i/>
        </w:rPr>
        <w:t xml:space="preserve"> </w:t>
      </w:r>
      <w:r w:rsidRPr="005D738E">
        <w:rPr>
          <w:rStyle w:val="hps"/>
          <w:i/>
        </w:rPr>
        <w:t>tik kai kuriems</w:t>
      </w:r>
      <w:r w:rsidRPr="005D738E">
        <w:rPr>
          <w:i/>
        </w:rPr>
        <w:t xml:space="preserve">): </w:t>
      </w:r>
      <w:r w:rsidRPr="005D738E">
        <w:t>II pakopos pensijų fondai</w:t>
      </w:r>
      <w:r w:rsidRPr="005D738E">
        <w:rPr>
          <w:i/>
        </w:rPr>
        <w:t xml:space="preserve"> </w:t>
      </w:r>
      <w:r w:rsidRPr="005D738E">
        <w:rPr>
          <w:rStyle w:val="hps"/>
        </w:rPr>
        <w:t>(</w:t>
      </w:r>
      <w:r w:rsidRPr="005D738E">
        <w:t xml:space="preserve">Austrija, Danija, </w:t>
      </w:r>
      <w:r w:rsidRPr="005D738E">
        <w:rPr>
          <w:rStyle w:val="hps"/>
        </w:rPr>
        <w:t>Bulgarija,</w:t>
      </w:r>
      <w:r w:rsidRPr="005D738E">
        <w:t xml:space="preserve"> </w:t>
      </w:r>
      <w:r w:rsidRPr="005D738E">
        <w:rPr>
          <w:rStyle w:val="hps"/>
        </w:rPr>
        <w:t>Estija,</w:t>
      </w:r>
      <w:r w:rsidRPr="005D738E">
        <w:t xml:space="preserve"> </w:t>
      </w:r>
      <w:r w:rsidRPr="005D738E">
        <w:rPr>
          <w:rStyle w:val="hps"/>
        </w:rPr>
        <w:t>Vengrija,</w:t>
      </w:r>
      <w:r w:rsidRPr="005D738E">
        <w:t xml:space="preserve"> </w:t>
      </w:r>
      <w:r w:rsidRPr="005D738E">
        <w:rPr>
          <w:rStyle w:val="hps"/>
        </w:rPr>
        <w:t>Latvija,</w:t>
      </w:r>
      <w:r w:rsidRPr="005D738E">
        <w:t xml:space="preserve"> </w:t>
      </w:r>
      <w:r w:rsidRPr="005D738E">
        <w:rPr>
          <w:rStyle w:val="hps"/>
        </w:rPr>
        <w:t>Lenkija, Slovakija</w:t>
      </w:r>
      <w:r w:rsidRPr="005D738E">
        <w:t xml:space="preserve">, Slovėnija, Švedija) </w:t>
      </w:r>
      <w:r w:rsidRPr="005D738E">
        <w:rPr>
          <w:rStyle w:val="hps"/>
        </w:rPr>
        <w:t>galiausiai</w:t>
      </w:r>
      <w:r w:rsidRPr="005D738E">
        <w:t xml:space="preserve"> </w:t>
      </w:r>
      <w:r w:rsidRPr="005D738E">
        <w:rPr>
          <w:rStyle w:val="hps"/>
        </w:rPr>
        <w:t>bus</w:t>
      </w:r>
      <w:r w:rsidRPr="005D738E">
        <w:t xml:space="preserve"> </w:t>
      </w:r>
      <w:r w:rsidRPr="005D738E">
        <w:rPr>
          <w:rStyle w:val="hps"/>
        </w:rPr>
        <w:t>privalomi visiems, tačiau</w:t>
      </w:r>
      <w:r w:rsidRPr="005D738E">
        <w:t xml:space="preserve"> </w:t>
      </w:r>
      <w:r w:rsidRPr="005D738E">
        <w:rPr>
          <w:rStyle w:val="hps"/>
        </w:rPr>
        <w:t>dėl</w:t>
      </w:r>
      <w:r w:rsidRPr="005D738E">
        <w:t xml:space="preserve"> </w:t>
      </w:r>
      <w:r w:rsidRPr="005D738E">
        <w:rPr>
          <w:rStyle w:val="hps"/>
        </w:rPr>
        <w:t>pereinamojo laikotarpio</w:t>
      </w:r>
      <w:r w:rsidRPr="005D738E">
        <w:t xml:space="preserve"> </w:t>
      </w:r>
      <w:r w:rsidRPr="005D738E">
        <w:rPr>
          <w:rStyle w:val="hps"/>
        </w:rPr>
        <w:t>priemonių</w:t>
      </w:r>
      <w:r w:rsidRPr="005D738E">
        <w:t xml:space="preserve"> dabar yra privalomi daugiausia tik </w:t>
      </w:r>
      <w:r w:rsidRPr="005D738E">
        <w:rPr>
          <w:rStyle w:val="hps"/>
        </w:rPr>
        <w:t>jaunesnio amžiaus gyventojams</w:t>
      </w:r>
      <w:r w:rsidRPr="005D738E">
        <w:t xml:space="preserve"> </w:t>
      </w:r>
      <w:r w:rsidRPr="005D738E">
        <w:rPr>
          <w:rStyle w:val="hps"/>
        </w:rPr>
        <w:t>(išskyrus</w:t>
      </w:r>
      <w:r w:rsidRPr="005D738E">
        <w:t xml:space="preserve"> </w:t>
      </w:r>
      <w:r w:rsidRPr="005D738E">
        <w:rPr>
          <w:rStyle w:val="hps"/>
        </w:rPr>
        <w:t>Daniją ir Švediją</w:t>
      </w:r>
      <w:r w:rsidRPr="005D738E">
        <w:t xml:space="preserve">). </w:t>
      </w:r>
      <w:r w:rsidRPr="005D738E">
        <w:rPr>
          <w:lang w:eastAsia="lt-LT"/>
        </w:rPr>
        <w:t xml:space="preserve">Pavyzdžiui, Latvijoje pensijų sistema yra privaloma asmenims, jaunesniems nei 30 metų amžiaus, ir savanoriška asmenims nuo 30 iki 49 metų amžiaus. </w:t>
      </w:r>
      <w:r w:rsidR="0043795E">
        <w:rPr>
          <w:lang w:eastAsia="lt-LT"/>
        </w:rPr>
        <w:t>Tokiu būdu, praėjus tam tikram laikui ir pasitraukus savanoriškai dalyvaujantie</w:t>
      </w:r>
      <w:r w:rsidR="00F30039">
        <w:rPr>
          <w:lang w:eastAsia="lt-LT"/>
        </w:rPr>
        <w:t>ms pensijų fonduose, sistema tap</w:t>
      </w:r>
      <w:r w:rsidR="0043795E">
        <w:rPr>
          <w:lang w:eastAsia="lt-LT"/>
        </w:rPr>
        <w:t xml:space="preserve">s privaloma visiems. </w:t>
      </w:r>
      <w:r w:rsidRPr="005D738E">
        <w:t xml:space="preserve">Aukštas privalomumo lygis - privaloma arba pusiau privaloma sistema - užtikrina, kad darbuotojai, esantys tam tikroje amžiaus grupėje, pradeda mokėti įmokas į pensijų schemas. </w:t>
      </w:r>
    </w:p>
    <w:p w:rsidR="00445C7E" w:rsidRDefault="00445C7E" w:rsidP="00946251">
      <w:pPr>
        <w:pStyle w:val="Betarp"/>
        <w:numPr>
          <w:ilvl w:val="0"/>
          <w:numId w:val="16"/>
        </w:numPr>
        <w:tabs>
          <w:tab w:val="left" w:pos="1276"/>
        </w:tabs>
        <w:spacing w:line="360" w:lineRule="auto"/>
        <w:ind w:left="0" w:firstLine="567"/>
      </w:pPr>
      <w:r w:rsidRPr="005D738E">
        <w:rPr>
          <w:i/>
        </w:rPr>
        <w:t xml:space="preserve">Švelnesnė privalomumo forma </w:t>
      </w:r>
      <w:r w:rsidRPr="005D738E">
        <w:rPr>
          <w:rStyle w:val="hps"/>
          <w:i/>
        </w:rPr>
        <w:t>(</w:t>
      </w:r>
      <w:r w:rsidRPr="005D738E">
        <w:rPr>
          <w:i/>
        </w:rPr>
        <w:t>siū</w:t>
      </w:r>
      <w:r w:rsidRPr="005D738E">
        <w:rPr>
          <w:rStyle w:val="hps"/>
          <w:i/>
        </w:rPr>
        <w:t>lo</w:t>
      </w:r>
      <w:r w:rsidRPr="005D738E">
        <w:rPr>
          <w:i/>
        </w:rPr>
        <w:t xml:space="preserve"> </w:t>
      </w:r>
      <w:r w:rsidRPr="005D738E">
        <w:rPr>
          <w:rStyle w:val="hps"/>
          <w:i/>
        </w:rPr>
        <w:t>pasirinkimą</w:t>
      </w:r>
      <w:r w:rsidRPr="005D738E">
        <w:rPr>
          <w:i/>
        </w:rPr>
        <w:t>):</w:t>
      </w:r>
      <w:r w:rsidRPr="005D738E">
        <w:t xml:space="preserve"> tai </w:t>
      </w:r>
      <w:r w:rsidRPr="005D738E">
        <w:rPr>
          <w:rStyle w:val="hps"/>
        </w:rPr>
        <w:t>gali</w:t>
      </w:r>
      <w:r w:rsidRPr="005D738E">
        <w:t xml:space="preserve"> </w:t>
      </w:r>
      <w:r w:rsidRPr="005D738E">
        <w:rPr>
          <w:rStyle w:val="hps"/>
        </w:rPr>
        <w:t>būti automatiškas</w:t>
      </w:r>
      <w:r w:rsidRPr="005D738E">
        <w:t xml:space="preserve"> </w:t>
      </w:r>
      <w:r w:rsidRPr="005D738E">
        <w:rPr>
          <w:rStyle w:val="hps"/>
        </w:rPr>
        <w:t>įtraukimas į sistemą, numatant galimybę jos</w:t>
      </w:r>
      <w:r w:rsidRPr="005D738E">
        <w:t xml:space="preserve"> </w:t>
      </w:r>
      <w:r w:rsidRPr="005D738E">
        <w:rPr>
          <w:rStyle w:val="hps"/>
        </w:rPr>
        <w:t>atsisakyti</w:t>
      </w:r>
      <w:r w:rsidRPr="005D738E">
        <w:t xml:space="preserve"> </w:t>
      </w:r>
      <w:r w:rsidRPr="005D738E">
        <w:rPr>
          <w:rStyle w:val="hps"/>
        </w:rPr>
        <w:t>(taikoma, pavyzdžiui, Italijoje</w:t>
      </w:r>
      <w:r w:rsidRPr="005D738E">
        <w:t xml:space="preserve">) </w:t>
      </w:r>
      <w:r w:rsidRPr="005D738E">
        <w:rPr>
          <w:rStyle w:val="hps"/>
        </w:rPr>
        <w:t>arba prisijungimas</w:t>
      </w:r>
      <w:r w:rsidRPr="005D738E">
        <w:t xml:space="preserve"> </w:t>
      </w:r>
      <w:r w:rsidRPr="005D738E">
        <w:rPr>
          <w:rStyle w:val="hps"/>
        </w:rPr>
        <w:t>be</w:t>
      </w:r>
      <w:r w:rsidRPr="005D738E">
        <w:t xml:space="preserve"> </w:t>
      </w:r>
      <w:r w:rsidRPr="005D738E">
        <w:rPr>
          <w:rStyle w:val="hps"/>
        </w:rPr>
        <w:t>galimybės pasišalinti kaip</w:t>
      </w:r>
      <w:r w:rsidRPr="005D738E">
        <w:t xml:space="preserve"> </w:t>
      </w:r>
      <w:r w:rsidRPr="005D738E">
        <w:rPr>
          <w:rStyle w:val="hps"/>
        </w:rPr>
        <w:t>taikoma Lietuvoje, t.y. s</w:t>
      </w:r>
      <w:r w:rsidRPr="005D738E">
        <w:t>uteikiama asmenims galimybė kaupti II pakopos pensijų fonduose dalį jų mokamų valstybinio socialinio draudimo įmokų, tačiau prisijungus prie šios schemos, jis negali pasitraukti. Remiantis PKĮ 6 straipsniu</w:t>
      </w:r>
      <w:r w:rsidRPr="005D738E">
        <w:rPr>
          <w:rStyle w:val="Puslapioinaosnuoroda"/>
        </w:rPr>
        <w:footnoteReference w:id="103"/>
      </w:r>
      <w:r w:rsidRPr="005D738E">
        <w:t xml:space="preserve"> jam suteikiama galimybė tik pereiti į kitą pensijų fondą valdomą tos pačios ar kitos pensijų kaupimo bendrovės.</w:t>
      </w:r>
    </w:p>
    <w:p w:rsidR="00445C7E" w:rsidRDefault="00445C7E" w:rsidP="00946251">
      <w:pPr>
        <w:pStyle w:val="Betarp"/>
        <w:numPr>
          <w:ilvl w:val="0"/>
          <w:numId w:val="16"/>
        </w:numPr>
        <w:tabs>
          <w:tab w:val="left" w:pos="1276"/>
        </w:tabs>
        <w:spacing w:line="360" w:lineRule="auto"/>
        <w:ind w:left="0" w:firstLine="567"/>
      </w:pPr>
      <w:r w:rsidRPr="005D738E">
        <w:rPr>
          <w:i/>
        </w:rPr>
        <w:t xml:space="preserve">Narystė </w:t>
      </w:r>
      <w:r w:rsidR="00F30039">
        <w:rPr>
          <w:i/>
        </w:rPr>
        <w:t xml:space="preserve">privačiuose pensijų fonduose </w:t>
      </w:r>
      <w:r w:rsidRPr="005D738E">
        <w:rPr>
          <w:rStyle w:val="hps"/>
          <w:i/>
        </w:rPr>
        <w:t>taip pat gali</w:t>
      </w:r>
      <w:r w:rsidRPr="005D738E">
        <w:rPr>
          <w:i/>
        </w:rPr>
        <w:t xml:space="preserve"> </w:t>
      </w:r>
      <w:r w:rsidRPr="005D738E">
        <w:rPr>
          <w:rStyle w:val="hps"/>
          <w:i/>
        </w:rPr>
        <w:t xml:space="preserve">būti </w:t>
      </w:r>
      <w:r>
        <w:rPr>
          <w:rStyle w:val="hps"/>
          <w:i/>
        </w:rPr>
        <w:t xml:space="preserve">visiškai </w:t>
      </w:r>
      <w:r w:rsidRPr="005D738E">
        <w:rPr>
          <w:rStyle w:val="hps"/>
          <w:i/>
        </w:rPr>
        <w:t>savanoriška</w:t>
      </w:r>
      <w:r w:rsidRPr="005D738E">
        <w:rPr>
          <w:i/>
        </w:rPr>
        <w:t>, pasirenkama individualiai</w:t>
      </w:r>
      <w:r>
        <w:t>.</w:t>
      </w:r>
    </w:p>
    <w:p w:rsidR="00445C7E" w:rsidRDefault="00445C7E" w:rsidP="00946251">
      <w:pPr>
        <w:pStyle w:val="Betarp"/>
        <w:tabs>
          <w:tab w:val="left" w:pos="567"/>
        </w:tabs>
        <w:spacing w:line="360" w:lineRule="auto"/>
        <w:ind w:firstLine="567"/>
      </w:pPr>
      <w:r w:rsidRPr="00C225A3">
        <w:t xml:space="preserve">Lietuvoje </w:t>
      </w:r>
      <w:r>
        <w:t xml:space="preserve">paliekam savanoriška teisė apsispręsti, ar asmuo nori </w:t>
      </w:r>
      <w:r w:rsidRPr="00C225A3">
        <w:t>dalyva</w:t>
      </w:r>
      <w:r>
        <w:t>uti pensijų fondų</w:t>
      </w:r>
      <w:r w:rsidRPr="00C225A3">
        <w:t xml:space="preserve"> </w:t>
      </w:r>
      <w:r>
        <w:t>veikloje</w:t>
      </w:r>
      <w:r w:rsidRPr="00C225A3">
        <w:t xml:space="preserve">, nors būta siūlymų įvesti privalomą dalyvavimą, tuo tikslu padidinti dabartinių kaupiamųjų fondų </w:t>
      </w:r>
      <w:r w:rsidRPr="00C225A3">
        <w:lastRenderedPageBreak/>
        <w:t xml:space="preserve">portfelį, nes maži fondai veikia neefektyviai. Tačiau yra nuomonių, kad priverstinis esamos pensijų sistemos privatizavimas yra nepriimtinas. Privalomojo dalyvavimo privačiuose pensijų fonduose įvedimas reikštų dalies socialinio draudimo senatvės pensijų </w:t>
      </w:r>
      <w:r>
        <w:t xml:space="preserve">privalomą </w:t>
      </w:r>
      <w:r w:rsidRPr="00C225A3">
        <w:t>privatizavimą. Dalis senatvės pensijoms finansuoti skiriamų socialinio draudimo įmokų būtų paimta iš “Sodros” ir atiduota privatiems pelno siekiantiems fondams.</w:t>
      </w:r>
      <w:r w:rsidR="001A29BD">
        <w:rPr>
          <w:rStyle w:val="Puslapioinaosnuoroda"/>
        </w:rPr>
        <w:footnoteReference w:id="104"/>
      </w:r>
    </w:p>
    <w:p w:rsidR="00445C7E" w:rsidRDefault="00445C7E" w:rsidP="00946251">
      <w:pPr>
        <w:pStyle w:val="Betarp"/>
        <w:tabs>
          <w:tab w:val="left" w:pos="567"/>
        </w:tabs>
        <w:spacing w:line="360" w:lineRule="auto"/>
        <w:ind w:firstLine="567"/>
      </w:pPr>
      <w:r>
        <w:t>Apibendrinant</w:t>
      </w:r>
      <w:r w:rsidR="00486465">
        <w:t xml:space="preserve"> galima būtų pasakyti</w:t>
      </w:r>
      <w:r>
        <w:t>,</w:t>
      </w:r>
      <w:r w:rsidR="00486465">
        <w:t xml:space="preserve"> kad</w:t>
      </w:r>
      <w:r>
        <w:t xml:space="preserve"> </w:t>
      </w:r>
      <w:r w:rsidRPr="00EC4418">
        <w:t>privalomas ar savanoriškas dalyvavimas taip pat turi įtakos II pakopos pensijų fondų investavimo teisiniam reguliavimui.</w:t>
      </w:r>
      <w:r>
        <w:t xml:space="preserve"> Nors Lietuvoje palikta apsisprendimo laisvė pradėti kaupti dalį VSD įmokų ar likti socialinio draudimo schemoje, tačiau įstatyme įtvirtintu reguliavimu atimama galimybė pasitraukti iš kaupimo II pakopos pensijų fonduose sistemos. Atsižvelgiant į tai, valstybė turėtų prisiimti atsakomybę ir užtikrinti tam tikras garantijas pensijų kaupimo dalyviams.</w:t>
      </w:r>
    </w:p>
    <w:p w:rsidR="00445C7E" w:rsidRDefault="00445C7E" w:rsidP="00B44EC4">
      <w:pPr>
        <w:pStyle w:val="Betarp"/>
        <w:spacing w:line="360" w:lineRule="auto"/>
        <w:ind w:firstLine="567"/>
        <w:jc w:val="center"/>
        <w:rPr>
          <w:b/>
        </w:rPr>
      </w:pPr>
      <w:r w:rsidRPr="00EC4418">
        <w:rPr>
          <w:b/>
        </w:rPr>
        <w:br w:type="page"/>
      </w:r>
    </w:p>
    <w:p w:rsidR="00445C7E" w:rsidRDefault="00445C7E" w:rsidP="00E95826">
      <w:pPr>
        <w:pStyle w:val="Betarp"/>
        <w:spacing w:line="360" w:lineRule="auto"/>
        <w:ind w:firstLine="567"/>
        <w:jc w:val="center"/>
        <w:rPr>
          <w:b/>
          <w:sz w:val="28"/>
          <w:szCs w:val="28"/>
        </w:rPr>
      </w:pPr>
    </w:p>
    <w:p w:rsidR="00445C7E" w:rsidRPr="001554F2" w:rsidRDefault="00445C7E" w:rsidP="001554F2">
      <w:pPr>
        <w:pStyle w:val="Betarp"/>
        <w:spacing w:line="360" w:lineRule="auto"/>
        <w:ind w:firstLine="0"/>
        <w:jc w:val="center"/>
        <w:rPr>
          <w:b/>
          <w:sz w:val="28"/>
          <w:szCs w:val="28"/>
        </w:rPr>
      </w:pPr>
      <w:r w:rsidRPr="001554F2">
        <w:rPr>
          <w:b/>
          <w:sz w:val="28"/>
          <w:szCs w:val="28"/>
        </w:rPr>
        <w:t xml:space="preserve">3. </w:t>
      </w:r>
      <w:r w:rsidRPr="001554F2">
        <w:rPr>
          <w:b/>
          <w:sz w:val="28"/>
          <w:szCs w:val="28"/>
          <w:lang w:val="es-ES" w:eastAsia="lt-LT"/>
        </w:rPr>
        <w:t>II PAKOPOS PENSIJ</w:t>
      </w:r>
      <w:r w:rsidRPr="001554F2">
        <w:rPr>
          <w:b/>
          <w:sz w:val="28"/>
          <w:szCs w:val="28"/>
          <w:lang w:eastAsia="lt-LT"/>
        </w:rPr>
        <w:t>Ų FONDŲ INVESTAVIMO TEISI</w:t>
      </w:r>
      <w:r>
        <w:rPr>
          <w:b/>
          <w:sz w:val="28"/>
          <w:szCs w:val="28"/>
          <w:lang w:eastAsia="lt-LT"/>
        </w:rPr>
        <w:t>NIO REGULIAVIMO LIETUVOJE YPATUM</w:t>
      </w:r>
      <w:r w:rsidRPr="001554F2">
        <w:rPr>
          <w:b/>
          <w:sz w:val="28"/>
          <w:szCs w:val="28"/>
          <w:lang w:eastAsia="lt-LT"/>
        </w:rPr>
        <w:t>AI BEI PROBLEMOS</w:t>
      </w:r>
    </w:p>
    <w:p w:rsidR="00445C7E" w:rsidRPr="008601FA" w:rsidRDefault="00445C7E" w:rsidP="00E95826">
      <w:pPr>
        <w:pStyle w:val="Betarp"/>
        <w:spacing w:line="360" w:lineRule="auto"/>
        <w:ind w:firstLine="567"/>
        <w:jc w:val="center"/>
        <w:rPr>
          <w:b/>
        </w:rPr>
      </w:pPr>
    </w:p>
    <w:p w:rsidR="00445C7E" w:rsidRPr="0073358C" w:rsidRDefault="00445C7E" w:rsidP="00863DC9">
      <w:pPr>
        <w:pStyle w:val="Betarp"/>
        <w:spacing w:line="360" w:lineRule="auto"/>
        <w:ind w:firstLine="567"/>
        <w:rPr>
          <w:b/>
        </w:rPr>
      </w:pPr>
      <w:r w:rsidRPr="0073358C">
        <w:rPr>
          <w:b/>
        </w:rPr>
        <w:t>3.1. Europos Sąjungos teisės aktų nuostatos</w:t>
      </w:r>
    </w:p>
    <w:p w:rsidR="00445C7E" w:rsidRDefault="00445C7E" w:rsidP="00863DC9">
      <w:pPr>
        <w:pStyle w:val="Betarp"/>
        <w:spacing w:line="360" w:lineRule="auto"/>
        <w:ind w:firstLine="567"/>
        <w:rPr>
          <w:b/>
        </w:rPr>
      </w:pPr>
    </w:p>
    <w:p w:rsidR="00445C7E" w:rsidRDefault="0017722B" w:rsidP="00F8190B">
      <w:pPr>
        <w:pStyle w:val="Betarp"/>
        <w:spacing w:line="360" w:lineRule="auto"/>
        <w:ind w:firstLine="567"/>
      </w:pPr>
      <w:r>
        <w:t xml:space="preserve">Nors socialinė politika yra įvardijama kaip </w:t>
      </w:r>
      <w:r w:rsidR="00445C7E" w:rsidRPr="00F8190B">
        <w:t>viena iš ES politikos krypčių, tačiau jos t</w:t>
      </w:r>
      <w:r>
        <w:t>urinys</w:t>
      </w:r>
      <w:r w:rsidR="00445C7E" w:rsidRPr="00F8190B">
        <w:t xml:space="preserve">, skirtingai nuo nacionalinių valstybių lygmens, </w:t>
      </w:r>
      <w:r>
        <w:t>apima ne tiek lėšų perskirstymą</w:t>
      </w:r>
      <w:r w:rsidR="00445C7E" w:rsidRPr="00F8190B">
        <w:t xml:space="preserve"> soci</w:t>
      </w:r>
      <w:r>
        <w:t>alinėms reikmėms, kiek socialinį reguliavimą</w:t>
      </w:r>
      <w:r w:rsidR="00445C7E" w:rsidRPr="00F8190B">
        <w:t xml:space="preserve"> tų sričių, </w:t>
      </w:r>
      <w:r>
        <w:t xml:space="preserve">kurios yra susijusios su bendrosios rinkos veikimu, o būtent: </w:t>
      </w:r>
      <w:r w:rsidR="00445C7E" w:rsidRPr="00F8190B">
        <w:t>darbo teisė, darbų saugos reikalavimai, sociali</w:t>
      </w:r>
      <w:r>
        <w:t xml:space="preserve">nės darbuotojų migrantų teisės ir kt. </w:t>
      </w:r>
      <w:r w:rsidR="00445C7E" w:rsidRPr="00F8190B">
        <w:t xml:space="preserve">ES nėra perėmusi socialinių valstybės funkcijų, </w:t>
      </w:r>
      <w:r>
        <w:t xml:space="preserve">kurios būdingos daugeliui valstybių, t.y. </w:t>
      </w:r>
      <w:r w:rsidR="00445C7E" w:rsidRPr="00F8190B">
        <w:t xml:space="preserve">lėšų perskirstymo, kuris paprastai </w:t>
      </w:r>
      <w:r>
        <w:t xml:space="preserve">yra </w:t>
      </w:r>
      <w:r w:rsidR="00445C7E" w:rsidRPr="00F8190B">
        <w:t xml:space="preserve">pateisinamas socialiniu teisingumu ir solidarumu. </w:t>
      </w:r>
      <w:r>
        <w:t xml:space="preserve">Kadangi </w:t>
      </w:r>
      <w:r w:rsidR="00445C7E" w:rsidRPr="00F8190B">
        <w:t xml:space="preserve">ES neturi </w:t>
      </w:r>
      <w:r w:rsidR="00445C7E" w:rsidRPr="00D73ABB">
        <w:t xml:space="preserve">galimybės imtis </w:t>
      </w:r>
      <w:r>
        <w:t>atskiroms</w:t>
      </w:r>
      <w:r w:rsidR="00445C7E" w:rsidRPr="00D73ABB">
        <w:t xml:space="preserve"> valstybėms būdingos perskirstymo politikos, j</w:t>
      </w:r>
      <w:r>
        <w:t>os socialinė politika orientuojasi</w:t>
      </w:r>
      <w:r w:rsidR="00445C7E" w:rsidRPr="00D73ABB">
        <w:t xml:space="preserve"> į bendrų valstybėms narėms socialinio reguliavimo taisyklių, kurias paskui įgyvendina rinkos veikėjai ir nacionalinės vyriausybės, parengimą ir priėmimą.</w:t>
      </w:r>
      <w:r w:rsidR="00445C7E" w:rsidRPr="00D73ABB">
        <w:rPr>
          <w:rStyle w:val="Puslapioinaosnuoroda"/>
        </w:rPr>
        <w:footnoteReference w:id="105"/>
      </w:r>
      <w:r w:rsidR="00445C7E" w:rsidRPr="00D73ABB">
        <w:t xml:space="preserve"> </w:t>
      </w:r>
    </w:p>
    <w:p w:rsidR="00445C7E" w:rsidRPr="00B04AC5" w:rsidRDefault="00445C7E" w:rsidP="00F8190B">
      <w:pPr>
        <w:pStyle w:val="Betarp"/>
        <w:spacing w:line="360" w:lineRule="auto"/>
        <w:ind w:firstLine="567"/>
      </w:pPr>
      <w:r w:rsidRPr="00B04AC5">
        <w:t xml:space="preserve">II pakopos pensijų fondai vaidina </w:t>
      </w:r>
      <w:r w:rsidRPr="00B04AC5">
        <w:rPr>
          <w:rStyle w:val="hps"/>
        </w:rPr>
        <w:t>vis svarbesnį vaidmenį</w:t>
      </w:r>
      <w:r w:rsidRPr="00B04AC5">
        <w:t xml:space="preserve"> </w:t>
      </w:r>
      <w:r w:rsidRPr="00B04AC5">
        <w:rPr>
          <w:rStyle w:val="hps"/>
        </w:rPr>
        <w:t>visose trijose pensijų sistemos pakopose</w:t>
      </w:r>
      <w:r w:rsidRPr="00B04AC5">
        <w:t xml:space="preserve">. Privačiai </w:t>
      </w:r>
      <w:r w:rsidRPr="00B04AC5">
        <w:rPr>
          <w:rStyle w:val="hps"/>
        </w:rPr>
        <w:t>valdomų</w:t>
      </w:r>
      <w:r w:rsidRPr="00B04AC5">
        <w:t xml:space="preserve"> </w:t>
      </w:r>
      <w:r w:rsidRPr="00B04AC5">
        <w:rPr>
          <w:rStyle w:val="hps"/>
        </w:rPr>
        <w:t>sistemų</w:t>
      </w:r>
      <w:r w:rsidRPr="00B04AC5">
        <w:t xml:space="preserve"> </w:t>
      </w:r>
      <w:r w:rsidRPr="00B04AC5">
        <w:rPr>
          <w:rStyle w:val="hps"/>
        </w:rPr>
        <w:t>vystymas taip pat</w:t>
      </w:r>
      <w:r w:rsidRPr="00B04AC5">
        <w:t xml:space="preserve"> </w:t>
      </w:r>
      <w:r w:rsidRPr="00B04AC5">
        <w:rPr>
          <w:rStyle w:val="hps"/>
        </w:rPr>
        <w:t>reikalauja</w:t>
      </w:r>
      <w:r w:rsidRPr="00B04AC5">
        <w:t xml:space="preserve"> nustatyti </w:t>
      </w:r>
      <w:r w:rsidRPr="00B04AC5">
        <w:rPr>
          <w:rStyle w:val="hps"/>
        </w:rPr>
        <w:t xml:space="preserve">atitinkamus reikalavimus. Specialių ES norminių teisės aktų reglamentuojančių pensijų fondų, finansuojamų </w:t>
      </w:r>
      <w:r w:rsidRPr="006C3188">
        <w:rPr>
          <w:rStyle w:val="hps"/>
        </w:rPr>
        <w:t>VDS įmokomis</w:t>
      </w:r>
      <w:r>
        <w:rPr>
          <w:rStyle w:val="hps"/>
        </w:rPr>
        <w:t>, veiklą</w:t>
      </w:r>
      <w:r w:rsidRPr="006C3188">
        <w:rPr>
          <w:rStyle w:val="hps"/>
        </w:rPr>
        <w:t xml:space="preserve"> nėra. </w:t>
      </w:r>
      <w:r w:rsidRPr="006C3188">
        <w:t xml:space="preserve">Šių pensijų fondų veiklą reglamentuoja </w:t>
      </w:r>
      <w:r w:rsidRPr="006C3188">
        <w:rPr>
          <w:rStyle w:val="hps"/>
        </w:rPr>
        <w:t>nacionaliniai teisės aktai.</w:t>
      </w:r>
      <w:r w:rsidR="00253A6C">
        <w:rPr>
          <w:rStyle w:val="Puslapioinaosnuoroda"/>
        </w:rPr>
        <w:footnoteReference w:id="106"/>
      </w:r>
      <w:r w:rsidRPr="00B04AC5">
        <w:t xml:space="preserve"> </w:t>
      </w:r>
      <w:r w:rsidR="00522232" w:rsidRPr="00B04AC5">
        <w:rPr>
          <w:rStyle w:val="hps"/>
        </w:rPr>
        <w:t>Pastarieji</w:t>
      </w:r>
      <w:r w:rsidRPr="00B04AC5">
        <w:t xml:space="preserve"> </w:t>
      </w:r>
      <w:r w:rsidRPr="00B04AC5">
        <w:rPr>
          <w:rStyle w:val="hps"/>
        </w:rPr>
        <w:t>dažnai</w:t>
      </w:r>
      <w:r w:rsidRPr="00B04AC5">
        <w:t xml:space="preserve"> </w:t>
      </w:r>
      <w:r w:rsidRPr="00B04AC5">
        <w:rPr>
          <w:rStyle w:val="hps"/>
        </w:rPr>
        <w:t>apriboja</w:t>
      </w:r>
      <w:r w:rsidRPr="00B04AC5">
        <w:t xml:space="preserve"> </w:t>
      </w:r>
      <w:r w:rsidRPr="00B04AC5">
        <w:rPr>
          <w:rStyle w:val="hps"/>
        </w:rPr>
        <w:t>tokių</w:t>
      </w:r>
      <w:r w:rsidRPr="00B04AC5">
        <w:t xml:space="preserve"> </w:t>
      </w:r>
      <w:r w:rsidRPr="00B04AC5">
        <w:rPr>
          <w:rStyle w:val="hps"/>
        </w:rPr>
        <w:t>pensijų kaupimo sistemų</w:t>
      </w:r>
      <w:r w:rsidRPr="00B04AC5">
        <w:t xml:space="preserve"> </w:t>
      </w:r>
      <w:r w:rsidRPr="00B04AC5">
        <w:rPr>
          <w:rStyle w:val="hps"/>
        </w:rPr>
        <w:t>investicinę veiklą</w:t>
      </w:r>
      <w:r w:rsidRPr="00B04AC5">
        <w:t xml:space="preserve">. </w:t>
      </w:r>
      <w:r w:rsidRPr="00B04AC5">
        <w:rPr>
          <w:rStyle w:val="hps"/>
        </w:rPr>
        <w:t>Apribojimai</w:t>
      </w:r>
      <w:r w:rsidRPr="00B04AC5">
        <w:t xml:space="preserve"> </w:t>
      </w:r>
      <w:r w:rsidRPr="00B04AC5">
        <w:rPr>
          <w:rStyle w:val="hps"/>
        </w:rPr>
        <w:t>nustato kiekybines investicijų ribas, taikomas</w:t>
      </w:r>
      <w:r w:rsidRPr="00B04AC5">
        <w:t xml:space="preserve"> </w:t>
      </w:r>
      <w:r w:rsidRPr="00B04AC5">
        <w:rPr>
          <w:rStyle w:val="hps"/>
        </w:rPr>
        <w:t>skirtingoms lėšų klasėms bei</w:t>
      </w:r>
      <w:r w:rsidRPr="00B04AC5">
        <w:t xml:space="preserve"> </w:t>
      </w:r>
      <w:r w:rsidRPr="00B04AC5">
        <w:rPr>
          <w:rStyle w:val="hps"/>
        </w:rPr>
        <w:t>tarptautinio</w:t>
      </w:r>
      <w:r w:rsidRPr="00B04AC5">
        <w:t xml:space="preserve"> </w:t>
      </w:r>
      <w:r w:rsidRPr="00B04AC5">
        <w:rPr>
          <w:rStyle w:val="hps"/>
        </w:rPr>
        <w:t>portfelio diversifikacijai.</w:t>
      </w:r>
      <w:r w:rsidRPr="00B04AC5">
        <w:t xml:space="preserve"> </w:t>
      </w:r>
    </w:p>
    <w:p w:rsidR="00445C7E" w:rsidRPr="006C3188" w:rsidRDefault="00445C7E" w:rsidP="006C3188">
      <w:pPr>
        <w:pStyle w:val="Betarp"/>
        <w:spacing w:line="360" w:lineRule="auto"/>
        <w:ind w:firstLine="567"/>
      </w:pPr>
      <w:r w:rsidRPr="00B04AC5">
        <w:t>ES teisės aktuose yra išskiriamas tik bendras reikalavimas dėl laisvo asmenų</w:t>
      </w:r>
      <w:r w:rsidRPr="006C3188">
        <w:t xml:space="preserve">, paslaugų ir kapitalo judėjimo. Konsoliduotos Europos Bendrijos Steigimo sutarties (toliau – Sutartis) </w:t>
      </w:r>
      <w:r w:rsidRPr="006C3188">
        <w:rPr>
          <w:rStyle w:val="hps"/>
        </w:rPr>
        <w:t>56 straipsnio 1 dalis</w:t>
      </w:r>
      <w:r w:rsidRPr="006C3188">
        <w:rPr>
          <w:rStyle w:val="Puslapioinaosnuoroda"/>
        </w:rPr>
        <w:footnoteReference w:id="107"/>
      </w:r>
      <w:r w:rsidRPr="006C3188">
        <w:t xml:space="preserve"> </w:t>
      </w:r>
      <w:r w:rsidRPr="006C3188">
        <w:rPr>
          <w:rStyle w:val="hps"/>
        </w:rPr>
        <w:t>užtikrina</w:t>
      </w:r>
      <w:r w:rsidRPr="006C3188">
        <w:t xml:space="preserve"> </w:t>
      </w:r>
      <w:r w:rsidRPr="006C3188">
        <w:rPr>
          <w:rStyle w:val="hps"/>
        </w:rPr>
        <w:t>pagrindinį</w:t>
      </w:r>
      <w:r w:rsidRPr="006C3188">
        <w:t xml:space="preserve"> </w:t>
      </w:r>
      <w:r w:rsidRPr="006C3188">
        <w:rPr>
          <w:rStyle w:val="hps"/>
        </w:rPr>
        <w:t>kapitalo</w:t>
      </w:r>
      <w:r w:rsidRPr="006C3188">
        <w:t xml:space="preserve"> laisvo judėjimo principą </w:t>
      </w:r>
      <w:r w:rsidRPr="006C3188">
        <w:rPr>
          <w:rStyle w:val="hps"/>
        </w:rPr>
        <w:t>uždraudžiant visus kapitalo judėjimo</w:t>
      </w:r>
      <w:r w:rsidRPr="006C3188">
        <w:t xml:space="preserve"> </w:t>
      </w:r>
      <w:r w:rsidRPr="006C3188">
        <w:rPr>
          <w:rStyle w:val="hps"/>
        </w:rPr>
        <w:t>apribojimus</w:t>
      </w:r>
      <w:r w:rsidRPr="006C3188">
        <w:t xml:space="preserve"> </w:t>
      </w:r>
      <w:r w:rsidRPr="006C3188">
        <w:rPr>
          <w:rStyle w:val="hps"/>
        </w:rPr>
        <w:t>tarp</w:t>
      </w:r>
      <w:r w:rsidRPr="006C3188">
        <w:t xml:space="preserve"> </w:t>
      </w:r>
      <w:r w:rsidRPr="006C3188">
        <w:rPr>
          <w:rStyle w:val="hps"/>
        </w:rPr>
        <w:t>valstybių narių</w:t>
      </w:r>
      <w:r w:rsidRPr="006C3188">
        <w:t xml:space="preserve"> bei </w:t>
      </w:r>
      <w:r w:rsidRPr="006C3188">
        <w:rPr>
          <w:rStyle w:val="hps"/>
        </w:rPr>
        <w:t>tarp valstybių</w:t>
      </w:r>
      <w:r w:rsidRPr="006C3188">
        <w:t xml:space="preserve"> </w:t>
      </w:r>
      <w:r w:rsidRPr="006C3188">
        <w:rPr>
          <w:rStyle w:val="hps"/>
        </w:rPr>
        <w:t>narių ir trečiųjų šalių</w:t>
      </w:r>
      <w:r w:rsidRPr="006C3188">
        <w:t xml:space="preserve">. Nors </w:t>
      </w:r>
      <w:r w:rsidRPr="006C3188">
        <w:rPr>
          <w:rStyle w:val="hps"/>
        </w:rPr>
        <w:t>Sutartis neapibrėžia „</w:t>
      </w:r>
      <w:r w:rsidRPr="006C3188">
        <w:t xml:space="preserve">kapitalo judėjimo“ sąvokos, </w:t>
      </w:r>
      <w:r w:rsidR="00283960">
        <w:t>tačiau šiuo klausimu yra t</w:t>
      </w:r>
      <w:r w:rsidRPr="006C3188">
        <w:t xml:space="preserve">aikomas Europos Bendrijų Tarybos direktyvos </w:t>
      </w:r>
      <w:r w:rsidRPr="006C3188">
        <w:rPr>
          <w:rStyle w:val="hps"/>
        </w:rPr>
        <w:t xml:space="preserve">88/361/EEB </w:t>
      </w:r>
      <w:r w:rsidRPr="006C3188">
        <w:t xml:space="preserve">dėl Sutarties 67 straipsnio </w:t>
      </w:r>
      <w:r w:rsidRPr="00490651">
        <w:t>įgyvendinimo</w:t>
      </w:r>
      <w:r w:rsidR="00283960" w:rsidRPr="00490651">
        <w:t xml:space="preserve"> </w:t>
      </w:r>
      <w:r w:rsidRPr="00490651">
        <w:rPr>
          <w:rStyle w:val="hps"/>
        </w:rPr>
        <w:t>1</w:t>
      </w:r>
      <w:r w:rsidRPr="00490651">
        <w:t xml:space="preserve"> </w:t>
      </w:r>
      <w:r w:rsidRPr="00490651">
        <w:rPr>
          <w:rStyle w:val="hps"/>
        </w:rPr>
        <w:t>priedas</w:t>
      </w:r>
      <w:r w:rsidR="00283960" w:rsidRPr="00490651">
        <w:rPr>
          <w:rStyle w:val="Puslapioinaosnuoroda"/>
        </w:rPr>
        <w:footnoteReference w:id="108"/>
      </w:r>
      <w:r w:rsidR="00283960" w:rsidRPr="00490651">
        <w:t xml:space="preserve"> </w:t>
      </w:r>
      <w:r w:rsidRPr="00490651">
        <w:rPr>
          <w:rStyle w:val="hps"/>
        </w:rPr>
        <w:t>(</w:t>
      </w:r>
      <w:r w:rsidRPr="00490651">
        <w:t xml:space="preserve">iš pradžių </w:t>
      </w:r>
      <w:r w:rsidRPr="00490651">
        <w:rPr>
          <w:rStyle w:val="hps"/>
        </w:rPr>
        <w:t>įgyvendinęs</w:t>
      </w:r>
      <w:r w:rsidRPr="00490651">
        <w:t xml:space="preserve"> </w:t>
      </w:r>
      <w:r w:rsidRPr="00490651">
        <w:rPr>
          <w:rStyle w:val="hps"/>
        </w:rPr>
        <w:t>56 straipsnį</w:t>
      </w:r>
      <w:r w:rsidRPr="00490651">
        <w:t xml:space="preserve">), kuris nustato, kas </w:t>
      </w:r>
      <w:r w:rsidRPr="00490651">
        <w:rPr>
          <w:rStyle w:val="hps"/>
        </w:rPr>
        <w:t>yra</w:t>
      </w:r>
      <w:r w:rsidRPr="00490651">
        <w:t xml:space="preserve"> </w:t>
      </w:r>
      <w:r w:rsidRPr="00490651">
        <w:rPr>
          <w:rStyle w:val="hps"/>
        </w:rPr>
        <w:t>kapitalo judėjimas</w:t>
      </w:r>
      <w:r w:rsidRPr="00490651">
        <w:t xml:space="preserve">. </w:t>
      </w:r>
      <w:r w:rsidR="00201D22" w:rsidRPr="00490651">
        <w:t xml:space="preserve">Taip pat </w:t>
      </w:r>
      <w:r w:rsidRPr="00490651">
        <w:rPr>
          <w:rStyle w:val="hps"/>
        </w:rPr>
        <w:t>yra numatytas nebaigtinis kapitalo judėjimo sąrašas</w:t>
      </w:r>
      <w:r w:rsidRPr="00490651">
        <w:t xml:space="preserve">, kuris apima </w:t>
      </w:r>
      <w:r w:rsidRPr="00490651">
        <w:rPr>
          <w:rStyle w:val="hps"/>
        </w:rPr>
        <w:t>investicijas į</w:t>
      </w:r>
      <w:r w:rsidRPr="00490651">
        <w:t xml:space="preserve"> </w:t>
      </w:r>
      <w:r w:rsidRPr="00490651">
        <w:rPr>
          <w:rStyle w:val="hps"/>
        </w:rPr>
        <w:t>kolektyvinio investavimo</w:t>
      </w:r>
      <w:r w:rsidRPr="00490651">
        <w:t xml:space="preserve"> </w:t>
      </w:r>
      <w:r w:rsidRPr="00490651">
        <w:rPr>
          <w:rStyle w:val="hps"/>
        </w:rPr>
        <w:t>įmones ir</w:t>
      </w:r>
      <w:r w:rsidRPr="00490651">
        <w:t xml:space="preserve"> </w:t>
      </w:r>
      <w:r w:rsidRPr="00490651">
        <w:rPr>
          <w:rStyle w:val="hps"/>
        </w:rPr>
        <w:t>tiesiogines investicijas bei investicijas į nekilnojamąjį turtą</w:t>
      </w:r>
      <w:r w:rsidRPr="00490651">
        <w:t xml:space="preserve"> </w:t>
      </w:r>
      <w:r w:rsidRPr="00490651">
        <w:rPr>
          <w:rStyle w:val="hps"/>
        </w:rPr>
        <w:t>(nacionalinėje teritorijoje, kai investuoja ne rezidentai, ir užsienio teritorijose, kai investuoja rezidentai</w:t>
      </w:r>
      <w:r w:rsidRPr="00490651">
        <w:t>).</w:t>
      </w:r>
    </w:p>
    <w:p w:rsidR="006535F8" w:rsidRPr="002873DD" w:rsidRDefault="00445C7E" w:rsidP="006535F8">
      <w:pPr>
        <w:pStyle w:val="Betarp"/>
        <w:spacing w:line="360" w:lineRule="auto"/>
        <w:ind w:firstLine="567"/>
      </w:pPr>
      <w:r w:rsidRPr="006C3188">
        <w:lastRenderedPageBreak/>
        <w:t xml:space="preserve">Tarpvalstybinių investicijų </w:t>
      </w:r>
      <w:r w:rsidRPr="006C3188">
        <w:rPr>
          <w:rStyle w:val="hps"/>
        </w:rPr>
        <w:t xml:space="preserve">apribojimai gali </w:t>
      </w:r>
      <w:r w:rsidR="006535F8">
        <w:rPr>
          <w:rStyle w:val="hps"/>
        </w:rPr>
        <w:t xml:space="preserve">ne tik </w:t>
      </w:r>
      <w:r w:rsidRPr="006C3188">
        <w:rPr>
          <w:rStyle w:val="hps"/>
        </w:rPr>
        <w:t>pažeisti</w:t>
      </w:r>
      <w:r w:rsidRPr="006C3188">
        <w:t xml:space="preserve"> </w:t>
      </w:r>
      <w:r w:rsidR="0019651A">
        <w:rPr>
          <w:rStyle w:val="hps"/>
        </w:rPr>
        <w:t>Sutartyje</w:t>
      </w:r>
      <w:r w:rsidRPr="006C3188">
        <w:rPr>
          <w:rStyle w:val="hps"/>
        </w:rPr>
        <w:t xml:space="preserve"> numatytą</w:t>
      </w:r>
      <w:r w:rsidRPr="006C3188">
        <w:t xml:space="preserve"> </w:t>
      </w:r>
      <w:r w:rsidRPr="006C3188">
        <w:rPr>
          <w:rStyle w:val="hps"/>
        </w:rPr>
        <w:t>kapitalo judėjimo</w:t>
      </w:r>
      <w:r w:rsidRPr="006C3188">
        <w:t xml:space="preserve"> </w:t>
      </w:r>
      <w:r w:rsidRPr="006C3188">
        <w:rPr>
          <w:rStyle w:val="hps"/>
        </w:rPr>
        <w:t>laisvę</w:t>
      </w:r>
      <w:r w:rsidR="006535F8">
        <w:rPr>
          <w:rStyle w:val="hps"/>
        </w:rPr>
        <w:t xml:space="preserve">, bet </w:t>
      </w:r>
      <w:r w:rsidRPr="006C3188">
        <w:rPr>
          <w:rStyle w:val="hps"/>
        </w:rPr>
        <w:t>taip pat gali</w:t>
      </w:r>
      <w:r w:rsidRPr="006C3188">
        <w:t xml:space="preserve"> turėti </w:t>
      </w:r>
      <w:r w:rsidRPr="006C3188">
        <w:rPr>
          <w:rStyle w:val="hps"/>
        </w:rPr>
        <w:t>platesnių</w:t>
      </w:r>
      <w:r w:rsidRPr="006C3188">
        <w:t xml:space="preserve"> </w:t>
      </w:r>
      <w:r w:rsidRPr="006C3188">
        <w:rPr>
          <w:rStyle w:val="hps"/>
        </w:rPr>
        <w:t>neigiamų ekonominių pasekmių</w:t>
      </w:r>
      <w:r w:rsidR="006E33C7">
        <w:rPr>
          <w:rStyle w:val="hps"/>
        </w:rPr>
        <w:t>,</w:t>
      </w:r>
      <w:r w:rsidRPr="006C3188">
        <w:t xml:space="preserve"> </w:t>
      </w:r>
      <w:r w:rsidRPr="006C3188">
        <w:rPr>
          <w:rStyle w:val="hps"/>
        </w:rPr>
        <w:t>jeigu</w:t>
      </w:r>
      <w:r w:rsidRPr="006C3188">
        <w:t xml:space="preserve"> </w:t>
      </w:r>
      <w:r w:rsidRPr="006C3188">
        <w:rPr>
          <w:rStyle w:val="hps"/>
        </w:rPr>
        <w:t>trukdo</w:t>
      </w:r>
      <w:r w:rsidRPr="006C3188">
        <w:t xml:space="preserve"> </w:t>
      </w:r>
      <w:r w:rsidRPr="006C3188">
        <w:rPr>
          <w:rStyle w:val="hps"/>
        </w:rPr>
        <w:t>veiksmingai tarptautinio</w:t>
      </w:r>
      <w:r w:rsidRPr="006C3188">
        <w:t xml:space="preserve"> </w:t>
      </w:r>
      <w:r w:rsidRPr="006C3188">
        <w:rPr>
          <w:rStyle w:val="hps"/>
        </w:rPr>
        <w:t>portfelio</w:t>
      </w:r>
      <w:r w:rsidRPr="006C3188">
        <w:t xml:space="preserve"> </w:t>
      </w:r>
      <w:r w:rsidRPr="006C3188">
        <w:rPr>
          <w:rStyle w:val="hps"/>
        </w:rPr>
        <w:t>diversifikacijai ir</w:t>
      </w:r>
      <w:r w:rsidRPr="006C3188">
        <w:t xml:space="preserve"> </w:t>
      </w:r>
      <w:r w:rsidRPr="006C3188">
        <w:rPr>
          <w:rStyle w:val="hps"/>
        </w:rPr>
        <w:t>neleidžia naudoti priemonių</w:t>
      </w:r>
      <w:r w:rsidRPr="006C3188">
        <w:t xml:space="preserve">, kurios užtikrintų </w:t>
      </w:r>
      <w:r w:rsidRPr="006C3188">
        <w:rPr>
          <w:rStyle w:val="hps"/>
        </w:rPr>
        <w:t>didesnę grąžą</w:t>
      </w:r>
      <w:r w:rsidRPr="006C3188">
        <w:t xml:space="preserve"> </w:t>
      </w:r>
      <w:r w:rsidRPr="006C3188">
        <w:rPr>
          <w:rStyle w:val="hps"/>
        </w:rPr>
        <w:t>esant tam pačiam</w:t>
      </w:r>
      <w:r w:rsidRPr="006C3188">
        <w:t xml:space="preserve"> </w:t>
      </w:r>
      <w:r w:rsidRPr="006C3188">
        <w:rPr>
          <w:rStyle w:val="hps"/>
        </w:rPr>
        <w:t>rizikos lygiui</w:t>
      </w:r>
      <w:r w:rsidRPr="006C3188">
        <w:t xml:space="preserve"> </w:t>
      </w:r>
      <w:r w:rsidRPr="006C3188">
        <w:rPr>
          <w:rStyle w:val="hps"/>
        </w:rPr>
        <w:t>arba</w:t>
      </w:r>
      <w:r w:rsidRPr="006C3188">
        <w:t xml:space="preserve"> tą pačią grąžą esant mažesn</w:t>
      </w:r>
      <w:r w:rsidRPr="00E87613">
        <w:t>ei rizikai.</w:t>
      </w:r>
      <w:r w:rsidRPr="00E87613">
        <w:rPr>
          <w:rStyle w:val="Puslapioinaosnuoroda"/>
        </w:rPr>
        <w:footnoteReference w:id="109"/>
      </w:r>
      <w:r w:rsidRPr="00E87613">
        <w:t xml:space="preserve"> Pensijų fondams t</w:t>
      </w:r>
      <w:r w:rsidR="00B04AC5" w:rsidRPr="00E87613">
        <w:t xml:space="preserve">aikomi investicijų apribojimai </w:t>
      </w:r>
      <w:r w:rsidRPr="00E87613">
        <w:t xml:space="preserve">prieštarauja laisvam kapitalo judėjimui, tačiau yra numatoma </w:t>
      </w:r>
      <w:r w:rsidR="00B04AC5" w:rsidRPr="00E87613">
        <w:t xml:space="preserve">viena </w:t>
      </w:r>
      <w:r w:rsidRPr="00E87613">
        <w:t>išlyga, kad l</w:t>
      </w:r>
      <w:r w:rsidRPr="00E87613">
        <w:rPr>
          <w:rStyle w:val="hps"/>
        </w:rPr>
        <w:t>aisvas kapitalo judėjimas</w:t>
      </w:r>
      <w:r w:rsidRPr="00E87613">
        <w:t xml:space="preserve"> </w:t>
      </w:r>
      <w:r w:rsidRPr="00E87613">
        <w:rPr>
          <w:rStyle w:val="hps"/>
        </w:rPr>
        <w:t>gali</w:t>
      </w:r>
      <w:r w:rsidRPr="00E87613">
        <w:t xml:space="preserve"> </w:t>
      </w:r>
      <w:r w:rsidRPr="00E87613">
        <w:rPr>
          <w:rStyle w:val="hps"/>
        </w:rPr>
        <w:t>būti teisėtai</w:t>
      </w:r>
      <w:r w:rsidRPr="00E87613">
        <w:t xml:space="preserve"> </w:t>
      </w:r>
      <w:r w:rsidRPr="00E87613">
        <w:rPr>
          <w:rStyle w:val="hps"/>
        </w:rPr>
        <w:t>ribojamas</w:t>
      </w:r>
      <w:r w:rsidRPr="00E87613">
        <w:t xml:space="preserve"> </w:t>
      </w:r>
      <w:r w:rsidRPr="00E87613">
        <w:rPr>
          <w:rStyle w:val="hps"/>
        </w:rPr>
        <w:t>nacionalinėmis</w:t>
      </w:r>
      <w:r w:rsidRPr="00E87613">
        <w:t xml:space="preserve"> </w:t>
      </w:r>
      <w:r w:rsidRPr="00E87613">
        <w:rPr>
          <w:rStyle w:val="hps"/>
        </w:rPr>
        <w:t>taisyklėmis, kurių taikymą</w:t>
      </w:r>
      <w:r w:rsidRPr="00E87613">
        <w:t xml:space="preserve"> </w:t>
      </w:r>
      <w:r w:rsidRPr="00E87613">
        <w:rPr>
          <w:rStyle w:val="hps"/>
        </w:rPr>
        <w:t>pagrindžia priežastys, nurodytos</w:t>
      </w:r>
      <w:r w:rsidRPr="00E87613">
        <w:t xml:space="preserve"> Sutarties </w:t>
      </w:r>
      <w:r w:rsidRPr="00E87613">
        <w:rPr>
          <w:rStyle w:val="hps"/>
        </w:rPr>
        <w:t>58 straipsnyje</w:t>
      </w:r>
      <w:r w:rsidRPr="00E87613">
        <w:t xml:space="preserve"> </w:t>
      </w:r>
      <w:r w:rsidRPr="00E87613">
        <w:rPr>
          <w:rStyle w:val="hps"/>
        </w:rPr>
        <w:t>(</w:t>
      </w:r>
      <w:r w:rsidRPr="00E87613">
        <w:t xml:space="preserve">buvęs </w:t>
      </w:r>
      <w:r w:rsidRPr="00E87613">
        <w:rPr>
          <w:rStyle w:val="hps"/>
        </w:rPr>
        <w:t>73 straipsnio d punktas</w:t>
      </w:r>
      <w:r w:rsidR="00522232" w:rsidRPr="00E87613">
        <w:t>), ir laisvo</w:t>
      </w:r>
      <w:r w:rsidRPr="00E87613">
        <w:t xml:space="preserve"> kapitalo judėjimo principo nepažeidžia šalių narių teisės imtis visų reikalingų priemonių nacionalinių įstatymų ir kitų teisės aktų pažeidimų prevencijai.</w:t>
      </w:r>
      <w:r w:rsidR="00E87613" w:rsidRPr="00E87613">
        <w:rPr>
          <w:rStyle w:val="Puslapioinaosnuoroda"/>
        </w:rPr>
        <w:footnoteReference w:id="110"/>
      </w:r>
      <w:r w:rsidRPr="00E87613">
        <w:t xml:space="preserve"> Vis dėlto, tokiu atveju taip pat turi būti atsižvelgta į </w:t>
      </w:r>
      <w:r w:rsidRPr="00E87613">
        <w:rPr>
          <w:rStyle w:val="hps"/>
        </w:rPr>
        <w:t xml:space="preserve">proporcingumo principą, nustatantį, kad nacionaliniai </w:t>
      </w:r>
      <w:r w:rsidRPr="006C3188">
        <w:rPr>
          <w:rStyle w:val="hps"/>
        </w:rPr>
        <w:t>teisės aktai</w:t>
      </w:r>
      <w:r w:rsidRPr="006C3188">
        <w:t xml:space="preserve"> </w:t>
      </w:r>
      <w:r w:rsidRPr="006C3188">
        <w:rPr>
          <w:rStyle w:val="hps"/>
        </w:rPr>
        <w:t>turi užtikrinti siekiamą tikslą ir neturi viršyti jo apimties</w:t>
      </w:r>
      <w:r w:rsidRPr="002873DD">
        <w:t>.</w:t>
      </w:r>
      <w:r w:rsidRPr="002873DD">
        <w:rPr>
          <w:rStyle w:val="Puslapioinaosnuoroda"/>
        </w:rPr>
        <w:footnoteReference w:id="111"/>
      </w:r>
      <w:r w:rsidRPr="002873DD">
        <w:rPr>
          <w:vertAlign w:val="superscript"/>
        </w:rPr>
        <w:t xml:space="preserve"> </w:t>
      </w:r>
      <w:r w:rsidR="006535F8" w:rsidRPr="002873DD">
        <w:rPr>
          <w:vertAlign w:val="superscript"/>
        </w:rPr>
        <w:t xml:space="preserve"> </w:t>
      </w:r>
      <w:r w:rsidR="006535F8" w:rsidRPr="002873DD">
        <w:t xml:space="preserve">Europos Teisingumo Teismas </w:t>
      </w:r>
      <w:r w:rsidR="00380338" w:rsidRPr="002873DD">
        <w:t xml:space="preserve">(toliau – ETT) </w:t>
      </w:r>
      <w:r w:rsidR="006535F8" w:rsidRPr="002873DD">
        <w:t xml:space="preserve">byloje </w:t>
      </w:r>
      <w:r w:rsidR="006535F8" w:rsidRPr="002873DD">
        <w:rPr>
          <w:i/>
        </w:rPr>
        <w:t>Europos Komisija prieš Lenkijos Respubliką</w:t>
      </w:r>
      <w:r w:rsidR="006535F8" w:rsidRPr="002873DD">
        <w:t xml:space="preserve"> konstatavo,</w:t>
      </w:r>
      <w:r w:rsidR="006535F8" w:rsidRPr="002873DD">
        <w:rPr>
          <w:rStyle w:val="Puslapioinaosnuoroda"/>
        </w:rPr>
        <w:footnoteReference w:id="112"/>
      </w:r>
      <w:r w:rsidR="006535F8" w:rsidRPr="002873DD">
        <w:t xml:space="preserve"> kad </w:t>
      </w:r>
      <w:r w:rsidR="00A95E59" w:rsidRPr="002873DD">
        <w:t>Lenkijos</w:t>
      </w:r>
      <w:r w:rsidR="006535F8" w:rsidRPr="002873DD">
        <w:t xml:space="preserve"> </w:t>
      </w:r>
      <w:r w:rsidR="00522232" w:rsidRPr="002873DD">
        <w:t xml:space="preserve">Respublikos </w:t>
      </w:r>
      <w:r w:rsidR="006535F8" w:rsidRPr="002873DD">
        <w:t>Pensijų fondų įstatyme</w:t>
      </w:r>
      <w:r w:rsidR="00A95E59" w:rsidRPr="002873DD">
        <w:t xml:space="preserve">, </w:t>
      </w:r>
      <w:r w:rsidR="006535F8" w:rsidRPr="002873DD">
        <w:t>įtvirtintas apribojimas, numatantis, kad investicijos</w:t>
      </w:r>
      <w:r w:rsidR="00380338" w:rsidRPr="002873DD">
        <w:t xml:space="preserve"> užsienyje negali viršyti 5 </w:t>
      </w:r>
      <w:r w:rsidR="0019651A" w:rsidRPr="002873DD">
        <w:t>proc.</w:t>
      </w:r>
      <w:r w:rsidR="006535F8" w:rsidRPr="002873DD">
        <w:t xml:space="preserve"> atitinkamo atvirojo pensijų</w:t>
      </w:r>
      <w:r w:rsidR="00A95E59" w:rsidRPr="002873DD">
        <w:t xml:space="preserve"> </w:t>
      </w:r>
      <w:r w:rsidR="00522232" w:rsidRPr="002873DD">
        <w:t>fondo aktyvų vertės, ir</w:t>
      </w:r>
      <w:r w:rsidR="006535F8" w:rsidRPr="002873DD">
        <w:t xml:space="preserve"> nustatytas trumpesnis investicijų, kurios gali būti įgyvendintos užsienyje, sąrašas nei inv</w:t>
      </w:r>
      <w:r w:rsidR="00A95E59" w:rsidRPr="002873DD">
        <w:t>esticijų Lenkijos teritorijoje sąrašas</w:t>
      </w:r>
      <w:r w:rsidR="00522232" w:rsidRPr="002873DD">
        <w:t>,</w:t>
      </w:r>
      <w:r w:rsidR="00A95E59" w:rsidRPr="002873DD">
        <w:t xml:space="preserve"> yra laikomi kiekybiniais bei kokybiniais apribojimais, </w:t>
      </w:r>
      <w:r w:rsidR="006535F8" w:rsidRPr="002873DD">
        <w:t>kiek tai susiję su investicijomis ne nacionalinėje teritorijoje</w:t>
      </w:r>
      <w:r w:rsidR="00A95E59" w:rsidRPr="002873DD">
        <w:t>, ypač kitose valstybėse narėse, pažeidžiančiais laisvo kapitalo judėjimo principą.</w:t>
      </w:r>
      <w:r w:rsidR="006535F8" w:rsidRPr="002873DD">
        <w:t xml:space="preserve"> </w:t>
      </w:r>
      <w:r w:rsidR="00380338" w:rsidRPr="002873DD">
        <w:t xml:space="preserve">O Lenkijos argumentai, nurodantys, kad tokiais apribojimais buvo siekiama užtikrinti pensijų fondų finansinės pusiausvyros apsaugą, negali būti pateisinami privalomais bendrojo intereso pagrindais. Kaip nurodė ETT, tokie </w:t>
      </w:r>
      <w:r w:rsidR="006535F8" w:rsidRPr="002873DD">
        <w:t xml:space="preserve">apribojimai turi būti tinkami garantuoti, kad bus įgyvendintas jais siekiamas tikslas, ir neviršyti to, kas būtina tam tikslui pasiekti. </w:t>
      </w:r>
      <w:r w:rsidR="006E57A7" w:rsidRPr="002873DD">
        <w:t xml:space="preserve">Buvo nustatyta, kad Lenkijos </w:t>
      </w:r>
      <w:r w:rsidR="006535F8" w:rsidRPr="002873DD">
        <w:t xml:space="preserve">nacionalinės teisės aktuose numatyti reikalavimai yra neproporcingi siekiamam tikslui, nes </w:t>
      </w:r>
      <w:r w:rsidR="0019651A" w:rsidRPr="002873DD">
        <w:t xml:space="preserve">būtent </w:t>
      </w:r>
      <w:r w:rsidR="006535F8" w:rsidRPr="002873DD">
        <w:t xml:space="preserve">investicijų diversifikavimu tiek geografiškai, tiek atsižvelgiant į investicijos pobūdį garantuojamas jų saugumas. </w:t>
      </w:r>
      <w:r w:rsidR="006E57A7" w:rsidRPr="002873DD">
        <w:t xml:space="preserve">Be to šiuo </w:t>
      </w:r>
      <w:r w:rsidR="006535F8" w:rsidRPr="002873DD">
        <w:t xml:space="preserve">klausimu </w:t>
      </w:r>
      <w:r w:rsidR="00FB674D" w:rsidRPr="002873DD">
        <w:t xml:space="preserve">Lenkija </w:t>
      </w:r>
      <w:r w:rsidR="006E57A7" w:rsidRPr="002873DD">
        <w:t>rėmėsi</w:t>
      </w:r>
      <w:r w:rsidR="006535F8" w:rsidRPr="002873DD">
        <w:t xml:space="preserve"> sunkumais, su kuriais susiduria </w:t>
      </w:r>
      <w:r w:rsidR="006E57A7" w:rsidRPr="002873DD">
        <w:t>pensijų fondai, siekdami</w:t>
      </w:r>
      <w:r w:rsidR="006535F8" w:rsidRPr="002873DD">
        <w:t xml:space="preserve"> įvertinti su investicijomis užsienyje susijusią riziką, </w:t>
      </w:r>
      <w:r w:rsidR="006E57A7" w:rsidRPr="002873DD">
        <w:t>tačiau buvo pripažinta</w:t>
      </w:r>
      <w:r w:rsidR="006535F8" w:rsidRPr="002873DD">
        <w:t xml:space="preserve">, kad šia aplinkybe negalima pateisinti kiekybinių investicijų į kitose valstybėse narėse išleistus vertybinius popierius apribojimų. </w:t>
      </w:r>
    </w:p>
    <w:p w:rsidR="00445C7E" w:rsidRDefault="00445C7E" w:rsidP="00863DC9">
      <w:pPr>
        <w:pStyle w:val="Betarp"/>
        <w:spacing w:line="360" w:lineRule="auto"/>
        <w:ind w:firstLine="567"/>
      </w:pPr>
      <w:r w:rsidRPr="002873DD">
        <w:t xml:space="preserve">Taigi, </w:t>
      </w:r>
      <w:r w:rsidR="00651D82" w:rsidRPr="002873DD">
        <w:t xml:space="preserve">nors </w:t>
      </w:r>
      <w:r w:rsidRPr="002873DD">
        <w:t xml:space="preserve">II antros pakopos pensijų fondų investavimo reguliavimo klausimas </w:t>
      </w:r>
      <w:r>
        <w:t>paliekamas nacionaliniam šalių lygmeniui, tačiau šalys turi užtikrinti tokį reguliavimą, kuris nepažeistų vieno iš pagrindinių ES principų, t.y. laisvo kapitalo judėjimo.</w:t>
      </w:r>
    </w:p>
    <w:p w:rsidR="00445C7E" w:rsidRDefault="00445C7E" w:rsidP="00863DC9">
      <w:pPr>
        <w:pStyle w:val="Betarp"/>
        <w:spacing w:line="360" w:lineRule="auto"/>
        <w:ind w:firstLine="567"/>
        <w:rPr>
          <w:b/>
        </w:rPr>
      </w:pPr>
    </w:p>
    <w:p w:rsidR="006E57A7" w:rsidRDefault="006E57A7" w:rsidP="00863DC9">
      <w:pPr>
        <w:pStyle w:val="Betarp"/>
        <w:spacing w:line="360" w:lineRule="auto"/>
        <w:ind w:firstLine="567"/>
        <w:rPr>
          <w:b/>
        </w:rPr>
      </w:pPr>
    </w:p>
    <w:p w:rsidR="00B14392" w:rsidRDefault="00B14392" w:rsidP="00863DC9">
      <w:pPr>
        <w:pStyle w:val="Betarp"/>
        <w:spacing w:line="360" w:lineRule="auto"/>
        <w:ind w:firstLine="567"/>
        <w:rPr>
          <w:b/>
        </w:rPr>
      </w:pPr>
    </w:p>
    <w:p w:rsidR="00445C7E" w:rsidRPr="002805AB" w:rsidRDefault="00445C7E" w:rsidP="00863DC9">
      <w:pPr>
        <w:pStyle w:val="Betarp"/>
        <w:spacing w:line="360" w:lineRule="auto"/>
        <w:ind w:firstLine="567"/>
        <w:rPr>
          <w:b/>
        </w:rPr>
      </w:pPr>
      <w:r w:rsidRPr="002805AB">
        <w:rPr>
          <w:b/>
        </w:rPr>
        <w:lastRenderedPageBreak/>
        <w:t xml:space="preserve">3.2. II pakopos pensijų fondų investavimo </w:t>
      </w:r>
      <w:r w:rsidR="00355621">
        <w:rPr>
          <w:b/>
        </w:rPr>
        <w:t>teisinis</w:t>
      </w:r>
      <w:r w:rsidRPr="002805AB">
        <w:rPr>
          <w:b/>
        </w:rPr>
        <w:t xml:space="preserve"> reguliavimas Lietuvoje</w:t>
      </w:r>
    </w:p>
    <w:p w:rsidR="00445C7E" w:rsidRDefault="00445C7E" w:rsidP="00863DC9">
      <w:pPr>
        <w:pStyle w:val="Betarp"/>
        <w:spacing w:line="360" w:lineRule="auto"/>
        <w:ind w:firstLine="567"/>
        <w:rPr>
          <w:b/>
        </w:rPr>
      </w:pPr>
    </w:p>
    <w:p w:rsidR="00445C7E" w:rsidRPr="00E95826" w:rsidRDefault="00445C7E" w:rsidP="00863DC9">
      <w:pPr>
        <w:pStyle w:val="Betarp"/>
        <w:spacing w:line="360" w:lineRule="auto"/>
        <w:ind w:firstLine="567"/>
        <w:rPr>
          <w:b/>
        </w:rPr>
      </w:pPr>
      <w:r>
        <w:t>Dabartiniai</w:t>
      </w:r>
      <w:r w:rsidRPr="00EC4418">
        <w:t xml:space="preserve"> </w:t>
      </w:r>
      <w:r>
        <w:t>LR Pensijų kaupimo bei LR Papildomo savanoriško pensijų kaupimo įstatymai</w:t>
      </w:r>
      <w:r w:rsidRPr="00CF0431">
        <w:t xml:space="preserve"> sudaro teisines bei finansines sąlygas kurtis, veikti bei investuoti privatiems </w:t>
      </w:r>
      <w:r>
        <w:t>II</w:t>
      </w:r>
      <w:r w:rsidRPr="00CF0431">
        <w:t xml:space="preserve"> pakopos</w:t>
      </w:r>
      <w:r w:rsidRPr="00CF0431">
        <w:rPr>
          <w:i/>
        </w:rPr>
        <w:t xml:space="preserve"> </w:t>
      </w:r>
      <w:r w:rsidRPr="00CF0431">
        <w:t>pensijų fondams.</w:t>
      </w:r>
      <w:r>
        <w:t xml:space="preserve"> </w:t>
      </w:r>
      <w:r w:rsidRPr="00CF0431">
        <w:t>Lietuvoje II pakopos pensijų fondų lėšų investavimo galimybių apribojimas, kaip ir kitose kai kuriose Rytų ir Vidurio Europos valstybėse yra svarbus pensijų sistemos aspektas.</w:t>
      </w:r>
      <w:r w:rsidRPr="00CF0431">
        <w:rPr>
          <w:rStyle w:val="Puslapioinaosnuoroda"/>
        </w:rPr>
        <w:footnoteReference w:id="113"/>
      </w:r>
    </w:p>
    <w:p w:rsidR="00445C7E" w:rsidRPr="00BB4D31" w:rsidRDefault="00445C7E" w:rsidP="00863DC9">
      <w:pPr>
        <w:pStyle w:val="Betarp"/>
        <w:spacing w:line="360" w:lineRule="auto"/>
        <w:ind w:firstLine="567"/>
        <w:rPr>
          <w:i/>
        </w:rPr>
      </w:pPr>
      <w:r w:rsidRPr="0063576C">
        <w:rPr>
          <w:i/>
        </w:rPr>
        <w:t xml:space="preserve">Visų pirma, svarbu </w:t>
      </w:r>
      <w:r>
        <w:rPr>
          <w:i/>
        </w:rPr>
        <w:t>pažymėti, kad paminėti LR teisės aktai:</w:t>
      </w:r>
    </w:p>
    <w:p w:rsidR="00445C7E" w:rsidRDefault="00445C7E" w:rsidP="00863DC9">
      <w:pPr>
        <w:pStyle w:val="Betarp"/>
        <w:numPr>
          <w:ilvl w:val="0"/>
          <w:numId w:val="12"/>
        </w:numPr>
        <w:spacing w:line="360" w:lineRule="auto"/>
        <w:ind w:left="0" w:firstLine="567"/>
      </w:pPr>
      <w:r>
        <w:t xml:space="preserve">nenustato bendro investavimo limito į nuosavybės vertybinius popierius </w:t>
      </w:r>
    </w:p>
    <w:p w:rsidR="00445C7E" w:rsidRPr="0063576C" w:rsidRDefault="00445C7E" w:rsidP="00863DC9">
      <w:pPr>
        <w:pStyle w:val="Betarp"/>
        <w:numPr>
          <w:ilvl w:val="0"/>
          <w:numId w:val="12"/>
        </w:numPr>
        <w:spacing w:line="360" w:lineRule="auto"/>
        <w:ind w:left="0" w:firstLine="567"/>
      </w:pPr>
      <w:r>
        <w:t>nėra įtvirtinto bendro draudimo investuoti į konkretų turtą (išskyrus draudimą investuoti pensijų fondų turtą</w:t>
      </w:r>
      <w:r w:rsidRPr="0063576C">
        <w:t xml:space="preserve"> į nekilnojamąjį turtą, tauriuosius metalus arba į suteikiančius į ju</w:t>
      </w:r>
      <w:r>
        <w:t>os teises vertybinius popierius</w:t>
      </w:r>
      <w:r>
        <w:rPr>
          <w:rStyle w:val="Puslapioinaosnuoroda"/>
        </w:rPr>
        <w:footnoteReference w:id="114"/>
      </w:r>
      <w:r w:rsidRPr="0063576C">
        <w:t>).</w:t>
      </w:r>
    </w:p>
    <w:p w:rsidR="00445C7E" w:rsidRPr="00BB4D31" w:rsidRDefault="00445C7E" w:rsidP="00863DC9">
      <w:pPr>
        <w:pStyle w:val="Betarp"/>
        <w:numPr>
          <w:ilvl w:val="0"/>
          <w:numId w:val="12"/>
        </w:numPr>
        <w:spacing w:line="360" w:lineRule="auto"/>
        <w:ind w:left="567" w:firstLine="0"/>
      </w:pPr>
      <w:r>
        <w:rPr>
          <w:lang w:val="es-ES"/>
        </w:rPr>
        <w:t>n</w:t>
      </w:r>
      <w:r>
        <w:t>ėra įtvirtinto bendro draudimo investuoti į išvestines finansines priemones.</w:t>
      </w:r>
    </w:p>
    <w:p w:rsidR="00445C7E" w:rsidRDefault="00445C7E" w:rsidP="00863DC9">
      <w:pPr>
        <w:pStyle w:val="Betarp"/>
        <w:spacing w:line="360" w:lineRule="auto"/>
        <w:ind w:firstLine="567"/>
        <w:rPr>
          <w:i/>
        </w:rPr>
      </w:pPr>
      <w:r w:rsidRPr="0063576C">
        <w:rPr>
          <w:i/>
        </w:rPr>
        <w:t>Tač</w:t>
      </w:r>
      <w:r>
        <w:rPr>
          <w:i/>
        </w:rPr>
        <w:t xml:space="preserve">iau yra įtvirtintos kelios </w:t>
      </w:r>
      <w:r w:rsidRPr="0063576C">
        <w:rPr>
          <w:i/>
        </w:rPr>
        <w:t>tam tikros spec</w:t>
      </w:r>
      <w:r>
        <w:rPr>
          <w:i/>
        </w:rPr>
        <w:t xml:space="preserve">ifinės taisyklės, </w:t>
      </w:r>
      <w:r w:rsidRPr="0014076D">
        <w:rPr>
          <w:i/>
        </w:rPr>
        <w:t>ribojančios</w:t>
      </w:r>
      <w:r>
        <w:rPr>
          <w:i/>
        </w:rPr>
        <w:t xml:space="preserve"> II pensijų fondų investicinę veiklą:</w:t>
      </w:r>
    </w:p>
    <w:p w:rsidR="00445C7E" w:rsidRPr="00EF77C4" w:rsidRDefault="00445C7E" w:rsidP="00863DC9">
      <w:pPr>
        <w:pStyle w:val="Betarp"/>
        <w:numPr>
          <w:ilvl w:val="0"/>
          <w:numId w:val="13"/>
        </w:numPr>
        <w:spacing w:line="360" w:lineRule="auto"/>
        <w:ind w:left="0" w:firstLine="567"/>
        <w:rPr>
          <w:u w:val="single"/>
        </w:rPr>
      </w:pPr>
      <w:r w:rsidRPr="0063576C">
        <w:t>Yra numatyta investicijų išskirstymo arba rizikos padali</w:t>
      </w:r>
      <w:r>
        <w:t>jimo (diversifikavimo) taisyklė, tačiau ji formuluojama ne kaip bendras principas, bet nustatant konkrečius investavimo limitus. P</w:t>
      </w:r>
      <w:r w:rsidRPr="0063576C">
        <w:t xml:space="preserve">avyzdžiui, </w:t>
      </w:r>
      <w:r w:rsidR="00B14392">
        <w:t xml:space="preserve">yra įtvirtintas draudimas investuoti daugiau </w:t>
      </w:r>
      <w:r w:rsidR="0079600C">
        <w:t>kaip 5 proc.</w:t>
      </w:r>
      <w:r w:rsidRPr="0063576C">
        <w:t xml:space="preserve"> kaupiam</w:t>
      </w:r>
      <w:r w:rsidR="0079600C">
        <w:t>o</w:t>
      </w:r>
      <w:r w:rsidRPr="0063576C">
        <w:t xml:space="preserve"> </w:t>
      </w:r>
      <w:r w:rsidR="0079600C">
        <w:t>turto</w:t>
      </w:r>
      <w:r w:rsidRPr="0063576C">
        <w:t xml:space="preserve"> į </w:t>
      </w:r>
      <w:r w:rsidR="0079600C">
        <w:t>vieną kurį nors objektą, tarkim</w:t>
      </w:r>
      <w:r w:rsidRPr="0063576C">
        <w:t xml:space="preserve">, į įmonės „X“ akcijas; taip pat investicijos į indėlius vienoje kredito įstaigoje negali </w:t>
      </w:r>
      <w:r w:rsidR="00B14392">
        <w:t>sudaryti</w:t>
      </w:r>
      <w:r w:rsidRPr="0063576C">
        <w:t xml:space="preserve"> daugiau kaip 20 proc</w:t>
      </w:r>
      <w:r w:rsidR="0079600C">
        <w:t>.</w:t>
      </w:r>
      <w:r w:rsidRPr="0063576C">
        <w:t xml:space="preserve"> pensijų turtą suda</w:t>
      </w:r>
      <w:r>
        <w:t>rančių grynųjų aktyvų.</w:t>
      </w:r>
      <w:r w:rsidR="00B14392">
        <w:t xml:space="preserve"> Šiais draudimais yra siekiama</w:t>
      </w:r>
      <w:r w:rsidR="0079600C">
        <w:t xml:space="preserve"> išvengti</w:t>
      </w:r>
      <w:r w:rsidRPr="0063576C">
        <w:t xml:space="preserve"> riz</w:t>
      </w:r>
      <w:r w:rsidR="0079600C">
        <w:t>iko</w:t>
      </w:r>
      <w:r w:rsidR="00B14392">
        <w:t>s, kuri galėtų atsirasti</w:t>
      </w:r>
      <w:r w:rsidR="0079600C">
        <w:t xml:space="preserve"> didelę lėšų dalį investuojant</w:t>
      </w:r>
      <w:r w:rsidRPr="0063576C">
        <w:t xml:space="preserve"> į vieną obj</w:t>
      </w:r>
      <w:r w:rsidR="0079600C">
        <w:t>ektą, o jo vertė dėl nepalankių rinkos situacijų</w:t>
      </w:r>
      <w:r w:rsidRPr="0063576C">
        <w:t xml:space="preserve"> ar kitų veiksnių smarkiai sumažėtų</w:t>
      </w:r>
      <w:r w:rsidRPr="002A672A">
        <w:t>.</w:t>
      </w:r>
      <w:r w:rsidRPr="002A672A">
        <w:rPr>
          <w:rStyle w:val="Puslapioinaosnuoroda"/>
        </w:rPr>
        <w:footnoteReference w:id="115"/>
      </w:r>
    </w:p>
    <w:p w:rsidR="00445C7E" w:rsidRDefault="00445C7E" w:rsidP="00863DC9">
      <w:pPr>
        <w:pStyle w:val="Betarp"/>
        <w:numPr>
          <w:ilvl w:val="0"/>
          <w:numId w:val="13"/>
        </w:numPr>
        <w:spacing w:line="360" w:lineRule="auto"/>
        <w:ind w:left="0" w:firstLine="567"/>
      </w:pPr>
      <w:r>
        <w:t xml:space="preserve">Pensijų fondų turtas gali būti investuojamas į konkrečius objektus, tik jeigu jie atitinka tam tikras </w:t>
      </w:r>
      <w:r w:rsidRPr="00034441">
        <w:t>PKĮ  bei PSKĮ</w:t>
      </w:r>
      <w:r>
        <w:t xml:space="preserve"> nustatytas </w:t>
      </w:r>
      <w:r w:rsidR="002A672A">
        <w:t xml:space="preserve">sekančias </w:t>
      </w:r>
      <w:r>
        <w:t>sąlygas</w:t>
      </w:r>
      <w:r w:rsidR="002A672A" w:rsidRPr="009254EF">
        <w:rPr>
          <w:vertAlign w:val="superscript"/>
        </w:rPr>
        <w:footnoteReference w:id="116"/>
      </w:r>
      <w:r>
        <w:t xml:space="preserve">: </w:t>
      </w:r>
    </w:p>
    <w:p w:rsidR="00445C7E" w:rsidRDefault="00445C7E" w:rsidP="00863DC9">
      <w:pPr>
        <w:pStyle w:val="Betarp"/>
        <w:spacing w:line="360" w:lineRule="auto"/>
        <w:ind w:firstLine="567"/>
      </w:pPr>
      <w:r w:rsidRPr="001A0E3E">
        <w:rPr>
          <w:iCs/>
        </w:rPr>
        <w:t>1)</w:t>
      </w:r>
      <w:r w:rsidRPr="00BB4D31">
        <w:t xml:space="preserve"> </w:t>
      </w:r>
      <w:r>
        <w:t xml:space="preserve"> į </w:t>
      </w:r>
      <w:r w:rsidRPr="00BB4D31">
        <w:t>perleidžiamuosius vertybinius popierius ir pinigų rinkos priemone</w:t>
      </w:r>
      <w:r>
        <w:t xml:space="preserve">s investuoti galima tik, jeigu jie yra </w:t>
      </w:r>
      <w:r w:rsidRPr="00BB4D31">
        <w:t xml:space="preserve">įtraukti į prekybą rinkose, pagal Finansinių priemonių rinkų įstatymą laikomose reguliuojamomis ir veikiančiose </w:t>
      </w:r>
      <w:r>
        <w:t xml:space="preserve">Lietuvos Respublikoje ar kitoje </w:t>
      </w:r>
      <w:r w:rsidRPr="00BB4D31">
        <w:t xml:space="preserve">valstybėje narėje, </w:t>
      </w:r>
      <w:r>
        <w:t xml:space="preserve">o į paminėtus objektus, įtrauktus į prekybą kitoje valstybėje (išskyrus valstybes nares) </w:t>
      </w:r>
      <w:r w:rsidRPr="00B5657F">
        <w:t xml:space="preserve">pagal nustatytas taisykles veikiančioje, pripažintoje, prižiūrimoje ir visuomenei prieinamoje rinkoje, </w:t>
      </w:r>
      <w:r>
        <w:t xml:space="preserve">galima investuoti, </w:t>
      </w:r>
      <w:r w:rsidRPr="00B5657F">
        <w:t>jeigu ši rinka yra nurodyta pensijų fondo taisyklėse</w:t>
      </w:r>
      <w:r>
        <w:t>.</w:t>
      </w:r>
    </w:p>
    <w:p w:rsidR="00445C7E" w:rsidRDefault="00445C7E" w:rsidP="00863DC9">
      <w:pPr>
        <w:pStyle w:val="Betarp"/>
        <w:spacing w:line="360" w:lineRule="auto"/>
        <w:ind w:firstLine="567"/>
      </w:pPr>
      <w:r w:rsidRPr="00BB4D31">
        <w:t xml:space="preserve"> </w:t>
      </w:r>
      <w:r>
        <w:t>Tuo tarpu į</w:t>
      </w:r>
      <w:r w:rsidRPr="00BB4D31">
        <w:t xml:space="preserve"> pinigų rinkos priemones, kurios nėra įtrauktos į prekybą reguliuojamoje rinkoje, leidžiama investuoti tik tuo atveju, jeigu tų priemonių emisija ar emitentas yra reguliuojami siekiant apsaugoti investuotojus ir jų santaupas ir jeigu tos priemonės atitinka kitas įstatymo nustatytas sąlygas. </w:t>
      </w:r>
    </w:p>
    <w:p w:rsidR="00445C7E" w:rsidRPr="00324FB5" w:rsidRDefault="00445C7E" w:rsidP="00863DC9">
      <w:pPr>
        <w:pStyle w:val="Betarp"/>
        <w:spacing w:line="360" w:lineRule="auto"/>
        <w:ind w:firstLine="567"/>
      </w:pPr>
      <w:r w:rsidRPr="00E85B1E">
        <w:lastRenderedPageBreak/>
        <w:t xml:space="preserve">2) </w:t>
      </w:r>
      <w:r>
        <w:t xml:space="preserve">į išleidžiamus naujus perleidžiamuosius vertybinius popierius galima investuoti, </w:t>
      </w:r>
      <w:r w:rsidRPr="00E85B1E">
        <w:t>jeigu emisijos sąlygose yra numatytas įsipareigojimas įtraukti šiuos vertybinius popierius į prekybą reguliuojamoje rinkoje ir jeigu bus įtraukta į prekybą ne vėliau kaip per vienus metus nuo išleidimo</w:t>
      </w:r>
      <w:r w:rsidR="00324FB5" w:rsidRPr="00324FB5">
        <w:t>;</w:t>
      </w:r>
    </w:p>
    <w:p w:rsidR="00445C7E" w:rsidRDefault="00445C7E" w:rsidP="00863DC9">
      <w:pPr>
        <w:pStyle w:val="Betarp"/>
        <w:spacing w:line="360" w:lineRule="auto"/>
        <w:ind w:firstLine="567"/>
      </w:pPr>
      <w:r w:rsidRPr="00E85B1E">
        <w:t>3</w:t>
      </w:r>
      <w:r w:rsidRPr="00BB4D31">
        <w:t xml:space="preserve">) </w:t>
      </w:r>
      <w:r>
        <w:t xml:space="preserve">į </w:t>
      </w:r>
      <w:r w:rsidRPr="00BB4D31">
        <w:t xml:space="preserve">ne ilgesnės kaip 12 mėnesių trukmės indėlius, kuriuos galima atsiimti pareikalavus, </w:t>
      </w:r>
      <w:r>
        <w:t xml:space="preserve">galima investuoti tik jei jie yra </w:t>
      </w:r>
      <w:r w:rsidRPr="00BB4D31">
        <w:t>kredito įstaigoje, kurios buveinė yra valstybėje narėje arba kitoje valstybėje, kurioje riziką ribojanti priežiūra yra ne mažiau</w:t>
      </w:r>
      <w:r w:rsidR="00324FB5">
        <w:t xml:space="preserve"> griežta negu Europos Sąjungoje;</w:t>
      </w:r>
    </w:p>
    <w:p w:rsidR="00445C7E" w:rsidRDefault="00445C7E" w:rsidP="00863DC9">
      <w:pPr>
        <w:pStyle w:val="Betarp"/>
        <w:spacing w:line="360" w:lineRule="auto"/>
        <w:ind w:firstLine="567"/>
      </w:pPr>
      <w:r w:rsidRPr="001A0E3E">
        <w:t>4) į kolektyvinio in</w:t>
      </w:r>
      <w:r>
        <w:t xml:space="preserve">vestavimo subjektų investicinius vienetus ar akcijas galima investuoti tik, jeigu kolektyvinio investavimo subjektai atitinka PSKĮ </w:t>
      </w:r>
      <w:r w:rsidRPr="001A0E3E">
        <w:t xml:space="preserve">49 straipsnio pirmoje dalyje nurodytas </w:t>
      </w:r>
      <w:r>
        <w:t xml:space="preserve"> sąlygas.</w:t>
      </w:r>
    </w:p>
    <w:p w:rsidR="00445C7E" w:rsidRDefault="00445C7E" w:rsidP="00863DC9">
      <w:pPr>
        <w:pStyle w:val="Betarp"/>
        <w:numPr>
          <w:ilvl w:val="0"/>
          <w:numId w:val="14"/>
        </w:numPr>
        <w:spacing w:line="360" w:lineRule="auto"/>
        <w:ind w:left="0" w:firstLine="567"/>
      </w:pPr>
      <w:r>
        <w:t xml:space="preserve">Į </w:t>
      </w:r>
      <w:r w:rsidRPr="001A0E3E">
        <w:t xml:space="preserve">išvestines finansines priemones </w:t>
      </w:r>
      <w:r>
        <w:t xml:space="preserve">pensijų fondų turtas gali būti investuotas </w:t>
      </w:r>
      <w:r w:rsidRPr="001A0E3E">
        <w:t xml:space="preserve">tik rizikai valdyti. </w:t>
      </w:r>
      <w:r>
        <w:t>Be to, v</w:t>
      </w:r>
      <w:r w:rsidRPr="001A0E3E">
        <w:t xml:space="preserve">aldymo įmonė išvestines finansines priemones turi teisę naudoti tik tuo atveju, kai pensijų fondo taisyklėse yra nurodyta, kokiomis išvestinėmis finansinėmis priemonėmis ir kokiais tikslais valdymo įmonė ketina naudotis. </w:t>
      </w:r>
      <w:r>
        <w:t xml:space="preserve">Taip pat PSKĮ numatyta, kad </w:t>
      </w:r>
      <w:r w:rsidRPr="001A0E3E">
        <w:t>kiekviena išvestinė finansinė priemonė turi būti pagrįsta konkrečiu investiciniu sandoriu (</w:t>
      </w:r>
      <w:r>
        <w:t>investicine pozicija) ir t</w:t>
      </w:r>
      <w:r w:rsidRPr="001A0E3E">
        <w:t>oks sandoris ir jo rizikos valdymui naudojama išvestinė finansinė priemonė turi būti nurodyti valdymo įmonės periodinėse ataskaitose.</w:t>
      </w:r>
    </w:p>
    <w:p w:rsidR="00445C7E" w:rsidRDefault="00445C7E" w:rsidP="00863DC9">
      <w:pPr>
        <w:pStyle w:val="Betarp"/>
        <w:numPr>
          <w:ilvl w:val="0"/>
          <w:numId w:val="14"/>
        </w:numPr>
        <w:spacing w:line="360" w:lineRule="auto"/>
        <w:ind w:left="0" w:firstLine="567"/>
      </w:pPr>
      <w:r>
        <w:t>Taip pat svarbu pažymėti, kad k</w:t>
      </w:r>
      <w:r w:rsidRPr="009254EF">
        <w:t xml:space="preserve">iekviena pensijų kaupimo bendrovė privalo turėti po vieną konservatyvaus investavimo pensijų fondą, kurio lėšos yra investuojamas vien tik į Lietuvos Respublikos, Europos Sąjungos valstybių ar Ekonominio bendradarbiavimo ir plėtros organizacijos </w:t>
      </w:r>
      <w:r w:rsidR="00F5222E">
        <w:t>(</w:t>
      </w:r>
      <w:r w:rsidR="00324FB5">
        <w:t xml:space="preserve">toliau – ESBO) </w:t>
      </w:r>
      <w:r w:rsidRPr="009254EF">
        <w:t>valstybių vyriausybių, centrinių bankų ir Europos centrinio banko išleistus arba į jų garantuotus skolos vertybinius popierius.</w:t>
      </w:r>
      <w:r w:rsidRPr="009254EF">
        <w:rPr>
          <w:vertAlign w:val="superscript"/>
        </w:rPr>
        <w:footnoteReference w:id="117"/>
      </w:r>
      <w:r w:rsidRPr="009254EF">
        <w:t xml:space="preserve"> </w:t>
      </w:r>
    </w:p>
    <w:p w:rsidR="00445C7E" w:rsidRPr="00EC4418" w:rsidRDefault="00445C7E" w:rsidP="00863DC9">
      <w:pPr>
        <w:pStyle w:val="Betarp"/>
        <w:spacing w:line="360" w:lineRule="auto"/>
        <w:ind w:firstLine="567"/>
      </w:pPr>
      <w:r>
        <w:t>Šie</w:t>
      </w:r>
      <w:r w:rsidRPr="00EC4418">
        <w:t xml:space="preserve"> pensijų fondo reglamentavimo ypatumai, yra ypač svarbūs, nes būtent jie dažnai lemia pensijų fondų investicinės veiklos s</w:t>
      </w:r>
      <w:r w:rsidRPr="00D73ABB">
        <w:t xml:space="preserve">ėkmę. Griežti teisės aktų reikalavimai aiškiai apibrėžia II pakopos pensijų fondų investicinę veiklą, atsižvelgiant į kuriuos </w:t>
      </w:r>
      <w:r w:rsidR="00D97585">
        <w:t xml:space="preserve">yra </w:t>
      </w:r>
      <w:r w:rsidRPr="00D73ABB">
        <w:t>sudaromos pensijų fondų investavimo strategijos.</w:t>
      </w:r>
      <w:r w:rsidRPr="00EC4418">
        <w:t xml:space="preserve"> </w:t>
      </w:r>
    </w:p>
    <w:p w:rsidR="00445C7E" w:rsidRDefault="00445C7E" w:rsidP="00E95826">
      <w:pPr>
        <w:pStyle w:val="Betarp"/>
        <w:spacing w:line="360" w:lineRule="auto"/>
        <w:ind w:firstLine="567"/>
        <w:jc w:val="left"/>
        <w:rPr>
          <w:b/>
        </w:rPr>
      </w:pPr>
    </w:p>
    <w:p w:rsidR="00445C7E" w:rsidRPr="002575FA" w:rsidRDefault="00445C7E" w:rsidP="00E95826">
      <w:pPr>
        <w:pStyle w:val="Betarp"/>
        <w:spacing w:line="360" w:lineRule="auto"/>
        <w:ind w:firstLine="567"/>
        <w:jc w:val="left"/>
        <w:rPr>
          <w:b/>
        </w:rPr>
      </w:pPr>
      <w:r>
        <w:rPr>
          <w:b/>
        </w:rPr>
        <w:t>3.2</w:t>
      </w:r>
      <w:r w:rsidRPr="00110A80">
        <w:rPr>
          <w:b/>
        </w:rPr>
        <w:t>.</w:t>
      </w:r>
      <w:r>
        <w:rPr>
          <w:b/>
        </w:rPr>
        <w:t>1 Investavimo strategijos pasirinkimas bei finansinio švietimo reikalingumas</w:t>
      </w:r>
    </w:p>
    <w:p w:rsidR="00445C7E" w:rsidRPr="00D73ABB" w:rsidRDefault="00445C7E" w:rsidP="00E95826">
      <w:pPr>
        <w:pStyle w:val="Betarp"/>
        <w:spacing w:line="360" w:lineRule="auto"/>
        <w:ind w:firstLine="567"/>
        <w:jc w:val="center"/>
        <w:rPr>
          <w:b/>
        </w:rPr>
      </w:pPr>
    </w:p>
    <w:p w:rsidR="00445C7E" w:rsidRDefault="00445C7E" w:rsidP="00E95826">
      <w:pPr>
        <w:pStyle w:val="Betarp"/>
        <w:spacing w:line="360" w:lineRule="auto"/>
        <w:ind w:firstLine="567"/>
        <w:rPr>
          <w:lang w:eastAsia="lt-LT"/>
        </w:rPr>
      </w:pPr>
      <w:r w:rsidRPr="00D73ABB">
        <w:rPr>
          <w:b/>
          <w:lang w:eastAsia="lt-LT"/>
        </w:rPr>
        <w:t>Investavimo strategijos.</w:t>
      </w:r>
      <w:r>
        <w:rPr>
          <w:lang w:eastAsia="lt-LT"/>
        </w:rPr>
        <w:t xml:space="preserve"> </w:t>
      </w:r>
      <w:r w:rsidRPr="0053733E">
        <w:rPr>
          <w:lang w:eastAsia="lt-LT"/>
        </w:rPr>
        <w:t xml:space="preserve">Svarbią reikšmę pensijų draudime turi investavimo principas, nes dauguma žmonių atideda pinigus pensijai gana ilgą laikotarpį. Jei fondas yra taupomasis, svarbu investuoti produktyviausiu būdu – tai labiau tinka privačiam </w:t>
      </w:r>
      <w:r>
        <w:rPr>
          <w:lang w:eastAsia="lt-LT"/>
        </w:rPr>
        <w:t>nei valstybiniam fondo valdymui</w:t>
      </w:r>
      <w:r w:rsidRPr="0053733E">
        <w:rPr>
          <w:lang w:eastAsia="lt-LT"/>
        </w:rPr>
        <w:t xml:space="preserve">. Tai reiškia, kad gali būti sukaupti ilgalaikiai ir stambūs investiciniai resursai, kurie duotų daug didesnį pelną, negu galėtų gauti vienas žmogus, savarankiškai atidėdamas pinigus. </w:t>
      </w:r>
      <w:r w:rsidRPr="00B66014">
        <w:rPr>
          <w:lang w:eastAsia="lt-LT"/>
        </w:rPr>
        <w:t xml:space="preserve">Tačiau tie asmenys, kurie pasirenka mokėti dalį VSD įmokų į pensijų kaupiamąjį fondą, turi žinoti, kad jie rizikuoja, nes jų papildomos kaupiamosios pensijos dalies dydis priklausys nuo to, kaip sėkmingai buvo investuojami </w:t>
      </w:r>
      <w:r w:rsidRPr="00B66014">
        <w:rPr>
          <w:lang w:eastAsia="lt-LT"/>
        </w:rPr>
        <w:lastRenderedPageBreak/>
        <w:t>pensijų fondo valdytojo sukaupti pinigai.</w:t>
      </w:r>
      <w:r w:rsidRPr="00B66014">
        <w:rPr>
          <w:rStyle w:val="Puslapioinaosnuoroda"/>
          <w:lang w:eastAsia="lt-LT"/>
        </w:rPr>
        <w:footnoteReference w:id="118"/>
      </w:r>
      <w:r w:rsidRPr="00B66014">
        <w:rPr>
          <w:lang w:eastAsia="lt-LT"/>
        </w:rPr>
        <w:t xml:space="preserve"> Pensijų kaupimo dalyviai gali pasirinkti bet kurį pensijų fondą, kuriame jie nori kaupti dalį VSD įmokų. </w:t>
      </w:r>
    </w:p>
    <w:p w:rsidR="00445C7E" w:rsidRPr="00F91689" w:rsidRDefault="007E563B" w:rsidP="00E95826">
      <w:pPr>
        <w:pStyle w:val="Betarp"/>
        <w:spacing w:line="360" w:lineRule="auto"/>
        <w:ind w:firstLine="567"/>
        <w:rPr>
          <w:color w:val="0070C0"/>
        </w:rPr>
      </w:pPr>
      <w:r w:rsidRPr="00064CAC">
        <w:t xml:space="preserve">Šiuo metu Lietuvoje veikia 30 II pakopos pensijų fondų (juos valdo 9 pensijų kaupimo bendrovės ir 2 gyvybės draudimo bendrovės). </w:t>
      </w:r>
      <w:r w:rsidR="00445C7E" w:rsidRPr="00D3796E">
        <w:t xml:space="preserve">PSPK </w:t>
      </w:r>
      <w:r w:rsidR="002A672A" w:rsidRPr="00D3796E">
        <w:t>įstatymo 21</w:t>
      </w:r>
      <w:r w:rsidR="00445C7E" w:rsidRPr="00D3796E">
        <w:t xml:space="preserve"> straipsnyje</w:t>
      </w:r>
      <w:r w:rsidR="002A672A" w:rsidRPr="00D3796E">
        <w:rPr>
          <w:rStyle w:val="Puslapioinaosnuoroda"/>
        </w:rPr>
        <w:footnoteReference w:id="119"/>
      </w:r>
      <w:r w:rsidR="00445C7E" w:rsidRPr="00D3796E">
        <w:t xml:space="preserve"> yra numatyta, kad „pensijų kaupimo veikla valdymo įmonės valdomuose pensijų fonduose grindžiama pensijų fondo taisyklėmis.“ Remiantis tuo pačiu straipsniu, į šias taisykles turi būti įtraukta pensijų fondo investavimo strategija. Šiame įstatyme įtvirtinta, kad „pensijų fondo investavimo strategijoje turi būti numatyta pensijų turto investavimo tvarka ir sritys, rizikos vertinimo metodai, rizikos valdymo principai, naudojamos rizikos valdymo procedūros ir būdai, strateginis pensijų turto paskirstymas pagal turimų su pensijų kaupimo sutartimis susijusių įsipareigojimų </w:t>
      </w:r>
      <w:r w:rsidR="00445C7E" w:rsidRPr="002873DD">
        <w:t>trukmę ir kilmę.“</w:t>
      </w:r>
      <w:r w:rsidR="002A672A" w:rsidRPr="002873DD">
        <w:rPr>
          <w:rStyle w:val="Puslapioinaosnuoroda"/>
        </w:rPr>
        <w:footnoteReference w:id="120"/>
      </w:r>
      <w:r w:rsidR="00F91689" w:rsidRPr="002873DD">
        <w:t xml:space="preserve"> </w:t>
      </w:r>
      <w:r w:rsidR="00F62690" w:rsidRPr="002873DD">
        <w:t xml:space="preserve">Duomenys, pagal kuriuos reikėtų vertinti pensijų fondą, yra investavimo strategija. </w:t>
      </w:r>
      <w:r w:rsidR="00862E0C" w:rsidRPr="002873DD">
        <w:t>Numatyta i</w:t>
      </w:r>
      <w:r w:rsidR="00651D82" w:rsidRPr="002873DD">
        <w:rPr>
          <w:lang w:eastAsia="lt-LT"/>
        </w:rPr>
        <w:t xml:space="preserve">nvestavimo </w:t>
      </w:r>
      <w:r w:rsidR="00862E0C" w:rsidRPr="002873DD">
        <w:rPr>
          <w:lang w:eastAsia="lt-LT"/>
        </w:rPr>
        <w:t>kryptis lemia pensijų fondo</w:t>
      </w:r>
      <w:r w:rsidR="00651D82" w:rsidRPr="002873DD">
        <w:rPr>
          <w:lang w:eastAsia="lt-LT"/>
        </w:rPr>
        <w:t xml:space="preserve"> pajamingumą</w:t>
      </w:r>
      <w:r w:rsidR="00445C7E" w:rsidRPr="002873DD">
        <w:rPr>
          <w:lang w:eastAsia="lt-LT"/>
        </w:rPr>
        <w:t>. Ka</w:t>
      </w:r>
      <w:r w:rsidR="00862E0C" w:rsidRPr="002873DD">
        <w:rPr>
          <w:lang w:eastAsia="lt-LT"/>
        </w:rPr>
        <w:t xml:space="preserve">ip taisyklė, pensijų fondai, investuojantys </w:t>
      </w:r>
      <w:r w:rsidR="00862E0C" w:rsidRPr="00D3796E">
        <w:rPr>
          <w:lang w:eastAsia="lt-LT"/>
        </w:rPr>
        <w:t>į akcijas, uždirba daugiau, bet tokios investicijos yra</w:t>
      </w:r>
      <w:r w:rsidR="00445C7E" w:rsidRPr="00D3796E">
        <w:rPr>
          <w:lang w:eastAsia="lt-LT"/>
        </w:rPr>
        <w:t xml:space="preserve"> rizikingesnės. Žmonėms, kuriems iki </w:t>
      </w:r>
      <w:r w:rsidR="00862E0C" w:rsidRPr="00D3796E">
        <w:rPr>
          <w:lang w:eastAsia="lt-LT"/>
        </w:rPr>
        <w:t xml:space="preserve">senatvės </w:t>
      </w:r>
      <w:r w:rsidR="00445C7E" w:rsidRPr="00D3796E">
        <w:rPr>
          <w:lang w:eastAsia="lt-LT"/>
        </w:rPr>
        <w:t>pensinio amžiaus liko nedaug laiko</w:t>
      </w:r>
      <w:r w:rsidRPr="00D3796E">
        <w:rPr>
          <w:lang w:eastAsia="lt-LT"/>
        </w:rPr>
        <w:t>,</w:t>
      </w:r>
      <w:r w:rsidR="00445C7E" w:rsidRPr="00D3796E">
        <w:rPr>
          <w:lang w:eastAsia="lt-LT"/>
        </w:rPr>
        <w:t xml:space="preserve"> patariama rinktis itin mažos rizikos konservatyvaus </w:t>
      </w:r>
      <w:r w:rsidR="00445C7E" w:rsidRPr="008D5616">
        <w:rPr>
          <w:lang w:eastAsia="lt-LT"/>
        </w:rPr>
        <w:t xml:space="preserve">investavimo pensijų fondus ar likti „Sodros“ </w:t>
      </w:r>
      <w:r w:rsidR="00445C7E" w:rsidRPr="00D73ABB">
        <w:rPr>
          <w:lang w:eastAsia="lt-LT"/>
        </w:rPr>
        <w:t xml:space="preserve">sistemoje. Rizikingesnius, bet </w:t>
      </w:r>
      <w:r w:rsidR="00862E0C">
        <w:rPr>
          <w:lang w:eastAsia="lt-LT"/>
        </w:rPr>
        <w:t xml:space="preserve">tuo pačiu paprastai </w:t>
      </w:r>
      <w:r w:rsidR="00445C7E" w:rsidRPr="00D73ABB">
        <w:rPr>
          <w:lang w:eastAsia="lt-LT"/>
        </w:rPr>
        <w:t>duodančius didesnę grąžą</w:t>
      </w:r>
      <w:r>
        <w:rPr>
          <w:lang w:eastAsia="lt-LT"/>
        </w:rPr>
        <w:t>,</w:t>
      </w:r>
      <w:r w:rsidR="00445C7E" w:rsidRPr="00D73ABB">
        <w:rPr>
          <w:lang w:eastAsia="lt-LT"/>
        </w:rPr>
        <w:t xml:space="preserve"> pensijų fondus vertėtų rinktis jauniems ir didesnes pajamas uždirbantiems žmonėms.</w:t>
      </w:r>
      <w:r w:rsidR="00445C7E" w:rsidRPr="00D73ABB">
        <w:rPr>
          <w:vertAlign w:val="superscript"/>
          <w:lang w:eastAsia="lt-LT"/>
        </w:rPr>
        <w:footnoteReference w:id="121"/>
      </w:r>
      <w:r w:rsidR="00445C7E" w:rsidRPr="00D73ABB">
        <w:rPr>
          <w:lang w:eastAsia="lt-LT"/>
        </w:rPr>
        <w:t xml:space="preserve"> </w:t>
      </w:r>
      <w:r w:rsidR="00445C7E" w:rsidRPr="00D73ABB">
        <w:t xml:space="preserve">Pasirenkant pensijų fondą, reikia įvertinti savo amžių ir pensijų fondo investavimo strategiją. </w:t>
      </w:r>
    </w:p>
    <w:p w:rsidR="00445C7E" w:rsidRPr="003A1EF5" w:rsidRDefault="0049038B" w:rsidP="00E95826">
      <w:pPr>
        <w:pStyle w:val="Betarp"/>
        <w:spacing w:line="360" w:lineRule="auto"/>
        <w:ind w:firstLine="567"/>
        <w:rPr>
          <w:lang w:eastAsia="lt-LT"/>
        </w:rPr>
      </w:pPr>
      <w:r>
        <w:rPr>
          <w:lang w:eastAsia="lt-LT"/>
        </w:rPr>
        <w:t>Atsižvelgiant į investavimo strategiją, p</w:t>
      </w:r>
      <w:r w:rsidR="00445C7E" w:rsidRPr="003A1EF5">
        <w:rPr>
          <w:lang w:eastAsia="lt-LT"/>
        </w:rPr>
        <w:t>ensijų fondai skirstomi į šias didėjančio rizikingumo grupes:</w:t>
      </w:r>
    </w:p>
    <w:p w:rsidR="00445C7E" w:rsidRPr="003A1EF5" w:rsidRDefault="00445C7E" w:rsidP="00E95826">
      <w:pPr>
        <w:pStyle w:val="Betarp"/>
        <w:numPr>
          <w:ilvl w:val="0"/>
          <w:numId w:val="8"/>
        </w:numPr>
        <w:spacing w:line="360" w:lineRule="auto"/>
        <w:ind w:left="0" w:firstLine="567"/>
      </w:pPr>
      <w:r w:rsidRPr="003A1EF5">
        <w:t xml:space="preserve">Konservatyvaus investavimo – tai fondai, kurių turtas </w:t>
      </w:r>
      <w:r w:rsidR="00324FB5" w:rsidRPr="003A1EF5">
        <w:t>gali</w:t>
      </w:r>
      <w:r w:rsidR="00324FB5" w:rsidRPr="003A1EF5">
        <w:rPr>
          <w:lang w:val="es-ES"/>
        </w:rPr>
        <w:t xml:space="preserve"> b</w:t>
      </w:r>
      <w:proofErr w:type="spellStart"/>
      <w:r w:rsidR="00324FB5" w:rsidRPr="003A1EF5">
        <w:t>ūti</w:t>
      </w:r>
      <w:proofErr w:type="spellEnd"/>
      <w:r w:rsidR="00324FB5" w:rsidRPr="003A1EF5">
        <w:t xml:space="preserve"> investuojamos tik į ES ir </w:t>
      </w:r>
      <w:r w:rsidRPr="003A1EF5">
        <w:t xml:space="preserve"> </w:t>
      </w:r>
      <w:r w:rsidR="00324FB5" w:rsidRPr="003A1EF5">
        <w:t>ESBO valstybių vyriausybių obligacijas.</w:t>
      </w:r>
      <w:r w:rsidRPr="003A1EF5">
        <w:t xml:space="preserve"> Lietuvoje kiekviena pensijų valdymo bendrovė gali pasiūlyti konservatyvų pensijų fondą. Konservatyviuosius pensijų fondus patariama rinktis vyresniems asmenims, </w:t>
      </w:r>
      <w:r w:rsidR="00324FB5" w:rsidRPr="003A1EF5">
        <w:t>kai iki pensinio amžiaus lieka 5 ar mažiau metų.</w:t>
      </w:r>
      <w:r w:rsidRPr="003A1EF5">
        <w:t xml:space="preserve"> Tokiu būdu ilgai kauptos lėšos bus apsaugotos nuo galimų ženklių nuostolių akcijų rinkose išėjimo į pensiją momentu. Reikia pabrėžti, kad konservatyviuose fonduose investicijų pelningumas būna mažesnis, lyginant su vidutiniais akcijų rinkų rezultatais.</w:t>
      </w:r>
      <w:r w:rsidRPr="003A1EF5">
        <w:rPr>
          <w:vertAlign w:val="superscript"/>
        </w:rPr>
        <w:footnoteReference w:id="122"/>
      </w:r>
      <w:r w:rsidRPr="003A1EF5">
        <w:t xml:space="preserve"> </w:t>
      </w:r>
    </w:p>
    <w:p w:rsidR="00445C7E" w:rsidRPr="00D73ABB" w:rsidRDefault="00445C7E" w:rsidP="00E95826">
      <w:pPr>
        <w:pStyle w:val="Betarp"/>
        <w:numPr>
          <w:ilvl w:val="0"/>
          <w:numId w:val="8"/>
        </w:numPr>
        <w:spacing w:line="360" w:lineRule="auto"/>
        <w:ind w:left="0" w:firstLine="567"/>
      </w:pPr>
      <w:r w:rsidRPr="00D73ABB">
        <w:t xml:space="preserve">Mišrieji pensijų fondai – </w:t>
      </w:r>
      <w:r w:rsidR="003A6ABE">
        <w:t>dauguma Lietuvoje veikiančių pensijų fondų yra „mišrūs“, investuojantys ir į akcijų ir į obligacijų rinkas, tik skirtingais santykiais. Pagal investicijų į akcijų rinkos dalį yra išskiriami mažos ir vidutinės akcijų dalies pensijų fondai.</w:t>
      </w:r>
      <w:r w:rsidR="003A6ABE">
        <w:rPr>
          <w:rStyle w:val="Puslapioinaosnuoroda"/>
        </w:rPr>
        <w:footnoteReference w:id="123"/>
      </w:r>
    </w:p>
    <w:p w:rsidR="00A52113" w:rsidRDefault="00445C7E" w:rsidP="00E95826">
      <w:pPr>
        <w:pStyle w:val="Betarp"/>
        <w:spacing w:line="360" w:lineRule="auto"/>
        <w:ind w:firstLine="567"/>
      </w:pPr>
      <w:r w:rsidRPr="00D73ABB">
        <w:lastRenderedPageBreak/>
        <w:t xml:space="preserve">a) Mažos akcijų dalies (apie 2/3 lėšų investuojančius į Vyriausybės vertybinius popierius) – tai mažai rizikingi fondai, kuriuose investicijos į akcijas siekia iki 20 -30 proc. turto. </w:t>
      </w:r>
      <w:r w:rsidR="00A52113">
        <w:t>Tokia investavimo strategija labiausiai tinka investuotojams, norintiems didesnio pajamingumo, tačiau šiuo atveju ir jautrumas rizikai pakankamai didelis.</w:t>
      </w:r>
    </w:p>
    <w:p w:rsidR="00445C7E" w:rsidRPr="00D73ABB" w:rsidRDefault="00445C7E" w:rsidP="00E95826">
      <w:pPr>
        <w:pStyle w:val="Betarp"/>
        <w:spacing w:line="360" w:lineRule="auto"/>
        <w:ind w:firstLine="567"/>
      </w:pPr>
      <w:r w:rsidRPr="00D73ABB">
        <w:t>b) Vidutinės akcijų dalies (investicijos į akc</w:t>
      </w:r>
      <w:r w:rsidR="00A52113">
        <w:t>ijas siekia 30 – 70 proc.) – apibūdinami kaip</w:t>
      </w:r>
      <w:r w:rsidRPr="00D73ABB">
        <w:t xml:space="preserve"> vidutinio rizikingumo fondai, labiausiai tinkantys investuotojams, kurie domi</w:t>
      </w:r>
      <w:r w:rsidR="00A52113">
        <w:t xml:space="preserve">si ir išmano kapitalo rinką, o tuo pačiu </w:t>
      </w:r>
      <w:r w:rsidRPr="00D73ABB">
        <w:t xml:space="preserve">suvokia </w:t>
      </w:r>
      <w:r w:rsidR="00A52113">
        <w:t xml:space="preserve">ir galimą </w:t>
      </w:r>
      <w:r w:rsidR="00C01277">
        <w:t xml:space="preserve">didelį </w:t>
      </w:r>
      <w:r w:rsidRPr="00D73ABB">
        <w:t xml:space="preserve">rizikos laipsnį. </w:t>
      </w:r>
    </w:p>
    <w:p w:rsidR="00A65F8D" w:rsidRDefault="00445C7E" w:rsidP="00A65F8D">
      <w:pPr>
        <w:pStyle w:val="Betarp"/>
        <w:numPr>
          <w:ilvl w:val="0"/>
          <w:numId w:val="17"/>
        </w:numPr>
        <w:spacing w:line="360" w:lineRule="auto"/>
        <w:ind w:left="0" w:firstLine="567"/>
      </w:pPr>
      <w:r w:rsidRPr="00D73ABB">
        <w:t xml:space="preserve">Akcijų (investuojančius tik į įmonių vertybinius popierius) – </w:t>
      </w:r>
      <w:r w:rsidR="00A52113">
        <w:t>tai yra patys rizikingiausi pensijų fondai</w:t>
      </w:r>
      <w:r w:rsidRPr="00D73ABB">
        <w:t xml:space="preserve">, kuriuose investicijos į akcijas siekia nuo 70 iki 100 proc., todėl jį renkasi investuotojai, </w:t>
      </w:r>
      <w:r w:rsidR="00A52113">
        <w:t>kurie siekia gauti didžiausią pajamingumą</w:t>
      </w:r>
      <w:r w:rsidRPr="00D73ABB">
        <w:t xml:space="preserve"> ir yra mažai jautrūs rizikai dėl stiprios </w:t>
      </w:r>
      <w:r w:rsidR="00A52113">
        <w:t xml:space="preserve">jų </w:t>
      </w:r>
      <w:r w:rsidRPr="00D73ABB">
        <w:t>finansinės padėties ar kitų asmeninių priežasčių.</w:t>
      </w:r>
      <w:r w:rsidR="0054117C" w:rsidRPr="00D73ABB">
        <w:rPr>
          <w:rStyle w:val="Puslapioinaosnuoroda"/>
        </w:rPr>
        <w:footnoteReference w:id="124"/>
      </w:r>
      <w:r w:rsidR="0054117C">
        <w:t xml:space="preserve"> </w:t>
      </w:r>
    </w:p>
    <w:p w:rsidR="004005F2" w:rsidRPr="00C0288F" w:rsidRDefault="004005F2" w:rsidP="004005F2">
      <w:pPr>
        <w:pStyle w:val="Betarp"/>
        <w:spacing w:line="360" w:lineRule="auto"/>
        <w:ind w:firstLine="567"/>
      </w:pPr>
      <w:r w:rsidRPr="00C0288F">
        <w:t>Populiariausi 2012 metų pabaigoje buvo mažos ir vidutinės akcijų dalies pensijų fondai. Juose savo pensijai kaupė didžioji dalis visų dalyvių (žr. 2 lentelė)</w:t>
      </w:r>
    </w:p>
    <w:p w:rsidR="008556F8" w:rsidRPr="00C0288F" w:rsidRDefault="008556F8" w:rsidP="008556F8">
      <w:pPr>
        <w:pStyle w:val="Betarp"/>
        <w:spacing w:line="360" w:lineRule="auto"/>
        <w:ind w:firstLine="567"/>
        <w:rPr>
          <w:b/>
          <w:sz w:val="20"/>
          <w:szCs w:val="20"/>
        </w:rPr>
      </w:pPr>
    </w:p>
    <w:p w:rsidR="008556F8" w:rsidRPr="008556F8" w:rsidRDefault="008556F8" w:rsidP="008556F8">
      <w:pPr>
        <w:pStyle w:val="Betarp"/>
        <w:spacing w:line="360" w:lineRule="auto"/>
        <w:ind w:firstLine="0"/>
        <w:jc w:val="center"/>
        <w:rPr>
          <w:b/>
        </w:rPr>
      </w:pPr>
      <w:r w:rsidRPr="008556F8">
        <w:t>2 lentelė.</w:t>
      </w:r>
      <w:r w:rsidRPr="008556F8">
        <w:rPr>
          <w:b/>
        </w:rPr>
        <w:t xml:space="preserve"> Pensijų fondų dalyviai pagal investavimo strategijas</w:t>
      </w:r>
    </w:p>
    <w:p w:rsidR="008556F8" w:rsidRPr="00C0288F" w:rsidRDefault="008556F8" w:rsidP="004005F2">
      <w:pPr>
        <w:pStyle w:val="Betarp"/>
        <w:spacing w:line="360" w:lineRule="auto"/>
        <w:ind w:firstLine="567"/>
      </w:pPr>
    </w:p>
    <w:tbl>
      <w:tblPr>
        <w:tblStyle w:val="Lentelstinklelis"/>
        <w:tblW w:w="0" w:type="auto"/>
        <w:tblLook w:val="04A0" w:firstRow="1" w:lastRow="0" w:firstColumn="1" w:lastColumn="0" w:noHBand="0" w:noVBand="1"/>
      </w:tblPr>
      <w:tblGrid>
        <w:gridCol w:w="2235"/>
        <w:gridCol w:w="1975"/>
        <w:gridCol w:w="1976"/>
        <w:gridCol w:w="1975"/>
        <w:gridCol w:w="1976"/>
      </w:tblGrid>
      <w:tr w:rsidR="004005F2" w:rsidRPr="00C0288F" w:rsidTr="00BE3841">
        <w:tc>
          <w:tcPr>
            <w:tcW w:w="2235" w:type="dxa"/>
            <w:vAlign w:val="center"/>
          </w:tcPr>
          <w:p w:rsidR="004005F2" w:rsidRPr="00C0288F" w:rsidRDefault="004005F2" w:rsidP="00ED35DE">
            <w:pPr>
              <w:pStyle w:val="Betarp"/>
              <w:spacing w:line="276" w:lineRule="auto"/>
              <w:ind w:firstLine="0"/>
              <w:jc w:val="left"/>
              <w:rPr>
                <w:b/>
              </w:rPr>
            </w:pPr>
            <w:r w:rsidRPr="00C0288F">
              <w:rPr>
                <w:b/>
              </w:rPr>
              <w:t>Pensijų fondas pagal investavimo strategijas</w:t>
            </w:r>
          </w:p>
        </w:tc>
        <w:tc>
          <w:tcPr>
            <w:tcW w:w="1975" w:type="dxa"/>
            <w:vAlign w:val="center"/>
          </w:tcPr>
          <w:p w:rsidR="004005F2" w:rsidRPr="00C0288F" w:rsidRDefault="004005F2" w:rsidP="00ED35DE">
            <w:pPr>
              <w:pStyle w:val="Betarp"/>
              <w:spacing w:line="276" w:lineRule="auto"/>
              <w:ind w:firstLine="0"/>
              <w:jc w:val="center"/>
            </w:pPr>
            <w:r w:rsidRPr="00C0288F">
              <w:t>Konservatyvaus investavimo</w:t>
            </w:r>
          </w:p>
        </w:tc>
        <w:tc>
          <w:tcPr>
            <w:tcW w:w="1976" w:type="dxa"/>
            <w:vAlign w:val="center"/>
          </w:tcPr>
          <w:p w:rsidR="004005F2" w:rsidRPr="00C0288F" w:rsidRDefault="004005F2" w:rsidP="00ED35DE">
            <w:pPr>
              <w:pStyle w:val="Betarp"/>
              <w:spacing w:line="276" w:lineRule="auto"/>
              <w:ind w:firstLine="0"/>
              <w:jc w:val="center"/>
            </w:pPr>
            <w:r w:rsidRPr="00C0288F">
              <w:t>Mažos akcijų dalies</w:t>
            </w:r>
          </w:p>
        </w:tc>
        <w:tc>
          <w:tcPr>
            <w:tcW w:w="1975" w:type="dxa"/>
            <w:vAlign w:val="center"/>
          </w:tcPr>
          <w:p w:rsidR="004005F2" w:rsidRPr="00C0288F" w:rsidRDefault="004005F2" w:rsidP="00ED35DE">
            <w:pPr>
              <w:pStyle w:val="Betarp"/>
              <w:spacing w:line="276" w:lineRule="auto"/>
              <w:ind w:firstLine="0"/>
              <w:jc w:val="center"/>
            </w:pPr>
            <w:r w:rsidRPr="00C0288F">
              <w:t>Vidutinės akcijų dalies</w:t>
            </w:r>
          </w:p>
        </w:tc>
        <w:tc>
          <w:tcPr>
            <w:tcW w:w="1976" w:type="dxa"/>
            <w:vAlign w:val="center"/>
          </w:tcPr>
          <w:p w:rsidR="004005F2" w:rsidRPr="00C0288F" w:rsidRDefault="004005F2" w:rsidP="00ED35DE">
            <w:pPr>
              <w:pStyle w:val="Betarp"/>
              <w:spacing w:line="276" w:lineRule="auto"/>
              <w:ind w:firstLine="0"/>
              <w:jc w:val="center"/>
            </w:pPr>
            <w:r w:rsidRPr="00C0288F">
              <w:t>Akcijų</w:t>
            </w:r>
          </w:p>
        </w:tc>
      </w:tr>
      <w:tr w:rsidR="004005F2" w:rsidRPr="00C0288F" w:rsidTr="00BE3841">
        <w:tc>
          <w:tcPr>
            <w:tcW w:w="2235" w:type="dxa"/>
            <w:vAlign w:val="center"/>
          </w:tcPr>
          <w:p w:rsidR="004005F2" w:rsidRPr="00C0288F" w:rsidRDefault="004005F2" w:rsidP="00ED35DE">
            <w:pPr>
              <w:pStyle w:val="Betarp"/>
              <w:spacing w:line="276" w:lineRule="auto"/>
              <w:ind w:firstLine="0"/>
              <w:jc w:val="left"/>
              <w:rPr>
                <w:b/>
              </w:rPr>
            </w:pPr>
            <w:r w:rsidRPr="00C0288F">
              <w:rPr>
                <w:b/>
              </w:rPr>
              <w:t>Pensijų fondų skaičius</w:t>
            </w:r>
          </w:p>
        </w:tc>
        <w:tc>
          <w:tcPr>
            <w:tcW w:w="1975" w:type="dxa"/>
            <w:vAlign w:val="center"/>
          </w:tcPr>
          <w:p w:rsidR="004005F2" w:rsidRPr="00C0288F" w:rsidRDefault="004005F2" w:rsidP="00ED35DE">
            <w:pPr>
              <w:pStyle w:val="Betarp"/>
              <w:spacing w:line="276" w:lineRule="auto"/>
              <w:ind w:firstLine="0"/>
              <w:jc w:val="center"/>
              <w:rPr>
                <w:lang w:val="es-ES"/>
              </w:rPr>
            </w:pPr>
            <w:r w:rsidRPr="00C0288F">
              <w:rPr>
                <w:lang w:val="es-ES"/>
              </w:rPr>
              <w:t>10</w:t>
            </w:r>
          </w:p>
        </w:tc>
        <w:tc>
          <w:tcPr>
            <w:tcW w:w="1976" w:type="dxa"/>
            <w:vAlign w:val="center"/>
          </w:tcPr>
          <w:p w:rsidR="004005F2" w:rsidRPr="00C0288F" w:rsidRDefault="004005F2" w:rsidP="00ED35DE">
            <w:pPr>
              <w:pStyle w:val="Betarp"/>
              <w:spacing w:line="276" w:lineRule="auto"/>
              <w:ind w:firstLine="0"/>
              <w:jc w:val="center"/>
            </w:pPr>
            <w:r w:rsidRPr="00C0288F">
              <w:t>4</w:t>
            </w:r>
          </w:p>
        </w:tc>
        <w:tc>
          <w:tcPr>
            <w:tcW w:w="1975" w:type="dxa"/>
            <w:vAlign w:val="center"/>
          </w:tcPr>
          <w:p w:rsidR="004005F2" w:rsidRPr="00C0288F" w:rsidRDefault="004005F2" w:rsidP="00ED35DE">
            <w:pPr>
              <w:pStyle w:val="Betarp"/>
              <w:spacing w:line="276" w:lineRule="auto"/>
              <w:ind w:firstLine="0"/>
              <w:jc w:val="center"/>
            </w:pPr>
            <w:r w:rsidRPr="00C0288F">
              <w:t>11</w:t>
            </w:r>
          </w:p>
        </w:tc>
        <w:tc>
          <w:tcPr>
            <w:tcW w:w="1976" w:type="dxa"/>
            <w:vAlign w:val="center"/>
          </w:tcPr>
          <w:p w:rsidR="004005F2" w:rsidRPr="00C0288F" w:rsidRDefault="004005F2" w:rsidP="00ED35DE">
            <w:pPr>
              <w:pStyle w:val="Betarp"/>
              <w:spacing w:line="276" w:lineRule="auto"/>
              <w:ind w:firstLine="0"/>
              <w:jc w:val="center"/>
            </w:pPr>
            <w:r w:rsidRPr="00C0288F">
              <w:t>5</w:t>
            </w:r>
          </w:p>
        </w:tc>
      </w:tr>
      <w:tr w:rsidR="004005F2" w:rsidRPr="00C0288F" w:rsidTr="00BE3841">
        <w:tc>
          <w:tcPr>
            <w:tcW w:w="2235" w:type="dxa"/>
            <w:vAlign w:val="center"/>
          </w:tcPr>
          <w:p w:rsidR="004005F2" w:rsidRPr="00C0288F" w:rsidRDefault="004005F2" w:rsidP="00ED35DE">
            <w:pPr>
              <w:pStyle w:val="Betarp"/>
              <w:spacing w:line="276" w:lineRule="auto"/>
              <w:ind w:firstLine="0"/>
              <w:jc w:val="left"/>
              <w:rPr>
                <w:b/>
              </w:rPr>
            </w:pPr>
            <w:r w:rsidRPr="00C0288F">
              <w:rPr>
                <w:b/>
              </w:rPr>
              <w:t>Dalyvių skaičius</w:t>
            </w:r>
          </w:p>
        </w:tc>
        <w:tc>
          <w:tcPr>
            <w:tcW w:w="1975" w:type="dxa"/>
            <w:vAlign w:val="center"/>
          </w:tcPr>
          <w:p w:rsidR="004005F2" w:rsidRPr="00C0288F" w:rsidRDefault="004005F2" w:rsidP="00ED35DE">
            <w:pPr>
              <w:pStyle w:val="Betarp"/>
              <w:spacing w:line="276" w:lineRule="auto"/>
              <w:ind w:firstLine="0"/>
              <w:jc w:val="center"/>
              <w:rPr>
                <w:lang w:val="es-ES"/>
              </w:rPr>
            </w:pPr>
            <w:r w:rsidRPr="00C0288F">
              <w:rPr>
                <w:lang w:val="es-ES"/>
              </w:rPr>
              <w:t>117 397</w:t>
            </w:r>
          </w:p>
        </w:tc>
        <w:tc>
          <w:tcPr>
            <w:tcW w:w="1976" w:type="dxa"/>
            <w:vAlign w:val="center"/>
          </w:tcPr>
          <w:p w:rsidR="004005F2" w:rsidRPr="00C0288F" w:rsidRDefault="004005F2" w:rsidP="00ED35DE">
            <w:pPr>
              <w:pStyle w:val="Betarp"/>
              <w:spacing w:line="276" w:lineRule="auto"/>
              <w:ind w:firstLine="0"/>
              <w:jc w:val="center"/>
            </w:pPr>
            <w:r w:rsidRPr="00C0288F">
              <w:t>266 107</w:t>
            </w:r>
          </w:p>
        </w:tc>
        <w:tc>
          <w:tcPr>
            <w:tcW w:w="1975" w:type="dxa"/>
            <w:vAlign w:val="center"/>
          </w:tcPr>
          <w:p w:rsidR="004005F2" w:rsidRPr="00C0288F" w:rsidRDefault="004005F2" w:rsidP="00ED35DE">
            <w:pPr>
              <w:pStyle w:val="Betarp"/>
              <w:spacing w:line="276" w:lineRule="auto"/>
              <w:ind w:firstLine="0"/>
              <w:jc w:val="center"/>
            </w:pPr>
            <w:r w:rsidRPr="00C0288F">
              <w:t>581 906</w:t>
            </w:r>
          </w:p>
        </w:tc>
        <w:tc>
          <w:tcPr>
            <w:tcW w:w="1976" w:type="dxa"/>
            <w:vAlign w:val="center"/>
          </w:tcPr>
          <w:p w:rsidR="004005F2" w:rsidRPr="00C0288F" w:rsidRDefault="004005F2" w:rsidP="00ED35DE">
            <w:pPr>
              <w:pStyle w:val="Betarp"/>
              <w:spacing w:line="276" w:lineRule="auto"/>
              <w:ind w:firstLine="0"/>
              <w:jc w:val="center"/>
            </w:pPr>
            <w:r w:rsidRPr="00C0288F">
              <w:t>102 384</w:t>
            </w:r>
          </w:p>
        </w:tc>
      </w:tr>
    </w:tbl>
    <w:p w:rsidR="004005F2" w:rsidRPr="00C0288F" w:rsidRDefault="004005F2" w:rsidP="004005F2">
      <w:pPr>
        <w:pStyle w:val="Betarp"/>
        <w:spacing w:line="360" w:lineRule="auto"/>
        <w:ind w:firstLine="567"/>
        <w:rPr>
          <w:sz w:val="20"/>
          <w:szCs w:val="20"/>
        </w:rPr>
      </w:pPr>
    </w:p>
    <w:p w:rsidR="004005F2" w:rsidRPr="00C0288F" w:rsidRDefault="004005F2" w:rsidP="004005F2">
      <w:pPr>
        <w:pStyle w:val="Betarp"/>
        <w:spacing w:line="360" w:lineRule="auto"/>
        <w:ind w:firstLine="567"/>
        <w:rPr>
          <w:sz w:val="20"/>
          <w:szCs w:val="20"/>
        </w:rPr>
      </w:pPr>
      <w:r w:rsidRPr="00C0288F">
        <w:rPr>
          <w:b/>
          <w:sz w:val="20"/>
          <w:szCs w:val="20"/>
        </w:rPr>
        <w:t xml:space="preserve">Šaltinis: </w:t>
      </w:r>
      <w:r w:rsidRPr="00C0288F">
        <w:rPr>
          <w:sz w:val="20"/>
          <w:szCs w:val="20"/>
        </w:rPr>
        <w:t>Sudaryta remiantis Lietuvos Banko pateikta Lietuvos II ir III pakopos pensijų fondų bei KIS rinkos apžvalga, 2012 m. IV ketv. ir 2012 metai, p. 4.</w:t>
      </w:r>
    </w:p>
    <w:p w:rsidR="004005F2" w:rsidRDefault="004005F2" w:rsidP="00B85E4C">
      <w:pPr>
        <w:pStyle w:val="Betarp"/>
        <w:spacing w:line="360" w:lineRule="auto"/>
        <w:ind w:firstLine="567"/>
      </w:pPr>
    </w:p>
    <w:p w:rsidR="00B85E4C" w:rsidRPr="00B5644E" w:rsidRDefault="00B85E4C" w:rsidP="00B85E4C">
      <w:pPr>
        <w:pStyle w:val="Betarp"/>
        <w:spacing w:line="360" w:lineRule="auto"/>
        <w:ind w:firstLine="567"/>
      </w:pPr>
      <w:r w:rsidRPr="00B5644E">
        <w:t xml:space="preserve">Pensijų fondo investavimo strategija tiesiogiai susijusi su investicine rizika. Todėl </w:t>
      </w:r>
      <w:r w:rsidR="00B5644E" w:rsidRPr="00B5644E">
        <w:t xml:space="preserve">pasirenkant pensijų fondą </w:t>
      </w:r>
      <w:r w:rsidRPr="00B5644E">
        <w:t>kiekvienas asmuo, turi įvertinti</w:t>
      </w:r>
      <w:r w:rsidR="00B5644E" w:rsidRPr="00B5644E">
        <w:t xml:space="preserve"> kokia investavimo rizika jam yra priimtina.</w:t>
      </w:r>
      <w:r w:rsidR="00B5644E" w:rsidRPr="00B5644E">
        <w:rPr>
          <w:rStyle w:val="Puslapioinaosnuoroda"/>
        </w:rPr>
        <w:footnoteReference w:id="125"/>
      </w:r>
    </w:p>
    <w:p w:rsidR="00B85E4C" w:rsidRPr="002E0417" w:rsidRDefault="00A632BD" w:rsidP="00B85E4C">
      <w:pPr>
        <w:spacing w:after="0" w:line="360" w:lineRule="auto"/>
        <w:ind w:firstLine="567"/>
        <w:jc w:val="both"/>
        <w:rPr>
          <w:rFonts w:cs="Minion Pro"/>
        </w:rPr>
      </w:pPr>
      <w:r w:rsidRPr="002E0417">
        <w:rPr>
          <w:rFonts w:cs="Minion Pro"/>
        </w:rPr>
        <w:t xml:space="preserve">Renkantis arba keičiant pensijų fondus, reikėtų atsižvelgti į asmeninę rizikos toleranciją ir likusį iki pensinio </w:t>
      </w:r>
      <w:r w:rsidR="00B85E4C" w:rsidRPr="002E0417">
        <w:rPr>
          <w:rFonts w:cs="Minion Pro"/>
        </w:rPr>
        <w:t>amžiaus periodą:</w:t>
      </w:r>
    </w:p>
    <w:p w:rsidR="00A632BD" w:rsidRPr="002E0417" w:rsidRDefault="00B85E4C" w:rsidP="00B85E4C">
      <w:pPr>
        <w:pStyle w:val="Sraopastraipa"/>
        <w:numPr>
          <w:ilvl w:val="0"/>
          <w:numId w:val="17"/>
        </w:numPr>
        <w:spacing w:line="360" w:lineRule="auto"/>
        <w:ind w:left="-142" w:firstLine="709"/>
        <w:rPr>
          <w:rFonts w:cs="Minion Pro"/>
        </w:rPr>
      </w:pPr>
      <w:r w:rsidRPr="002E0417">
        <w:rPr>
          <w:rFonts w:cs="Minion Pro"/>
        </w:rPr>
        <w:t>A</w:t>
      </w:r>
      <w:r w:rsidR="00A632BD" w:rsidRPr="002E0417">
        <w:t>smeninę rizikos toleranciją galima a</w:t>
      </w:r>
      <w:r w:rsidR="00B64208">
        <w:t>pibūdinti</w:t>
      </w:r>
      <w:r w:rsidR="00A632BD" w:rsidRPr="002E0417">
        <w:t xml:space="preserve"> kaip kainą</w:t>
      </w:r>
      <w:r w:rsidR="00B64208">
        <w:t>, kurią individas yra pasiruošęs</w:t>
      </w:r>
      <w:r w:rsidR="00A632BD" w:rsidRPr="002E0417">
        <w:t xml:space="preserve"> sumokėti už vidutinę grąžą iš savo investicijų. Tai </w:t>
      </w:r>
      <w:r w:rsidR="00B64208">
        <w:t xml:space="preserve">yra </w:t>
      </w:r>
      <w:r w:rsidR="00A632BD" w:rsidRPr="002E0417">
        <w:t xml:space="preserve">kiekvieno dalyvio pasirengimas siekiant </w:t>
      </w:r>
      <w:r w:rsidR="00B64208">
        <w:t xml:space="preserve">savo </w:t>
      </w:r>
      <w:r w:rsidR="00A632BD" w:rsidRPr="002E0417">
        <w:t>užsibrėžto pelningumo</w:t>
      </w:r>
      <w:r w:rsidR="00B64208">
        <w:t xml:space="preserve"> ir  kartu</w:t>
      </w:r>
      <w:r w:rsidR="00A632BD" w:rsidRPr="002E0417">
        <w:t xml:space="preserve"> aiškiai suvokiant, kokios dalies </w:t>
      </w:r>
      <w:r w:rsidRPr="002E0417">
        <w:t xml:space="preserve">savo investicijų </w:t>
      </w:r>
      <w:r w:rsidR="00B64208">
        <w:t>jis gali netekti.</w:t>
      </w:r>
    </w:p>
    <w:p w:rsidR="00A632BD" w:rsidRPr="002E0417" w:rsidRDefault="00A632BD" w:rsidP="00B85E4C">
      <w:pPr>
        <w:numPr>
          <w:ilvl w:val="0"/>
          <w:numId w:val="21"/>
        </w:numPr>
        <w:spacing w:after="0" w:line="360" w:lineRule="auto"/>
        <w:ind w:left="0" w:firstLine="567"/>
        <w:jc w:val="both"/>
      </w:pPr>
      <w:r w:rsidRPr="002E0417">
        <w:rPr>
          <w:rFonts w:cs="Minion Pro"/>
        </w:rPr>
        <w:lastRenderedPageBreak/>
        <w:t xml:space="preserve">Jauniausi </w:t>
      </w:r>
      <w:r w:rsidR="001F0607">
        <w:rPr>
          <w:rFonts w:cs="Minion Pro"/>
        </w:rPr>
        <w:t xml:space="preserve">pensijų fondų </w:t>
      </w:r>
      <w:r w:rsidRPr="002E0417">
        <w:rPr>
          <w:rFonts w:cs="Minion Pro"/>
        </w:rPr>
        <w:t>dalyviai teoriškai turėtų rink</w:t>
      </w:r>
      <w:r w:rsidR="001F0607">
        <w:rPr>
          <w:rFonts w:cs="Minion Pro"/>
        </w:rPr>
        <w:t>tis rizikingesnes priemones, kadangi</w:t>
      </w:r>
      <w:r w:rsidRPr="002E0417">
        <w:rPr>
          <w:rFonts w:cs="Minion Pro"/>
        </w:rPr>
        <w:t xml:space="preserve"> rizikingesnio turto investicinis augimo potencialas yra </w:t>
      </w:r>
      <w:r w:rsidR="001F0607">
        <w:rPr>
          <w:rFonts w:cs="Minion Pro"/>
        </w:rPr>
        <w:t xml:space="preserve">kur kas </w:t>
      </w:r>
      <w:r w:rsidRPr="002E0417">
        <w:rPr>
          <w:rFonts w:cs="Minion Pro"/>
        </w:rPr>
        <w:t>didesnis, o artėjant išėjimo į pensiją laikui, akcijų dalis</w:t>
      </w:r>
      <w:r w:rsidR="001F0607">
        <w:rPr>
          <w:rFonts w:cs="Minion Pro"/>
        </w:rPr>
        <w:t xml:space="preserve"> pensijų fonde</w:t>
      </w:r>
      <w:r w:rsidRPr="002E0417">
        <w:rPr>
          <w:rFonts w:cs="Minion Pro"/>
        </w:rPr>
        <w:t xml:space="preserve">, kuriame kaupiama </w:t>
      </w:r>
      <w:r w:rsidR="001F0607">
        <w:rPr>
          <w:rFonts w:cs="Minion Pro"/>
        </w:rPr>
        <w:t xml:space="preserve">asmens </w:t>
      </w:r>
      <w:r w:rsidRPr="002E0417">
        <w:rPr>
          <w:rFonts w:cs="Minion Pro"/>
        </w:rPr>
        <w:t>pensija, turėtų mažėti.</w:t>
      </w:r>
      <w:r w:rsidR="00B85E4C" w:rsidRPr="002E0417">
        <w:rPr>
          <w:rStyle w:val="Puslapioinaosnuoroda"/>
        </w:rPr>
        <w:footnoteReference w:id="126"/>
      </w:r>
    </w:p>
    <w:p w:rsidR="00445C7E" w:rsidRPr="002E0417" w:rsidRDefault="00445C7E" w:rsidP="00E95826">
      <w:pPr>
        <w:pStyle w:val="Betarp"/>
        <w:spacing w:line="360" w:lineRule="auto"/>
        <w:ind w:firstLine="567"/>
      </w:pPr>
      <w:r w:rsidRPr="002E0417">
        <w:t xml:space="preserve">Pagal finansų analitiko </w:t>
      </w:r>
      <w:r w:rsidR="00B5644E">
        <w:t xml:space="preserve">pateiktas </w:t>
      </w:r>
      <w:r w:rsidRPr="002E0417">
        <w:t xml:space="preserve">rekomendacijas, </w:t>
      </w:r>
      <w:r w:rsidR="00B5644E">
        <w:t>renkantis</w:t>
      </w:r>
      <w:r w:rsidRPr="002E0417">
        <w:t xml:space="preserve"> tinkamą investicijų kryptį, galima </w:t>
      </w:r>
      <w:r w:rsidR="00B5644E">
        <w:t xml:space="preserve">būtų </w:t>
      </w:r>
      <w:r w:rsidRPr="002E0417">
        <w:t xml:space="preserve">naudotis 100 proc. taisykle: </w:t>
      </w:r>
    </w:p>
    <w:p w:rsidR="00445C7E" w:rsidRPr="002E0417" w:rsidRDefault="00445C7E" w:rsidP="00E95826">
      <w:pPr>
        <w:pStyle w:val="Betarp"/>
        <w:numPr>
          <w:ilvl w:val="0"/>
          <w:numId w:val="9"/>
        </w:numPr>
        <w:tabs>
          <w:tab w:val="left" w:pos="1276"/>
        </w:tabs>
        <w:spacing w:line="360" w:lineRule="auto"/>
        <w:ind w:left="0" w:firstLine="567"/>
      </w:pPr>
      <w:r w:rsidRPr="002E0417">
        <w:rPr>
          <w:iCs/>
        </w:rPr>
        <w:t xml:space="preserve">Jei jums 30 metų, </w:t>
      </w:r>
      <w:r w:rsidR="00F62690">
        <w:rPr>
          <w:iCs/>
        </w:rPr>
        <w:t>tuomet tinkamiausias fondas būtų toks</w:t>
      </w:r>
      <w:r w:rsidRPr="002E0417">
        <w:rPr>
          <w:iCs/>
        </w:rPr>
        <w:t xml:space="preserve">, kuris 10 proc. pinigų padėjo kaip indėlį į banką, 30 proc. – investavo į Vyriausybės vertybinius popierius, o </w:t>
      </w:r>
      <w:r w:rsidR="00B5644E">
        <w:rPr>
          <w:iCs/>
        </w:rPr>
        <w:t>likusius</w:t>
      </w:r>
      <w:r w:rsidRPr="002E0417">
        <w:rPr>
          <w:iCs/>
        </w:rPr>
        <w:t xml:space="preserve"> 60 proc. – į akcijas. </w:t>
      </w:r>
    </w:p>
    <w:p w:rsidR="00445C7E" w:rsidRPr="002E0417" w:rsidRDefault="00445C7E" w:rsidP="00E95826">
      <w:pPr>
        <w:pStyle w:val="Betarp"/>
        <w:numPr>
          <w:ilvl w:val="0"/>
          <w:numId w:val="9"/>
        </w:numPr>
        <w:spacing w:line="360" w:lineRule="auto"/>
        <w:ind w:left="0" w:firstLine="567"/>
        <w:rPr>
          <w:iCs/>
        </w:rPr>
      </w:pPr>
      <w:r w:rsidRPr="002E0417">
        <w:rPr>
          <w:iCs/>
        </w:rPr>
        <w:t>Jei jums 50 metų, tai fondo investicijos galėtų būti tokios: 10 proc. – banko</w:t>
      </w:r>
      <w:r w:rsidR="00B5644E">
        <w:rPr>
          <w:iCs/>
        </w:rPr>
        <w:t xml:space="preserve"> indėlis; 50 proc. – investicijos</w:t>
      </w:r>
      <w:r w:rsidRPr="002E0417">
        <w:rPr>
          <w:iCs/>
        </w:rPr>
        <w:t xml:space="preserve"> į Vyriausybės vertybinius popierius; 40 proc. – į akcijas. </w:t>
      </w:r>
    </w:p>
    <w:p w:rsidR="001A29BD" w:rsidRPr="00CB4647" w:rsidRDefault="00445C7E" w:rsidP="00FE0BDE">
      <w:pPr>
        <w:pStyle w:val="Betarp"/>
        <w:spacing w:line="360" w:lineRule="auto"/>
        <w:ind w:firstLine="567"/>
        <w:rPr>
          <w:color w:val="0070C0"/>
        </w:rPr>
      </w:pPr>
      <w:r w:rsidRPr="002E0417">
        <w:t xml:space="preserve">Šios rekomendacijos yra tik orientacinio pobūdžio, </w:t>
      </w:r>
      <w:r w:rsidR="00F62690">
        <w:t>bet</w:t>
      </w:r>
      <w:r w:rsidRPr="002E0417">
        <w:t xml:space="preserve"> jos parodo, kokią investavimo kryptį</w:t>
      </w:r>
      <w:r w:rsidR="00F62690">
        <w:t xml:space="preserve">, kartu ir pensijų fondą, yra palankiausia </w:t>
      </w:r>
      <w:r w:rsidRPr="002E0417">
        <w:t>pasirinki skirtingo amžiaus grupių žmonėms.</w:t>
      </w:r>
      <w:r w:rsidRPr="002E0417">
        <w:rPr>
          <w:vertAlign w:val="superscript"/>
        </w:rPr>
        <w:footnoteReference w:id="127"/>
      </w:r>
      <w:r w:rsidRPr="002E0417">
        <w:t xml:space="preserve"> </w:t>
      </w:r>
      <w:r w:rsidR="00F62690">
        <w:t xml:space="preserve">Pasirinkta investavimo kryptis lemia, ar pensijų fondas sieks gauti kuo didesnį nesvyruojantį uždarbį, ar pensijų fondo turtą jis investuos </w:t>
      </w:r>
      <w:r w:rsidR="00CB4647">
        <w:t xml:space="preserve">taip, kad ilgalaikėje perspektyvoje jis gautų įmanomą didžiausią grąžą. Įstatymai paprastai riboja </w:t>
      </w:r>
      <w:r w:rsidR="00381533" w:rsidRPr="002E0417">
        <w:t>V</w:t>
      </w:r>
      <w:r w:rsidR="001A29BD" w:rsidRPr="002E0417">
        <w:t>yriausybės obligacijų dalies pens</w:t>
      </w:r>
      <w:r w:rsidR="00CB4647">
        <w:t xml:space="preserve">ijų fondų investavimo galimybes, </w:t>
      </w:r>
      <w:r w:rsidR="00381533" w:rsidRPr="002E0417">
        <w:t>todėl pagrindinė šių fon</w:t>
      </w:r>
      <w:r w:rsidR="001A29BD" w:rsidRPr="002E0417">
        <w:t xml:space="preserve">dų investicinio turto dalis yra litais ir eurais, </w:t>
      </w:r>
      <w:r w:rsidR="00CB4647">
        <w:t xml:space="preserve">o </w:t>
      </w:r>
      <w:r w:rsidR="001A29BD" w:rsidRPr="002E0417">
        <w:t xml:space="preserve">geografinės </w:t>
      </w:r>
      <w:r w:rsidR="001A29BD" w:rsidRPr="00786B37">
        <w:t xml:space="preserve">zonos – Lietuva ir </w:t>
      </w:r>
      <w:r w:rsidR="00CB4647" w:rsidRPr="00786B37">
        <w:t>ES</w:t>
      </w:r>
      <w:r w:rsidR="001A29BD" w:rsidRPr="00786B37">
        <w:t xml:space="preserve"> šalys. Kuo aukštesnės rizikos </w:t>
      </w:r>
      <w:r w:rsidR="00CB4647" w:rsidRPr="00786B37">
        <w:t xml:space="preserve">yra pensijų </w:t>
      </w:r>
      <w:r w:rsidR="001A29BD" w:rsidRPr="00786B37">
        <w:t>fondai (</w:t>
      </w:r>
      <w:r w:rsidR="00CB4647" w:rsidRPr="00786B37">
        <w:t xml:space="preserve">t.y. </w:t>
      </w:r>
      <w:r w:rsidR="001A29BD" w:rsidRPr="00786B37">
        <w:t xml:space="preserve">kuo didesnė </w:t>
      </w:r>
      <w:r w:rsidR="00381533" w:rsidRPr="00786B37">
        <w:t>dalis skiriama akcijoms ir akci</w:t>
      </w:r>
      <w:r w:rsidR="00CB4647" w:rsidRPr="00786B37">
        <w:t xml:space="preserve">jų KIS), tuo didesnė pastebima </w:t>
      </w:r>
      <w:r w:rsidR="001A29BD" w:rsidRPr="00786B37">
        <w:t>valiutų ir ge</w:t>
      </w:r>
      <w:r w:rsidR="00786B37" w:rsidRPr="00786B37">
        <w:t>ografinių zonų diversifikacija.</w:t>
      </w:r>
      <w:r w:rsidR="00786B37" w:rsidRPr="00786B37">
        <w:rPr>
          <w:rStyle w:val="Puslapioinaosnuoroda"/>
        </w:rPr>
        <w:footnoteReference w:id="128"/>
      </w:r>
      <w:r w:rsidR="00786B37" w:rsidRPr="00786B37">
        <w:t xml:space="preserve"> </w:t>
      </w:r>
      <w:r w:rsidR="00381533" w:rsidRPr="00786B37">
        <w:t xml:space="preserve">Tačiau </w:t>
      </w:r>
      <w:r w:rsidR="00786B37" w:rsidRPr="00786B37">
        <w:t>nepaisant to, kad pensijų fondai yra priskiriami tai pačiai grupei, jie gali turėti skirtingą investavimo stilių, kuris lemia ir skirtingus pensijų fondų rezultatus.</w:t>
      </w:r>
      <w:r w:rsidR="00064CAC" w:rsidRPr="00786B37">
        <w:t xml:space="preserve"> Be to, </w:t>
      </w:r>
      <w:r w:rsidR="001A29BD" w:rsidRPr="00786B37">
        <w:t xml:space="preserve">nors kai kurių fondų metinės grąžos </w:t>
      </w:r>
      <w:r w:rsidR="00786B37">
        <w:t xml:space="preserve">yra </w:t>
      </w:r>
      <w:r w:rsidR="001A29BD" w:rsidRPr="00786B37">
        <w:t xml:space="preserve">beveik vienodos, </w:t>
      </w:r>
      <w:r w:rsidR="00786B37">
        <w:t xml:space="preserve">jie taip gali būti </w:t>
      </w:r>
      <w:r w:rsidR="001A29BD" w:rsidRPr="00786B37">
        <w:t>priskiriami skirtingo</w:t>
      </w:r>
      <w:r w:rsidR="00786B37">
        <w:t>m</w:t>
      </w:r>
      <w:r w:rsidR="001A29BD" w:rsidRPr="00786B37">
        <w:t xml:space="preserve">s investavimo strategijos fondų grupėms. Tai leidžia </w:t>
      </w:r>
      <w:r w:rsidR="00786B37">
        <w:t xml:space="preserve">teigti, kad vien tik </w:t>
      </w:r>
      <w:r w:rsidR="001A29BD" w:rsidRPr="009928E4">
        <w:t xml:space="preserve">apibrėžta strategija dar neparodo, kokia bus pasiekta vidutinė metinė grąža. Taip pat </w:t>
      </w:r>
      <w:r w:rsidR="00786B37">
        <w:t xml:space="preserve">fondo </w:t>
      </w:r>
      <w:r w:rsidR="00786B37" w:rsidRPr="009928E4">
        <w:t>investavimo strategijoje numatyta didesnė akcijų dalis,</w:t>
      </w:r>
      <w:r w:rsidR="00786B37">
        <w:t xml:space="preserve"> </w:t>
      </w:r>
      <w:r w:rsidR="001A29BD" w:rsidRPr="009928E4">
        <w:t xml:space="preserve">ne visais atvejais </w:t>
      </w:r>
      <w:r w:rsidR="00786B37">
        <w:t>reiškia, kad fondas yra aukštesnės rizikos. Todėl</w:t>
      </w:r>
      <w:r w:rsidR="001A29BD" w:rsidRPr="009928E4">
        <w:t xml:space="preserve"> re</w:t>
      </w:r>
      <w:r w:rsidR="001A29BD" w:rsidRPr="00786B37">
        <w:t>nkantis pensijų fondą svarbu atsižvelgti ne tik į deklaruojam</w:t>
      </w:r>
      <w:r w:rsidR="00381533" w:rsidRPr="00786B37">
        <w:t>ą, bet ir į faktinį pensijų fon</w:t>
      </w:r>
      <w:r w:rsidR="001A29BD" w:rsidRPr="00786B37">
        <w:t>do rizikos lygį.</w:t>
      </w:r>
      <w:r w:rsidR="007D23C5" w:rsidRPr="00786B37">
        <w:rPr>
          <w:rStyle w:val="Puslapioinaosnuoroda"/>
        </w:rPr>
        <w:footnoteReference w:id="129"/>
      </w:r>
      <w:r w:rsidR="00C0288F" w:rsidRPr="00786B37">
        <w:t xml:space="preserve"> </w:t>
      </w:r>
      <w:r w:rsidR="00CB4647" w:rsidRPr="00786B37">
        <w:t xml:space="preserve">Netinkamai pasirinkus investavimo strategiją, atsiranda didelė tikimybė pensijų fondų dalyviui prarasti savo investuotas lėšas, kadangi visa investicijų rizika vis dėlto gula ant dalyvio pečių. </w:t>
      </w:r>
    </w:p>
    <w:p w:rsidR="00445C7E" w:rsidRPr="00EC4418" w:rsidRDefault="00445C7E" w:rsidP="0082776B">
      <w:pPr>
        <w:pStyle w:val="Betarp"/>
        <w:spacing w:line="360" w:lineRule="auto"/>
        <w:ind w:firstLine="567"/>
      </w:pPr>
      <w:r w:rsidRPr="004A643F">
        <w:rPr>
          <w:b/>
        </w:rPr>
        <w:t xml:space="preserve">Finansinio </w:t>
      </w:r>
      <w:r w:rsidRPr="00646E78">
        <w:rPr>
          <w:b/>
        </w:rPr>
        <w:t>š</w:t>
      </w:r>
      <w:r w:rsidRPr="004A643F">
        <w:rPr>
          <w:b/>
        </w:rPr>
        <w:t>vietimo reikalingumas</w:t>
      </w:r>
      <w:r>
        <w:rPr>
          <w:b/>
        </w:rPr>
        <w:t xml:space="preserve">. </w:t>
      </w:r>
      <w:r w:rsidR="00F5222E">
        <w:t>Didelė dalis gyventojų</w:t>
      </w:r>
      <w:r w:rsidRPr="00EC4418">
        <w:t xml:space="preserve"> nenusimano apie finansų rinka</w:t>
      </w:r>
      <w:r w:rsidR="00F5222E">
        <w:t>s, apie vertybinius popierius, jų rizikingumo laipsnį bei galimą</w:t>
      </w:r>
      <w:r w:rsidRPr="00EC4418">
        <w:t xml:space="preserve"> pelningumą. </w:t>
      </w:r>
      <w:r w:rsidR="00F5222E">
        <w:t>Todėl dauguma jų</w:t>
      </w:r>
      <w:r>
        <w:t xml:space="preserve"> </w:t>
      </w:r>
      <w:r w:rsidR="00F5222E">
        <w:t>nėra pajėgūs priimti sąmoningą</w:t>
      </w:r>
      <w:r>
        <w:t xml:space="preserve"> ir</w:t>
      </w:r>
      <w:r w:rsidR="00F5222E">
        <w:t xml:space="preserve"> pagrįstą</w:t>
      </w:r>
      <w:r w:rsidRPr="00EC4418">
        <w:t xml:space="preserve"> </w:t>
      </w:r>
      <w:r w:rsidR="00F5222E">
        <w:t>sprendimą renkantis</w:t>
      </w:r>
      <w:r w:rsidRPr="00EC4418">
        <w:t xml:space="preserve"> pensijų fondus bei jų</w:t>
      </w:r>
      <w:r w:rsidR="008E0747">
        <w:t xml:space="preserve"> siūlomus</w:t>
      </w:r>
      <w:r w:rsidRPr="00EC4418">
        <w:t xml:space="preserve"> planus, o tuo pačiu </w:t>
      </w:r>
      <w:r>
        <w:t xml:space="preserve">ir </w:t>
      </w:r>
      <w:r w:rsidR="00F5222E">
        <w:t>įvertinti</w:t>
      </w:r>
      <w:r w:rsidRPr="00EC4418">
        <w:t xml:space="preserve"> galimas </w:t>
      </w:r>
      <w:r w:rsidR="00F5222E">
        <w:t xml:space="preserve">tokio </w:t>
      </w:r>
      <w:r w:rsidRPr="00EC4418">
        <w:t xml:space="preserve">pasirinkimo pasekmes. R. Lazutkos teigimu „gyventojai veržiasi į </w:t>
      </w:r>
      <w:r w:rsidRPr="00EC4418">
        <w:lastRenderedPageBreak/>
        <w:t>privačius pensijų fondus genami socialinio nesaugumo</w:t>
      </w:r>
      <w:r>
        <w:t xml:space="preserve"> &lt;..&gt;</w:t>
      </w:r>
      <w:r w:rsidRPr="00EC4418">
        <w:t xml:space="preserve"> ".</w:t>
      </w:r>
      <w:r w:rsidR="008E0747" w:rsidRPr="00EC4418">
        <w:rPr>
          <w:rStyle w:val="Puslapioinaosnuoroda"/>
        </w:rPr>
        <w:footnoteReference w:id="130"/>
      </w:r>
      <w:r w:rsidRPr="00EC4418">
        <w:rPr>
          <w:i/>
        </w:rPr>
        <w:t xml:space="preserve"> </w:t>
      </w:r>
      <w:r w:rsidRPr="00EC4418">
        <w:t xml:space="preserve">Todėl pensijų fondai </w:t>
      </w:r>
      <w:r w:rsidR="008E0747">
        <w:t>siekdami pritraukti kuo daugiau žmonių</w:t>
      </w:r>
      <w:r w:rsidRPr="00EC4418">
        <w:t xml:space="preserve">, gali pasinaudoti tokiu jų neišmanymu, nepaisant asmeninių žmonių interesų. </w:t>
      </w:r>
    </w:p>
    <w:p w:rsidR="00445C7E" w:rsidRPr="00252537" w:rsidRDefault="00445C7E" w:rsidP="0082776B">
      <w:pPr>
        <w:pStyle w:val="Betarp"/>
        <w:spacing w:line="360" w:lineRule="auto"/>
        <w:ind w:firstLine="567"/>
      </w:pPr>
      <w:r>
        <w:t xml:space="preserve">Pensijų kaupimo dalyvis matydamas, kad pensijų fondas veikia neefektyviai, gali pasinaudoti </w:t>
      </w:r>
      <w:r w:rsidRPr="007D7099">
        <w:t xml:space="preserve">PKĮ </w:t>
      </w:r>
      <w:r>
        <w:t xml:space="preserve">numatyta </w:t>
      </w:r>
      <w:r w:rsidR="008E0747">
        <w:t>teise nutraukti sutartį ir pereiti į kitą pensijų kaupimo bendrovę.</w:t>
      </w:r>
      <w:r w:rsidR="008E0747">
        <w:rPr>
          <w:rStyle w:val="Puslapioinaosnuoroda"/>
        </w:rPr>
        <w:footnoteReference w:id="131"/>
      </w:r>
      <w:r>
        <w:t xml:space="preserve"> Tačiau, nors </w:t>
      </w:r>
      <w:r w:rsidRPr="00EC4418">
        <w:t xml:space="preserve">teisės aktuose nustatyta, kad valdymo įmonės kiekvienam pensijų fondų dalyviui ne rečiau kaip kartą per kalendorinius metus raštu ar kitokia dalyvio pageidaujama forma privalo pranešti apie jo vardu sumokėtų įmokų dydį, metinę investicijų grąžą, </w:t>
      </w:r>
      <w:r>
        <w:t>išskaitytų mokesčių dydį ir kt., vis dėlto</w:t>
      </w:r>
      <w:r w:rsidR="008F5E38">
        <w:t>, Bitino A. nuomone,</w:t>
      </w:r>
      <w:r>
        <w:t xml:space="preserve"> </w:t>
      </w:r>
      <w:r w:rsidRPr="00EC4418">
        <w:t xml:space="preserve">ne visais atvejais konkurencija Lietuvos pensijų fondų rinkoje yra sąžininga. </w:t>
      </w:r>
      <w:r w:rsidR="008F5E38">
        <w:t>Tokia išvada daroma, atsižvelgiant į tyrimo</w:t>
      </w:r>
      <w:r w:rsidRPr="00EC4418">
        <w:t xml:space="preserve"> „Pensijų kaupimo bendrovių valdomų valstybinio socialinio draudimo įmokos dalies kaupimo pensijų fondų ve</w:t>
      </w:r>
      <w:r>
        <w:t xml:space="preserve">iklos tyrimo rezultatai“ </w:t>
      </w:r>
      <w:r w:rsidR="00F5222E">
        <w:t>gautas išvadas, kuri</w:t>
      </w:r>
      <w:r w:rsidR="008F5E38">
        <w:t xml:space="preserve">ose </w:t>
      </w:r>
      <w:r>
        <w:t>pažymėta</w:t>
      </w:r>
      <w:r w:rsidRPr="00EC4418">
        <w:t xml:space="preserve">, kad viešai skelbiamiems </w:t>
      </w:r>
      <w:r w:rsidR="00BE3841">
        <w:t>VSD</w:t>
      </w:r>
      <w:r w:rsidRPr="00EC4418">
        <w:t xml:space="preserve"> įmokos dali</w:t>
      </w:r>
      <w:r w:rsidR="00BE3841">
        <w:t>es kaupimo pensijų fondų veiklo</w:t>
      </w:r>
      <w:r w:rsidRPr="00EC4418">
        <w:t>s rezultatams naudojamas atskleisti pensijų fondų apskaitos vienetų vertės pokytis neparodo grynojo pensijų fondų veiklos rezultato</w:t>
      </w:r>
      <w:r>
        <w:t xml:space="preserve">, </w:t>
      </w:r>
      <w:r w:rsidR="008F5E38">
        <w:t xml:space="preserve">o </w:t>
      </w:r>
      <w:r>
        <w:t>vertinant pensijų fondų vei</w:t>
      </w:r>
      <w:r w:rsidR="008F5E38">
        <w:t>klą, dėmesys turėtų būti kreipiamas</w:t>
      </w:r>
      <w:r>
        <w:t xml:space="preserve"> į pervestų lėšų grynąją grąžą, </w:t>
      </w:r>
      <w:r w:rsidR="008F5E38">
        <w:t>nes</w:t>
      </w:r>
      <w:r>
        <w:t xml:space="preserve"> vieneto vertės pokytis neatspindi tikrosios padėties, dėl to, kad skaičiuojant vieneto vertės pokytį</w:t>
      </w:r>
      <w:r w:rsidRPr="00EC4418">
        <w:t xml:space="preserve"> </w:t>
      </w:r>
      <w:r w:rsidR="008F5E38">
        <w:t xml:space="preserve">nėra atsižvelgiama į išskaičiuojamus </w:t>
      </w:r>
      <w:r w:rsidRPr="00EC4418">
        <w:t xml:space="preserve">mokesčius bei neįvertinama, kad </w:t>
      </w:r>
      <w:r w:rsidRPr="00252537">
        <w:t>lėšos pervedamos skirtingais laikotarpiais.</w:t>
      </w:r>
      <w:r w:rsidRPr="00252537">
        <w:rPr>
          <w:rStyle w:val="Puslapioinaosnuoroda"/>
        </w:rPr>
        <w:footnoteReference w:id="132"/>
      </w:r>
    </w:p>
    <w:p w:rsidR="00445C7E" w:rsidRPr="00252537" w:rsidRDefault="008F5E38" w:rsidP="0082776B">
      <w:pPr>
        <w:pStyle w:val="Betarp"/>
        <w:spacing w:line="360" w:lineRule="auto"/>
        <w:ind w:firstLine="567"/>
      </w:pPr>
      <w:r>
        <w:t>Ž</w:t>
      </w:r>
      <w:r w:rsidR="00445C7E" w:rsidRPr="00252537">
        <w:t>emas kaupimo sistemos daly</w:t>
      </w:r>
      <w:r>
        <w:t>vių finansinio raštingumo lygis yra viena iš didžiausių problemų.</w:t>
      </w:r>
      <w:r w:rsidR="00445C7E" w:rsidRPr="00252537">
        <w:t xml:space="preserve"> Sprendimai priimami remiantis neteisinga informacija. Žmonėms vis labiau reikia priimti kompetentingus sprendimus dėl pensijų produktų, jų santaupų, darbo stažo trukmės ir išėjimo į pensiją laiko apskaičiavimo. Kadangi programų dalyvių </w:t>
      </w:r>
      <w:r w:rsidR="00E32FF3">
        <w:t>yra reikalaujama</w:t>
      </w:r>
      <w:r w:rsidR="00445C7E" w:rsidRPr="00252537">
        <w:t xml:space="preserve"> prisiimti daugiau atsakomybės už savo pensijas, </w:t>
      </w:r>
      <w:r w:rsidR="00E32FF3">
        <w:t xml:space="preserve">tam, kad galėtų </w:t>
      </w:r>
      <w:r w:rsidR="00E32FF3" w:rsidRPr="00252537">
        <w:t>priimti kompetentin</w:t>
      </w:r>
      <w:r w:rsidR="00E32FF3">
        <w:t xml:space="preserve">gus sprendimus, </w:t>
      </w:r>
      <w:r w:rsidR="00445C7E" w:rsidRPr="00252537">
        <w:t xml:space="preserve">jie </w:t>
      </w:r>
      <w:r w:rsidR="00E32FF3">
        <w:t>privalo</w:t>
      </w:r>
      <w:r w:rsidR="00445C7E" w:rsidRPr="00252537">
        <w:t xml:space="preserve"> geriau</w:t>
      </w:r>
      <w:r w:rsidR="00E32FF3">
        <w:t xml:space="preserve"> išmanyti finansinius klausimus</w:t>
      </w:r>
      <w:r w:rsidR="00E32FF3" w:rsidRPr="00E32FF3">
        <w:t>.</w:t>
      </w:r>
      <w:r w:rsidR="00445C7E" w:rsidRPr="00E32FF3">
        <w:t xml:space="preserve"> Tik profesionaliai įvertinęs gautą informaciją asmuo gali padaryti teisingą sprendimą rinkdamasis pensijų fondus bei jų siūlomas investavimo strategijas. Mažai </w:t>
      </w:r>
      <w:r w:rsidR="00445C7E" w:rsidRPr="00252537">
        <w:t xml:space="preserve">tikėtina, kad </w:t>
      </w:r>
      <w:r w:rsidR="00E32FF3">
        <w:t>asmenys, mažiau išmanantys finansus</w:t>
      </w:r>
      <w:r w:rsidR="00445C7E" w:rsidRPr="00252537">
        <w:t xml:space="preserve">, pasinaudos sudėtingesniais finansiniais instrumentais, todėl </w:t>
      </w:r>
      <w:r w:rsidR="00E32FF3">
        <w:t xml:space="preserve">tuo pačiu </w:t>
      </w:r>
      <w:r w:rsidR="00445C7E" w:rsidRPr="00252537">
        <w:t xml:space="preserve">mažai tikėtina ir tai, kad </w:t>
      </w:r>
      <w:r w:rsidR="00E32FF3">
        <w:t xml:space="preserve">jie </w:t>
      </w:r>
      <w:r w:rsidR="00445C7E" w:rsidRPr="00252537">
        <w:t xml:space="preserve">taupys savo pensijai. </w:t>
      </w:r>
      <w:r w:rsidR="00E32FF3">
        <w:t>Žmonės</w:t>
      </w:r>
      <w:r w:rsidR="00445C7E" w:rsidRPr="00252537">
        <w:t xml:space="preserve"> susidūrę su plačiu </w:t>
      </w:r>
      <w:r w:rsidR="00445C7E">
        <w:t xml:space="preserve">pasirinkimu ar painiais klausimais, greičiausiai gali rinktis neveiklumą. Todėl būtinas dalyvių finansinis švietimas. </w:t>
      </w:r>
      <w:r w:rsidR="00445C7E" w:rsidRPr="005164C6">
        <w:t>Švietimas skiriasi nuo informavimo, nes apima ir pastarąjį procesą</w:t>
      </w:r>
      <w:r w:rsidR="00E32FF3">
        <w:t>, o kartu ir</w:t>
      </w:r>
      <w:r w:rsidR="00445C7E" w:rsidRPr="005164C6">
        <w:t xml:space="preserve"> įgūdžių formavimą, ir m</w:t>
      </w:r>
      <w:r w:rsidR="00E32FF3">
        <w:t>otyvaciją keisti savo elgesį. Tiek švietimas, tiek</w:t>
      </w:r>
      <w:r w:rsidR="00445C7E" w:rsidRPr="005164C6">
        <w:t xml:space="preserve"> informavimas yra naudingi: pavyzdžiui, Airijoje buvo organizuota sąmoningumo didinimo kampanija, kuria </w:t>
      </w:r>
      <w:r w:rsidR="00E32FF3">
        <w:t>siekta skatinti supratimą</w:t>
      </w:r>
      <w:r w:rsidR="00445C7E" w:rsidRPr="005164C6">
        <w:t>, kaip veikia pensijų sistema. Akcija padidino susid</w:t>
      </w:r>
      <w:r w:rsidR="00E32FF3">
        <w:t>omėjimą</w:t>
      </w:r>
      <w:r w:rsidR="00E32FF3" w:rsidRPr="00E32FF3">
        <w:t xml:space="preserve"> </w:t>
      </w:r>
      <w:r w:rsidR="00E32FF3">
        <w:t>asmeninėmis pensijų sąskaitomis (ypatingai</w:t>
      </w:r>
      <w:r w:rsidR="00445C7E" w:rsidRPr="005164C6">
        <w:t xml:space="preserve"> 25</w:t>
      </w:r>
      <w:r w:rsidR="00E32FF3">
        <w:t xml:space="preserve">–35 metų amžiaus asmenų grupės). </w:t>
      </w:r>
      <w:r w:rsidR="00A76B51">
        <w:t>Be to, informuotumas kartu su</w:t>
      </w:r>
      <w:r w:rsidR="00445C7E" w:rsidRPr="005164C6">
        <w:t xml:space="preserve"> finansiniu išmanymu,</w:t>
      </w:r>
      <w:r w:rsidR="00445C7E">
        <w:t xml:space="preserve"> </w:t>
      </w:r>
      <w:r w:rsidR="00445C7E" w:rsidRPr="005164C6">
        <w:t xml:space="preserve">gali ne tik </w:t>
      </w:r>
      <w:r w:rsidR="00445C7E" w:rsidRPr="005164C6">
        <w:lastRenderedPageBreak/>
        <w:t xml:space="preserve">pagerinti konkretaus </w:t>
      </w:r>
      <w:r w:rsidR="00445C7E">
        <w:t>pensijų kaupimo dalyvio padėtį, bet ir atgaivinti fi</w:t>
      </w:r>
      <w:r w:rsidR="00445C7E" w:rsidRPr="005164C6">
        <w:t>nansinių paslaugų</w:t>
      </w:r>
      <w:r w:rsidR="00445C7E">
        <w:t xml:space="preserve"> </w:t>
      </w:r>
      <w:r w:rsidR="00445C7E" w:rsidRPr="005164C6">
        <w:t>rinką, ir padaryti ją konkurencingesnę.</w:t>
      </w:r>
      <w:r w:rsidR="00445C7E">
        <w:t xml:space="preserve"> Tiesa, n</w:t>
      </w:r>
      <w:r w:rsidR="00445C7E" w:rsidRPr="00B02E1C">
        <w:t>ors šalyse vadovavimas ir reguliavimas</w:t>
      </w:r>
      <w:r w:rsidR="00445C7E">
        <w:t xml:space="preserve"> </w:t>
      </w:r>
      <w:r w:rsidR="00445C7E" w:rsidRPr="00B02E1C">
        <w:t>gerokai skiriasi, pastebimos tam tikros</w:t>
      </w:r>
      <w:r w:rsidR="00445C7E">
        <w:t xml:space="preserve"> </w:t>
      </w:r>
      <w:r w:rsidR="00445C7E" w:rsidRPr="00B02E1C">
        <w:t>tendencijos – nė kiek nesiekiama aiškumo.</w:t>
      </w:r>
      <w:r w:rsidR="00445C7E">
        <w:t xml:space="preserve"> </w:t>
      </w:r>
      <w:r w:rsidR="00445C7E" w:rsidRPr="00B02E1C">
        <w:t xml:space="preserve">Ypač </w:t>
      </w:r>
      <w:r w:rsidR="00A76B51">
        <w:t>akcentuojamas</w:t>
      </w:r>
      <w:r w:rsidR="00445C7E" w:rsidRPr="00B02E1C">
        <w:t xml:space="preserve"> poreikis</w:t>
      </w:r>
      <w:r w:rsidR="00445C7E">
        <w:t xml:space="preserve"> </w:t>
      </w:r>
      <w:r w:rsidR="00445C7E" w:rsidRPr="00B02E1C">
        <w:t>vartoti paprastesnius terminus, kad</w:t>
      </w:r>
      <w:r w:rsidR="00445C7E">
        <w:t xml:space="preserve"> </w:t>
      </w:r>
      <w:r w:rsidR="00445C7E" w:rsidRPr="00B02E1C">
        <w:t>nebūtų painiojami piliečiai (pavyzdžiui,</w:t>
      </w:r>
      <w:r w:rsidR="00445C7E">
        <w:t xml:space="preserve"> </w:t>
      </w:r>
      <w:r w:rsidR="00445C7E" w:rsidRPr="00B02E1C">
        <w:t>Airijoje ir Ispanijoje).</w:t>
      </w:r>
      <w:r w:rsidR="00445C7E" w:rsidRPr="00252537">
        <w:rPr>
          <w:rStyle w:val="Puslapioinaosnuoroda"/>
        </w:rPr>
        <w:footnoteReference w:id="133"/>
      </w:r>
    </w:p>
    <w:p w:rsidR="00445C7E" w:rsidRDefault="00445C7E" w:rsidP="0082776B">
      <w:pPr>
        <w:pStyle w:val="Betarp"/>
        <w:spacing w:line="360" w:lineRule="auto"/>
        <w:ind w:firstLine="567"/>
      </w:pPr>
      <w:r>
        <w:t>Taigi, finansinis žmonių švietimas paskatintų</w:t>
      </w:r>
      <w:r w:rsidRPr="00252537">
        <w:t xml:space="preserve"> </w:t>
      </w:r>
      <w:r>
        <w:t>juos labiau domėtis pensijų fondų veikla ir priimti labiau pagrįstus sprendimus dėl dalyvavo kaupimo sistemoje bei renkantis konkretų pensijų fondą, tai savo ruožtų lemtų ir pensijų fondų suinteresuotumą dirbti efektyviai.</w:t>
      </w:r>
      <w:r w:rsidRPr="00252537">
        <w:t xml:space="preserve"> </w:t>
      </w:r>
    </w:p>
    <w:p w:rsidR="00445C7E" w:rsidRDefault="00445C7E" w:rsidP="00E95826">
      <w:pPr>
        <w:pStyle w:val="Betarp"/>
        <w:spacing w:line="360" w:lineRule="auto"/>
        <w:ind w:firstLine="567"/>
        <w:rPr>
          <w:b/>
        </w:rPr>
      </w:pPr>
    </w:p>
    <w:p w:rsidR="00445C7E" w:rsidRPr="00D32EED" w:rsidRDefault="00445C7E" w:rsidP="00E95826">
      <w:pPr>
        <w:pStyle w:val="Betarp"/>
        <w:spacing w:line="360" w:lineRule="auto"/>
        <w:ind w:firstLine="567"/>
        <w:rPr>
          <w:b/>
        </w:rPr>
      </w:pPr>
      <w:r>
        <w:rPr>
          <w:b/>
        </w:rPr>
        <w:t>3.</w:t>
      </w:r>
      <w:r>
        <w:rPr>
          <w:b/>
          <w:lang w:val="es-ES"/>
        </w:rPr>
        <w:t>3</w:t>
      </w:r>
      <w:r>
        <w:rPr>
          <w:b/>
        </w:rPr>
        <w:t>. Su investavimu susijusios problemos</w:t>
      </w:r>
    </w:p>
    <w:p w:rsidR="00445C7E" w:rsidRDefault="00445C7E" w:rsidP="00E95826">
      <w:pPr>
        <w:pStyle w:val="Betarp"/>
        <w:spacing w:line="360" w:lineRule="auto"/>
        <w:ind w:firstLine="567"/>
        <w:rPr>
          <w:b/>
        </w:rPr>
      </w:pPr>
    </w:p>
    <w:p w:rsidR="00445C7E" w:rsidRPr="00E50299" w:rsidRDefault="00445C7E" w:rsidP="00E95826">
      <w:pPr>
        <w:pStyle w:val="Betarp"/>
        <w:spacing w:line="360" w:lineRule="auto"/>
        <w:ind w:firstLine="567"/>
        <w:rPr>
          <w:color w:val="8064A2"/>
        </w:rPr>
      </w:pPr>
      <w:r>
        <w:rPr>
          <w:b/>
        </w:rPr>
        <w:t>M</w:t>
      </w:r>
      <w:r w:rsidRPr="00EC4418">
        <w:rPr>
          <w:b/>
        </w:rPr>
        <w:t>inimalus in</w:t>
      </w:r>
      <w:r>
        <w:rPr>
          <w:b/>
        </w:rPr>
        <w:t xml:space="preserve">vestavimo pajamingumas. </w:t>
      </w:r>
      <w:r w:rsidRPr="007A555A">
        <w:t>Y</w:t>
      </w:r>
      <w:r>
        <w:t>ra</w:t>
      </w:r>
      <w:r w:rsidRPr="00BF073B">
        <w:t xml:space="preserve"> išskiriamas dar vienas pensijų fondų reguliavimo komponentų – minimalios grąžos garantijos, nors šis pensijų reguliavimo komponentas negali būti laikomas pensijų investicijų reguliavimo dalimi, tačiau kaip ir investicinio portfelio reguliavimas, </w:t>
      </w:r>
      <w:r w:rsidRPr="007A555A">
        <w:t>jis turi tiesioginę įtaką pensijų fondų portfelių grąžai ir rizikai.</w:t>
      </w:r>
    </w:p>
    <w:p w:rsidR="00445C7E" w:rsidRPr="00BF073B" w:rsidRDefault="00445C7E" w:rsidP="00E50299">
      <w:pPr>
        <w:pStyle w:val="Betarp"/>
        <w:spacing w:line="360" w:lineRule="auto"/>
        <w:ind w:firstLine="567"/>
      </w:pPr>
      <w:r w:rsidRPr="00BF073B">
        <w:t>Šveicarijoje, kurioje yra numatytas privalomas dalyvavimas antros pakopos pensijų fonduose, taikomas minimalus metinis inv</w:t>
      </w:r>
      <w:r w:rsidR="00F5222E">
        <w:t>esticijų pajamingumas sudaro 4 proc</w:t>
      </w:r>
      <w:r w:rsidRPr="00BF073B">
        <w:t>. Singapūre minimali metinė investicijų gr</w:t>
      </w:r>
      <w:r w:rsidR="00F5222E">
        <w:t>ąžą sudaro 2.5 proc</w:t>
      </w:r>
      <w:r w:rsidRPr="00BF073B">
        <w:t xml:space="preserve">. </w:t>
      </w:r>
      <w:r>
        <w:t>Vis dėlto, d</w:t>
      </w:r>
      <w:r w:rsidRPr="00BF073B">
        <w:t xml:space="preserve">augumoje valstybių, </w:t>
      </w:r>
      <w:r>
        <w:t xml:space="preserve">tame tarpe ir Lietuvoje, </w:t>
      </w:r>
      <w:r w:rsidRPr="00BF073B">
        <w:t xml:space="preserve">kur dalyvavimas pensijų fonduose yra vis dar laisvanoriškas, iki šiol nėra jokių nuostatų dėl minimalios investicinės grąžos, netgi tada, kada pensijų fondo veikla </w:t>
      </w:r>
      <w:r>
        <w:t xml:space="preserve">yra pagrįsta apibrėžtų įmokų </w:t>
      </w:r>
      <w:r w:rsidRPr="00BF073B">
        <w:t>ir darbuotojai prisiima visą investicinę grąžą.</w:t>
      </w:r>
      <w:r w:rsidRPr="00BF073B">
        <w:rPr>
          <w:rStyle w:val="Puslapioinaosnuoroda"/>
        </w:rPr>
        <w:footnoteReference w:id="134"/>
      </w:r>
    </w:p>
    <w:p w:rsidR="00445C7E" w:rsidRPr="007A555A" w:rsidRDefault="00445C7E" w:rsidP="00E95826">
      <w:pPr>
        <w:pStyle w:val="Betarp"/>
        <w:spacing w:line="360" w:lineRule="auto"/>
        <w:ind w:firstLine="567"/>
      </w:pPr>
      <w:r>
        <w:t>II</w:t>
      </w:r>
      <w:r w:rsidRPr="00EC4418">
        <w:t xml:space="preserve"> pakopos pensijų fondų veikla remiasi apdraustųjų lėšų investavimu. Kaupimo modelyje kiekvienas dalyvis iš kaupiamosios schemos gau</w:t>
      </w:r>
      <w:r w:rsidR="00F5222E">
        <w:t>s tiek, kiek jis įmokėjo įmokų plius arba</w:t>
      </w:r>
      <w:r w:rsidRPr="00EC4418">
        <w:t xml:space="preserve"> minus investicinis pel</w:t>
      </w:r>
      <w:r w:rsidR="00F5222E">
        <w:t>nas</w:t>
      </w:r>
      <w:r w:rsidRPr="00EC4418">
        <w:t xml:space="preserve">. Teisę į išmokas suteikia ne įstatymas, o privatus kontraktas, t.y. teisė į pensiją yra finansinė, o ne politinė. </w:t>
      </w:r>
      <w:r w:rsidR="00F5222E">
        <w:t>Taip</w:t>
      </w:r>
      <w:r w:rsidRPr="00EC4418">
        <w:t xml:space="preserve"> ši schema tampa nepriklausoma finansiškai nuo valstybės biudžeto, net ir tuo atveju, kai d</w:t>
      </w:r>
      <w:r>
        <w:t>alyvavimas joje yra privalomas</w:t>
      </w:r>
      <w:r w:rsidRPr="00AD7CC7">
        <w:t>.</w:t>
      </w:r>
      <w:r w:rsidRPr="00AD7CC7">
        <w:rPr>
          <w:rStyle w:val="Puslapioinaosnuoroda"/>
        </w:rPr>
        <w:footnoteReference w:id="135"/>
      </w:r>
      <w:r w:rsidRPr="00AD7CC7">
        <w:t xml:space="preserve"> Privatizuotos </w:t>
      </w:r>
      <w:r w:rsidRPr="00EC4418">
        <w:t xml:space="preserve">pensijos dalies dydis </w:t>
      </w:r>
      <w:r w:rsidRPr="007A555A">
        <w:t>negarantuojamas valstybės, bet paliekamas rinkos jėgoms ir rizikoms.</w:t>
      </w:r>
      <w:r w:rsidRPr="007A555A">
        <w:rPr>
          <w:rStyle w:val="Puslapioinaosnuoroda"/>
        </w:rPr>
        <w:footnoteReference w:id="136"/>
      </w:r>
    </w:p>
    <w:p w:rsidR="00445C7E" w:rsidRPr="00596FE4" w:rsidRDefault="00445C7E" w:rsidP="00E95826">
      <w:pPr>
        <w:pStyle w:val="Betarp"/>
        <w:spacing w:line="360" w:lineRule="auto"/>
        <w:ind w:firstLine="567"/>
        <w:rPr>
          <w:u w:val="single"/>
        </w:rPr>
      </w:pPr>
      <w:r w:rsidRPr="007A555A">
        <w:rPr>
          <w:lang w:eastAsia="lt-LT"/>
        </w:rPr>
        <w:t>Kaip minėta anksčiau</w:t>
      </w:r>
      <w:r w:rsidRPr="00EC4418">
        <w:rPr>
          <w:lang w:eastAsia="lt-LT"/>
        </w:rPr>
        <w:t xml:space="preserve">, valdytojas pensijų fondo portfelį valdo atsižvelgdamas į pensijų fondo dalyvio nustatytas ribas (sutartis). Tačiau </w:t>
      </w:r>
      <w:r w:rsidRPr="00EC4418">
        <w:t>visa tai s</w:t>
      </w:r>
      <w:r w:rsidRPr="00EC4418">
        <w:rPr>
          <w:rFonts w:eastAsia="TimesNewRoman"/>
        </w:rPr>
        <w:t>ą</w:t>
      </w:r>
      <w:r w:rsidRPr="00EC4418">
        <w:t>lygoja daugyb</w:t>
      </w:r>
      <w:r w:rsidRPr="00EC4418">
        <w:rPr>
          <w:rFonts w:eastAsia="TimesNewRoman"/>
        </w:rPr>
        <w:t>ė</w:t>
      </w:r>
      <w:r w:rsidRPr="00EC4418">
        <w:t>s klausim</w:t>
      </w:r>
      <w:r w:rsidRPr="00EC4418">
        <w:rPr>
          <w:rFonts w:eastAsia="TimesNewRoman"/>
        </w:rPr>
        <w:t xml:space="preserve">ų </w:t>
      </w:r>
      <w:r w:rsidRPr="00EC4418">
        <w:t>atsiradim</w:t>
      </w:r>
      <w:r w:rsidRPr="00EC4418">
        <w:rPr>
          <w:rFonts w:eastAsia="TimesNewRoman"/>
        </w:rPr>
        <w:t>ą.</w:t>
      </w:r>
      <w:r w:rsidRPr="00EC4418">
        <w:t xml:space="preserve"> </w:t>
      </w:r>
      <w:r>
        <w:t>PSPK</w:t>
      </w:r>
      <w:r w:rsidRPr="00EC4418">
        <w:t xml:space="preserve"> įstatymo</w:t>
      </w:r>
      <w:r w:rsidRPr="00EC4418">
        <w:rPr>
          <w:rStyle w:val="Puslapioinaosnuoroda"/>
        </w:rPr>
        <w:footnoteReference w:id="137"/>
      </w:r>
      <w:r w:rsidRPr="00EC4418">
        <w:t xml:space="preserve"> 2 straipsnio 14 dalimi įtvirtina, kad „</w:t>
      </w:r>
      <w:r w:rsidRPr="00EC4418">
        <w:rPr>
          <w:iCs/>
        </w:rPr>
        <w:t xml:space="preserve">Pensijų fondas – fiziniams asmenims, savanoriškai kaupiantiems pensijas bei mokantiems pensijų įmokas į pensijų fondą, bendrosios dalinės nuosavybės teise priklausantis pensijų turtas, </w:t>
      </w:r>
      <w:r w:rsidRPr="00EC4418">
        <w:rPr>
          <w:i/>
          <w:iCs/>
        </w:rPr>
        <w:t>kurio valdymas perduotas pensijų fondo valdymo įmonei ir kuris investuojamas pagal to pensijų fondo taisykles</w:t>
      </w:r>
      <w:r w:rsidRPr="00EC4418">
        <w:rPr>
          <w:i/>
        </w:rPr>
        <w:t>.</w:t>
      </w:r>
      <w:r w:rsidRPr="00EC4418">
        <w:t>“</w:t>
      </w:r>
      <w:r w:rsidRPr="007A555A">
        <w:t xml:space="preserve"> Toliau</w:t>
      </w:r>
      <w:r w:rsidRPr="00EC4418">
        <w:t xml:space="preserve"> </w:t>
      </w:r>
      <w:r w:rsidRPr="00EC4418">
        <w:rPr>
          <w:bCs/>
        </w:rPr>
        <w:t xml:space="preserve">3 straipsnio (Teisė verstis pensijų kaupimo </w:t>
      </w:r>
      <w:r w:rsidRPr="00EC4418">
        <w:rPr>
          <w:bCs/>
        </w:rPr>
        <w:lastRenderedPageBreak/>
        <w:t>veikla)</w:t>
      </w:r>
      <w:r w:rsidRPr="00EC4418">
        <w:rPr>
          <w:b/>
          <w:bCs/>
        </w:rPr>
        <w:t xml:space="preserve"> </w:t>
      </w:r>
      <w:r w:rsidRPr="00EC4418">
        <w:t>3 dalyje pasakyta, kad „Valdymo įmonė gali pradėti pensijų kaupimo veiklą tik tuo atveju, kai priežiūros institucija jos nustatyta tvarka patvirtina atitinkamas pensijų fondo taisykles.“ Taigi analizuojant pensijų kaupimo įstatymą ir papildomo savanoriško pensijų kaupimo įstatymo nuostatas, darytina išvada, kad įtvirtintu reguliavimu nepaliekama diskrecijos susitariančioms šalims, nes asmuo nusprendęs dalyvauti pensijų kaupime pasirašydamas pensijų</w:t>
      </w:r>
      <w:r w:rsidRPr="007A555A">
        <w:t xml:space="preserve"> kaupimo sutartį tik pritaria jau iš anksto pensijų kaupimo bendrovės nustatytoms sąlygoms, todėl logiška būtų manyti, kad nustatydama išankstines sąlygas ir nepalikdama diskrecijos asmenims nusprendusiems dalyvauti pensijų kaupime, valstybė bei pensijų fondai turėtų dalyviams suteikti tam tikras garantijas bei iš dalies prisiimti investicinę riziką, tačiau remiantis dabar galiojančiais pensijų kaupimo veiklą reglamentuojanč</w:t>
      </w:r>
      <w:r w:rsidR="00CE7E03">
        <w:t xml:space="preserve">iais įstatymais, tai vis dėlto </w:t>
      </w:r>
      <w:r w:rsidRPr="007A555A">
        <w:t>paliekama pensijų fondų dalyviams.</w:t>
      </w:r>
    </w:p>
    <w:p w:rsidR="00445C7E" w:rsidRPr="00EC4418" w:rsidRDefault="00445C7E" w:rsidP="00E95826">
      <w:pPr>
        <w:pStyle w:val="Betarp"/>
        <w:spacing w:line="360" w:lineRule="auto"/>
        <w:ind w:firstLine="567"/>
      </w:pPr>
      <w:r w:rsidRPr="00EC4418">
        <w:t xml:space="preserve">Pažymėtina, kad įstatymuose numatyta nemažai reikalavimų pensijų kaupimo bendrovėms bei garantijų, kurios turėtų užtikrinti sėkmingą pensijų kaupimo bendrovių funkcionavimą ir pensijų fondų valdymą. </w:t>
      </w:r>
      <w:r>
        <w:t>Tokių garantijų, kaip antai galimybė keis</w:t>
      </w:r>
      <w:r w:rsidR="00D97585">
        <w:t>t</w:t>
      </w:r>
      <w:r>
        <w:t>i pensijų fondą, pensijų turto atskyrimas nuo nuosavo valdymo įmonės turto, draudimas atlikti iš pensijų turto atskaitymus, kurie nesusiję su pensijų fondo valdymu bei kt., p</w:t>
      </w:r>
      <w:r w:rsidRPr="00EC4418">
        <w:t xml:space="preserve">irminis tikslas yra apdrausti pensijų kaupimo dalyvius nuo pensijų kaupimo bendrovių nemokumo, priimtų netinkamų sprendimų bei galimos klaidų rizikos. Nepaisant numatytų </w:t>
      </w:r>
      <w:r w:rsidRPr="007A555A">
        <w:t>įvairių reikalavimų</w:t>
      </w:r>
      <w:r w:rsidRPr="00EC4418">
        <w:t xml:space="preserve">, investicinė rizika išlieka. </w:t>
      </w:r>
    </w:p>
    <w:p w:rsidR="00445C7E" w:rsidRPr="00EC4418" w:rsidRDefault="00445C7E" w:rsidP="00E95826">
      <w:pPr>
        <w:pStyle w:val="Betarp"/>
        <w:spacing w:line="360" w:lineRule="auto"/>
        <w:ind w:firstLine="567"/>
        <w:rPr>
          <w:b/>
        </w:rPr>
      </w:pPr>
      <w:r w:rsidRPr="00EC4418">
        <w:t>Dėl dalies įmokų nukreipimo iš Sodros privatiems pensijų fondams, jų nariai (dalyviai), sulaukę pensinio amžiaus gaus sumažintą Sodros senatvės pensiją. Tą sumažinimą galėtų tikėtis kompensuoti papildoma pensija, lėšos kuriai būtų sukauptos privačiuose pensijų fonduose.</w:t>
      </w:r>
      <w:r w:rsidRPr="00EC4418">
        <w:rPr>
          <w:vertAlign w:val="superscript"/>
        </w:rPr>
        <w:footnoteReference w:id="138"/>
      </w:r>
      <w:r w:rsidRPr="00EC4418">
        <w:t xml:space="preserve"> Tačiau kaupiamųjų pensijų sistema nesuteikia minimalių pensijų garantijų. Bankroto atveju visa atsakomybė tenka dalyviams, o ne valdymo įmonei, nes ji yra ribotos atsakomybės bendrovė, kuri neprivalo pagal įstatymą garantuoti minimalaus pajamingumo, o tai reiškia, kad valstybė dėl to neprisiima atsakomybės.</w:t>
      </w:r>
      <w:r w:rsidRPr="00EC4418">
        <w:rPr>
          <w:vertAlign w:val="superscript"/>
        </w:rPr>
        <w:footnoteReference w:id="139"/>
      </w:r>
    </w:p>
    <w:p w:rsidR="002841BF" w:rsidRDefault="00445C7E" w:rsidP="00E95826">
      <w:pPr>
        <w:pStyle w:val="Betarp"/>
        <w:spacing w:line="360" w:lineRule="auto"/>
        <w:ind w:firstLine="567"/>
      </w:pPr>
      <w:r w:rsidRPr="00EC4418">
        <w:t>Visų pirma, valstybė neprisiima atsakomybės už privačios pensijos dydį. Remiasi taip vadinama “fiksuota įmoka”, t.y. valstybė privalomai nustato tik įmokos į pensijų fondus dydį ir kontroliuoja jos įmokėjimą, nustato bendras investavimo taisykles.</w:t>
      </w:r>
      <w:r w:rsidRPr="00EC4418">
        <w:rPr>
          <w:vertAlign w:val="superscript"/>
        </w:rPr>
        <w:footnoteReference w:id="140"/>
      </w:r>
      <w:r w:rsidRPr="00EC4418">
        <w:t xml:space="preserve"> Antra, pensijų kaupimo bendrovės neprisiima įsipareigojimų garantuoti dalyviams tam tikrą pajamingumą. Nors </w:t>
      </w:r>
      <w:r>
        <w:t>PKĮ</w:t>
      </w:r>
      <w:r w:rsidRPr="00EC4418">
        <w:t xml:space="preserve"> 11 straipsnyje yra nustatyta, kad valdymo įmonė, kuri </w:t>
      </w:r>
      <w:r w:rsidRPr="00DA1439">
        <w:t xml:space="preserve">pagal pensijų fondo taisykles prisiima įsipareigojimus dalyviams garantuoti tam tikrą pajamingumą, privalo sudaryti </w:t>
      </w:r>
      <w:r w:rsidR="00F5222E">
        <w:t xml:space="preserve">ir </w:t>
      </w:r>
      <w:r w:rsidRPr="00DA1439">
        <w:t>pakankamą garantijų rezervą, o draudimo įmonės – pensijų kaupimo techninius atidėjimus</w:t>
      </w:r>
      <w:r w:rsidRPr="00DA1439">
        <w:rPr>
          <w:vertAlign w:val="superscript"/>
        </w:rPr>
        <w:footnoteReference w:id="141"/>
      </w:r>
      <w:r w:rsidRPr="00DA1439">
        <w:t xml:space="preserve"> (t.y. teisės aktuose nustatyta galimybė steigti pensijų fondą, garantuojantį tam tikrą pensijų fondo pajamingumą), bet šiuo metu nė vienas iš Lietuvoje veikiančių </w:t>
      </w:r>
      <w:r w:rsidRPr="00DA1439">
        <w:lastRenderedPageBreak/>
        <w:t>pensijų fondų negarantuoja fiksuoto pajamingumo bei negarantuoja būsimos pensijos (anuiteto) dydžio.</w:t>
      </w:r>
      <w:r w:rsidRPr="00DA1439">
        <w:rPr>
          <w:vertAlign w:val="superscript"/>
        </w:rPr>
        <w:footnoteReference w:id="142"/>
      </w:r>
      <w:r w:rsidRPr="00DA1439">
        <w:t xml:space="preserve"> </w:t>
      </w:r>
    </w:p>
    <w:p w:rsidR="00445C7E" w:rsidRPr="00761588" w:rsidRDefault="00040AB8" w:rsidP="00E95826">
      <w:pPr>
        <w:pStyle w:val="Betarp"/>
        <w:spacing w:line="360" w:lineRule="auto"/>
        <w:ind w:firstLine="567"/>
        <w:rPr>
          <w:color w:val="FF0000"/>
        </w:rPr>
      </w:pPr>
      <w:r w:rsidRPr="00EB5033">
        <w:t xml:space="preserve">Minimalios grąžos garantavimas, nors ir atrodo patraukliai, taip pat turi savo neigiamų pusių. </w:t>
      </w:r>
      <w:r w:rsidR="00F5222E">
        <w:t>Laisvosios rinkos instituto pateiktame pranešime nurodoma, kad e</w:t>
      </w:r>
      <w:r w:rsidR="00761588" w:rsidRPr="00EB5033">
        <w:t>sant aukštiems reikalavimams</w:t>
      </w:r>
      <w:r w:rsidRPr="00EB5033">
        <w:t>, sunku tikėtis, kad tų fondų Lietuvoje bus daug ir tarp jų vyks konkurencija.</w:t>
      </w:r>
      <w:r w:rsidRPr="00EB5033">
        <w:rPr>
          <w:rStyle w:val="Puslapioinaosnuoroda"/>
        </w:rPr>
        <w:footnoteReference w:id="143"/>
      </w:r>
      <w:r w:rsidR="00761588" w:rsidRPr="00EB5033">
        <w:t xml:space="preserve"> Be to, investicijų valdytojai </w:t>
      </w:r>
      <w:r w:rsidR="00FD58DE" w:rsidRPr="00EB5033">
        <w:t>norėdami padengti įsipareigojimus, nebus</w:t>
      </w:r>
      <w:r w:rsidR="00761588" w:rsidRPr="00EB5033">
        <w:t xml:space="preserve"> suinteresuoti investuoti į rizikingesnes ir pelninges</w:t>
      </w:r>
      <w:r w:rsidR="00FD58DE" w:rsidRPr="00EB5033">
        <w:t>nes sritis, nes nuostolius tektų</w:t>
      </w:r>
      <w:r w:rsidR="00761588" w:rsidRPr="00EB5033">
        <w:t xml:space="preserve"> dengti jiems patiems.</w:t>
      </w:r>
      <w:r w:rsidR="00761588" w:rsidRPr="00EB5033">
        <w:rPr>
          <w:rStyle w:val="Puslapioinaosnuoroda"/>
        </w:rPr>
        <w:footnoteReference w:id="144"/>
      </w:r>
      <w:r w:rsidR="00761588" w:rsidRPr="00EB5033">
        <w:t xml:space="preserve"> </w:t>
      </w:r>
      <w:r w:rsidR="002841BF" w:rsidRPr="00EB5033">
        <w:t>Norėdami užtikrinti garantuotą programų pajamingumą, pensijų fondai investuos labai konserv</w:t>
      </w:r>
      <w:r w:rsidR="00223C5A" w:rsidRPr="00EB5033">
        <w:t>atyviai. Taigi, jų dalyviai gautų</w:t>
      </w:r>
      <w:r w:rsidR="002841BF" w:rsidRPr="00EB5033">
        <w:t xml:space="preserve"> tik garantuotą minimalią grąžą.</w:t>
      </w:r>
      <w:r w:rsidRPr="00EB5033">
        <w:rPr>
          <w:rStyle w:val="Puslapioinaosnuoroda"/>
        </w:rPr>
        <w:footnoteReference w:id="145"/>
      </w:r>
      <w:r w:rsidR="00761588" w:rsidRPr="00EB5033">
        <w:t xml:space="preserve"> Ta</w:t>
      </w:r>
      <w:r w:rsidR="00223C5A" w:rsidRPr="00EB5033">
        <w:t>čiau</w:t>
      </w:r>
      <w:r w:rsidR="00223C5A">
        <w:t xml:space="preserve">, </w:t>
      </w:r>
      <w:r w:rsidR="00223C5A" w:rsidRPr="00223C5A">
        <w:t>šiandien visa</w:t>
      </w:r>
      <w:r w:rsidR="00223C5A">
        <w:t xml:space="preserve"> investavimo rizika paliekama pensijų kaupimo dalyviams, o p</w:t>
      </w:r>
      <w:r w:rsidR="00445C7E" w:rsidRPr="00DA1439">
        <w:t>ensijų fondų nesėkmingos veiklos atveju atitinkame fonde dalyvaujantiems asmenims kau</w:t>
      </w:r>
      <w:r w:rsidR="00223C5A">
        <w:t>piamoji pensijos dalis mažėja. Tuo tarpu</w:t>
      </w:r>
      <w:r w:rsidR="00445C7E" w:rsidRPr="00DA1439">
        <w:t xml:space="preserve"> neigiamos ar nepakankamos investicijų grąžos atveju pensijų kaupimo bendrovės gauna pajamas pensijų kaupimo dalyvių sukaupto pensijų turto mažėjimo sąskaita. Pensijų</w:t>
      </w:r>
      <w:r w:rsidR="00445C7E" w:rsidRPr="00EC4418">
        <w:t xml:space="preserve"> kaupimo bendrovės neprisiima įsipareigojimų garantuoti dalyviams nei tam tikrą pensijų turto prieaugį nei kompensuoti </w:t>
      </w:r>
      <w:r w:rsidR="00445C7E" w:rsidRPr="00DA1439">
        <w:t>pensijų turto sumažėjimą, kai pensijų turto valdymo rezultatai dalyvio atžvilgiu mažesni už nustatytą turto valdymo kainą.</w:t>
      </w:r>
      <w:r w:rsidR="00445C7E" w:rsidRPr="00DA1439">
        <w:rPr>
          <w:vertAlign w:val="superscript"/>
        </w:rPr>
        <w:footnoteReference w:id="146"/>
      </w:r>
      <w:r w:rsidR="00445C7E" w:rsidRPr="00EC4418">
        <w:t xml:space="preserve"> </w:t>
      </w:r>
    </w:p>
    <w:p w:rsidR="00445C7E" w:rsidRDefault="00445C7E" w:rsidP="00E95826">
      <w:pPr>
        <w:pStyle w:val="Betarp"/>
        <w:spacing w:line="360" w:lineRule="auto"/>
        <w:rPr>
          <w:color w:val="000000"/>
        </w:rPr>
      </w:pPr>
      <w:r w:rsidRPr="00D9385B">
        <w:rPr>
          <w:b/>
          <w:color w:val="000000"/>
        </w:rPr>
        <w:t>Atskaitymai</w:t>
      </w:r>
      <w:r>
        <w:rPr>
          <w:b/>
          <w:color w:val="000000"/>
        </w:rPr>
        <w:t>.</w:t>
      </w:r>
      <w:r w:rsidRPr="00E77689">
        <w:rPr>
          <w:color w:val="000000"/>
        </w:rPr>
        <w:t xml:space="preserve"> </w:t>
      </w:r>
      <w:r w:rsidRPr="002508D7">
        <w:rPr>
          <w:color w:val="000000"/>
        </w:rPr>
        <w:t>Svarbu paminėti, kad nuo 2013</w:t>
      </w:r>
      <w:r w:rsidRPr="00596DF4">
        <w:rPr>
          <w:color w:val="000000"/>
        </w:rPr>
        <w:t xml:space="preserve"> m. sausio 1 dienos, įsigaliojus </w:t>
      </w:r>
      <w:r w:rsidRPr="00DA1439">
        <w:rPr>
          <w:color w:val="000000"/>
        </w:rPr>
        <w:t>PKĮ pakeitimams</w:t>
      </w:r>
      <w:r w:rsidRPr="002508D7">
        <w:rPr>
          <w:color w:val="000000"/>
        </w:rPr>
        <w:t>,</w:t>
      </w:r>
      <w:r w:rsidRPr="00596DF4">
        <w:rPr>
          <w:color w:val="000000"/>
        </w:rPr>
        <w:t xml:space="preserve"> buvo sumažinti atskaitymai nuo dalyvių sukaupto turto ir palaipsniui bus mažinami atskaitymai nuo dalyvio vardu pervedamų įmokų. </w:t>
      </w:r>
    </w:p>
    <w:p w:rsidR="00445C7E" w:rsidRPr="00B74AA8" w:rsidRDefault="00445C7E" w:rsidP="00E95826">
      <w:pPr>
        <w:pStyle w:val="Betarp"/>
        <w:numPr>
          <w:ilvl w:val="0"/>
          <w:numId w:val="11"/>
        </w:numPr>
        <w:spacing w:line="360" w:lineRule="auto"/>
        <w:ind w:left="0" w:firstLine="567"/>
        <w:rPr>
          <w:lang w:eastAsia="lt-LT"/>
        </w:rPr>
      </w:pPr>
      <w:r w:rsidRPr="00B74AA8">
        <w:rPr>
          <w:lang w:eastAsia="lt-LT"/>
        </w:rPr>
        <w:t xml:space="preserve">konservatyvaus investavimo pensijų fonduose: </w:t>
      </w:r>
      <w:r>
        <w:rPr>
          <w:lang w:eastAsia="lt-LT"/>
        </w:rPr>
        <w:t>nustatyta</w:t>
      </w:r>
      <w:r w:rsidRPr="00B74AA8">
        <w:rPr>
          <w:lang w:eastAsia="lt-LT"/>
        </w:rPr>
        <w:t>, kad maksimalūs atskaitymai nuo turto gali sudaryti ne daugiau kaip 0,7 procento asmens sąskaitoje apskaičiuotų lėšų metinės vertės. Maksimalūs atskaitymai nuo dalyvio vardu įmokėtos įmokos 2013 metais sudaro ne daugiau kaip 2 procentus ir kasmet mažinami po 0,5 procentinio punkto, kol pasieks 0.</w:t>
      </w:r>
    </w:p>
    <w:p w:rsidR="00445C7E" w:rsidRDefault="00445C7E" w:rsidP="00E95826">
      <w:pPr>
        <w:pStyle w:val="Betarp"/>
        <w:numPr>
          <w:ilvl w:val="0"/>
          <w:numId w:val="11"/>
        </w:numPr>
        <w:spacing w:line="360" w:lineRule="auto"/>
        <w:ind w:left="0" w:firstLine="567"/>
        <w:rPr>
          <w:lang w:eastAsia="lt-LT"/>
        </w:rPr>
      </w:pPr>
      <w:r w:rsidRPr="00B74AA8">
        <w:rPr>
          <w:lang w:eastAsia="lt-LT"/>
        </w:rPr>
        <w:t xml:space="preserve">ne konservatyvaus investavimo pensijų fonduose: </w:t>
      </w:r>
      <w:r>
        <w:rPr>
          <w:lang w:eastAsia="lt-LT"/>
        </w:rPr>
        <w:t>nustatyta</w:t>
      </w:r>
      <w:r w:rsidRPr="00B74AA8">
        <w:rPr>
          <w:lang w:eastAsia="lt-LT"/>
        </w:rPr>
        <w:t xml:space="preserve">, kad maksimalūs atskaitymai nuo turto gali sudaryti ne daugiau kaip 1 procentą asmens sąskaitoje apskaičiuotų lėšų metinės vertės. Maksimalūs atskaitymai nuo dalyvio vardu įmokėtos įmokos 2013 metais sudaro ne daugiau kaip 2 procentus ir kasmet mažinami po 0,5 procentinio punkto, kol pasieks 0. </w:t>
      </w:r>
    </w:p>
    <w:p w:rsidR="00445C7E" w:rsidRPr="002508D7" w:rsidRDefault="00445C7E" w:rsidP="00E95826">
      <w:pPr>
        <w:pStyle w:val="Betarp"/>
        <w:spacing w:line="360" w:lineRule="auto"/>
        <w:ind w:firstLine="567"/>
        <w:rPr>
          <w:color w:val="943634"/>
        </w:rPr>
      </w:pPr>
      <w:r w:rsidRPr="00596DF4">
        <w:rPr>
          <w:color w:val="000000"/>
        </w:rPr>
        <w:t xml:space="preserve">Tokiu būdu pensijų kaupimo bendrovių gaunamų pajamų dydis yra labiau susiejamas su pensijų lėšų valdymo efektyvumu. </w:t>
      </w:r>
      <w:r>
        <w:rPr>
          <w:color w:val="000000"/>
        </w:rPr>
        <w:t>Taip</w:t>
      </w:r>
      <w:r w:rsidRPr="000B5DDA">
        <w:rPr>
          <w:color w:val="000000"/>
        </w:rPr>
        <w:t xml:space="preserve"> siekiama sudaryti palankesnes galimybes žmonėms sukaupti didesnę pensijos dalį privačiuose pensijų fonduose, maksimaliai sumažinant administracinę naštą, kuomet </w:t>
      </w:r>
      <w:r w:rsidRPr="000B5DDA">
        <w:rPr>
          <w:color w:val="000000"/>
        </w:rPr>
        <w:lastRenderedPageBreak/>
        <w:t>netenkama pensijos dalies dėl pensijų fondų taikomų administravimo mokesčių</w:t>
      </w:r>
      <w:r w:rsidRPr="000B5DDA">
        <w:rPr>
          <w:color w:val="000000"/>
          <w:vertAlign w:val="superscript"/>
        </w:rPr>
        <w:footnoteReference w:id="147"/>
      </w:r>
      <w:r w:rsidRPr="000B5DDA">
        <w:rPr>
          <w:color w:val="000000"/>
        </w:rPr>
        <w:t xml:space="preserve">. Pasak A.Staponkienės, </w:t>
      </w:r>
      <w:r>
        <w:rPr>
          <w:color w:val="000000"/>
        </w:rPr>
        <w:t xml:space="preserve">tokius pakeitimus </w:t>
      </w:r>
      <w:r w:rsidRPr="000B5DDA">
        <w:rPr>
          <w:color w:val="000000"/>
        </w:rPr>
        <w:t>„paskatino viešas žmonių nepasitenkinimas pensijų fondų veiklos rezultatyvumu.</w:t>
      </w:r>
      <w:r>
        <w:rPr>
          <w:color w:val="000000"/>
        </w:rPr>
        <w:t>“</w:t>
      </w:r>
      <w:r w:rsidRPr="000B5DDA">
        <w:rPr>
          <w:color w:val="000000"/>
          <w:vertAlign w:val="superscript"/>
        </w:rPr>
        <w:footnoteReference w:id="148"/>
      </w:r>
      <w:r w:rsidRPr="000B5DDA">
        <w:rPr>
          <w:color w:val="000000"/>
        </w:rPr>
        <w:t xml:space="preserve"> Teodoro Medaiskio teigimu „pensijų kaupimo bendrovės „pasipelnė“ tik ta apdraustųjų įmokos dalimi, kuri įstatymu ir pensijų fondų taisyklėmis nustatyta kaip jų pajamos už kaupimo ir investavimo veiklą. Nors toji investicinė veikla nebuvo labai sėkminga ir net nuostolinga (ypač dėl recesijos), valdytojų pajamos beveik nenukentėjo. Todėl visiškai pagrįstas yra siūlymas griežčiau susieti valdytojų atlyginimus su jų veiklos rezultatais.“</w:t>
      </w:r>
      <w:r w:rsidRPr="000B5DDA">
        <w:rPr>
          <w:color w:val="000000"/>
          <w:vertAlign w:val="superscript"/>
        </w:rPr>
        <w:footnoteReference w:id="149"/>
      </w:r>
      <w:r w:rsidRPr="000B5DDA">
        <w:rPr>
          <w:color w:val="000000"/>
        </w:rPr>
        <w:t xml:space="preserve"> </w:t>
      </w:r>
      <w:r w:rsidRPr="00CE1DB5">
        <w:t xml:space="preserve">Pensijų fondų valdytojų </w:t>
      </w:r>
      <w:r w:rsidR="00B32987">
        <w:t>pelnas turėtų</w:t>
      </w:r>
      <w:r w:rsidRPr="00CE1DB5">
        <w:t xml:space="preserve"> </w:t>
      </w:r>
      <w:r w:rsidR="00B32987">
        <w:t xml:space="preserve">labiau </w:t>
      </w:r>
      <w:r w:rsidRPr="00CE1DB5">
        <w:t>prikl</w:t>
      </w:r>
      <w:r w:rsidR="00B32987">
        <w:t>ausyti nuo investavimo rezultatų</w:t>
      </w:r>
      <w:r w:rsidRPr="00CE1DB5">
        <w:t xml:space="preserve"> ir </w:t>
      </w:r>
      <w:r w:rsidR="00B32987">
        <w:t>nuo to kaip auga žmonių pinigai šių fondų sąskaitose. Tokiu būdu valdytojai yra vis daugiau suinteresuoti priimti atsakingesnius sprendimus investuojant labiau stengtis.</w:t>
      </w:r>
      <w:r>
        <w:t xml:space="preserve"> </w:t>
      </w:r>
    </w:p>
    <w:p w:rsidR="00445C7E" w:rsidRPr="00E906AE" w:rsidRDefault="00445C7E" w:rsidP="00E95826">
      <w:pPr>
        <w:pStyle w:val="Betarp"/>
        <w:spacing w:line="360" w:lineRule="auto"/>
        <w:ind w:firstLine="567"/>
        <w:rPr>
          <w:lang w:eastAsia="lt-LT"/>
        </w:rPr>
      </w:pPr>
      <w:r w:rsidRPr="00B32987">
        <w:rPr>
          <w:lang w:eastAsia="lt-LT"/>
        </w:rPr>
        <w:t>Kaip buvo pažymėta dar projekto aiškinamajame rašte, pritaikius naują atskaitymų modelį, pensijų kaupimo bendrovių gaunamų pajamų dydis būtų labiau susietas su pensijų lėšų valdymo efektyvumu, nes nebebūtų daromi su pensijų fondo finansiniais rezultatais</w:t>
      </w:r>
      <w:r w:rsidR="00E906AE">
        <w:rPr>
          <w:lang w:eastAsia="lt-LT"/>
        </w:rPr>
        <w:t xml:space="preserve"> nesusiję atskaitymai nuo įmokų</w:t>
      </w:r>
      <w:r w:rsidRPr="00B32987">
        <w:rPr>
          <w:lang w:eastAsia="lt-LT"/>
        </w:rPr>
        <w:t>; leidžiami atskaitymai nuo valdomo turto būtų glaudžiai susiję su valdytojų pasiekimais išsaugant ir didinant pensijų fondo turto vertę (kuo didesnis valdomas turtas, tuo didesnės pajamos iš atskaitymų nuo turto).</w:t>
      </w:r>
      <w:r w:rsidR="00E43F9A">
        <w:rPr>
          <w:lang w:eastAsia="lt-LT"/>
        </w:rPr>
        <w:t xml:space="preserve"> </w:t>
      </w:r>
      <w:r w:rsidRPr="00B32987">
        <w:rPr>
          <w:lang w:eastAsia="lt-LT"/>
        </w:rPr>
        <w:t xml:space="preserve">Tačiau, kaip naujasis atskaitymų modelis pasiteisins parodys ateities praktika. Projekte nurodyta, kad esant naujai tvarkai, sumažės pensijų kaupimo veiklos pelningumas, ypač atsižvelgiant į išliekančią pensijų kaupimo bendrovių pareigą savo lėšomis padengti pensijų fondų išlaidas. Todėl kai kurios įmonės, ypač turinčios mažesnę rinkos dalį, gali imti dirbti nuostolingai. Dėl to gali padidėti rinkos koncentracija, kas turėtų neigiamos įtakos konkurencijai. Dėl mažesnių atskaitymų nuo turto konservatyviuose pensijų fonduose pensijų kaupimo dalyviai gali dažniau rinktis šiuos fondus, nors, atsižvelgiant į dalyvio amžių, pačiam asmeniui būtų naudingiau kaupti pensiją kitokiuose fonduose. Taip pat egzistuoja tikimybė, kad pensijų kaupimo bendrovių atstovai dėl didesnių atskaitymų rekomenduos dalyvauti ne konservatyvaus investavimo pensijų fonduose visiems, </w:t>
      </w:r>
      <w:r w:rsidRPr="00E906AE">
        <w:rPr>
          <w:lang w:eastAsia="lt-LT"/>
        </w:rPr>
        <w:t>tarp jų ir priešpensinio amžiaus asmenims.</w:t>
      </w:r>
      <w:r w:rsidRPr="00E906AE">
        <w:rPr>
          <w:rStyle w:val="Puslapioinaosnuoroda"/>
          <w:lang w:eastAsia="lt-LT"/>
        </w:rPr>
        <w:footnoteReference w:id="150"/>
      </w:r>
    </w:p>
    <w:p w:rsidR="00B32987" w:rsidRPr="00E906AE" w:rsidRDefault="00CC5EEA" w:rsidP="00E95826">
      <w:pPr>
        <w:pStyle w:val="Betarp"/>
        <w:spacing w:line="360" w:lineRule="auto"/>
        <w:ind w:firstLine="567"/>
        <w:rPr>
          <w:lang w:eastAsia="lt-LT"/>
        </w:rPr>
      </w:pPr>
      <w:r w:rsidRPr="00E906AE">
        <w:rPr>
          <w:lang w:eastAsia="lt-LT"/>
        </w:rPr>
        <w:t xml:space="preserve">Be to, </w:t>
      </w:r>
      <w:r w:rsidR="00E43F9A" w:rsidRPr="00E906AE">
        <w:rPr>
          <w:lang w:eastAsia="lt-LT"/>
        </w:rPr>
        <w:t xml:space="preserve"> </w:t>
      </w:r>
      <w:r w:rsidR="00444EEF" w:rsidRPr="00E906AE">
        <w:rPr>
          <w:lang w:eastAsia="lt-LT"/>
        </w:rPr>
        <w:t xml:space="preserve">esant dabartiniams mokesčiams, pensijų kaupimo dalyviai gali ne tik nieko neuždirbti iš investicijų, bet ir sukaupti mažesnę sumą negu į fondą buvo įmokėta pinigų. Todėl </w:t>
      </w:r>
      <w:r w:rsidR="00E43F9A" w:rsidRPr="00E906AE">
        <w:rPr>
          <w:lang w:eastAsia="lt-LT"/>
        </w:rPr>
        <w:t xml:space="preserve">pasigirsta siūlymų, kad pensijų fondų imami mokesčiai priklausytų nuo jų dalyviams uždirbto pelno ir tokiu būdu nebūtų </w:t>
      </w:r>
      <w:r w:rsidR="00E43F9A" w:rsidRPr="00E906AE">
        <w:rPr>
          <w:lang w:eastAsia="lt-LT"/>
        </w:rPr>
        <w:lastRenderedPageBreak/>
        <w:t>sumažinta į fondą įmokėtų pinigų.</w:t>
      </w:r>
      <w:r w:rsidRPr="00E906AE">
        <w:rPr>
          <w:lang w:eastAsia="lt-LT"/>
        </w:rPr>
        <w:t xml:space="preserve"> Toks administravimo mokesčio dydis visiškai priklausytų tik nuo bendrovės darbo rezultatų.</w:t>
      </w:r>
      <w:r w:rsidR="00E43F9A" w:rsidRPr="00E906AE">
        <w:rPr>
          <w:rStyle w:val="Puslapioinaosnuoroda"/>
          <w:lang w:eastAsia="lt-LT"/>
        </w:rPr>
        <w:footnoteReference w:id="151"/>
      </w:r>
    </w:p>
    <w:p w:rsidR="00445C7E" w:rsidRPr="005164C6" w:rsidRDefault="00445C7E" w:rsidP="00F04C8B">
      <w:pPr>
        <w:pStyle w:val="Betarp"/>
        <w:spacing w:line="360" w:lineRule="auto"/>
        <w:ind w:firstLine="567"/>
      </w:pPr>
      <w:r w:rsidRPr="00DA1439">
        <w:t xml:space="preserve">Apibendrinant galima teigti, kad esant dabartinei įstatyminei bazei </w:t>
      </w:r>
      <w:r>
        <w:t>asmuo</w:t>
      </w:r>
      <w:r w:rsidR="00D97585">
        <w:t>,</w:t>
      </w:r>
      <w:r>
        <w:t xml:space="preserve"> būdamas II</w:t>
      </w:r>
      <w:r w:rsidR="00D97585">
        <w:t xml:space="preserve"> pakopos pensijų fondų dalyviu,</w:t>
      </w:r>
      <w:r w:rsidRPr="00DA1439">
        <w:t xml:space="preserve"> nebūtinai gaus didesnę pensiją. Pensijų fondų nesėkmingos veiklos atveju kaupiamoji pensijos dalis sumažėtų, o visa investavimo</w:t>
      </w:r>
      <w:r>
        <w:t xml:space="preserve"> atsakomybė tenka tik </w:t>
      </w:r>
      <w:r w:rsidR="00B32987">
        <w:t xml:space="preserve">pensijų kaupimo </w:t>
      </w:r>
      <w:r>
        <w:t xml:space="preserve">dalyviams. </w:t>
      </w:r>
      <w:r w:rsidRPr="005164C6">
        <w:br w:type="page"/>
      </w:r>
    </w:p>
    <w:p w:rsidR="00902DF6" w:rsidRPr="00DE22EA" w:rsidRDefault="00445C7E" w:rsidP="00902DF6">
      <w:pPr>
        <w:pStyle w:val="Betarp"/>
        <w:spacing w:line="360" w:lineRule="auto"/>
        <w:ind w:firstLine="0"/>
        <w:jc w:val="center"/>
        <w:rPr>
          <w:b/>
          <w:sz w:val="28"/>
          <w:szCs w:val="28"/>
        </w:rPr>
      </w:pPr>
      <w:r w:rsidRPr="00DE22EA">
        <w:rPr>
          <w:b/>
          <w:sz w:val="28"/>
          <w:szCs w:val="28"/>
        </w:rPr>
        <w:lastRenderedPageBreak/>
        <w:t>IŠVADOS</w:t>
      </w:r>
      <w:r w:rsidR="00902DF6">
        <w:rPr>
          <w:b/>
          <w:sz w:val="28"/>
          <w:szCs w:val="28"/>
        </w:rPr>
        <w:t xml:space="preserve"> </w:t>
      </w:r>
      <w:r w:rsidR="00C74B08">
        <w:rPr>
          <w:b/>
          <w:sz w:val="28"/>
          <w:szCs w:val="28"/>
        </w:rPr>
        <w:t>IR TOBULINIMO KRYPTYS</w:t>
      </w:r>
    </w:p>
    <w:p w:rsidR="00E43128" w:rsidRDefault="00E43128" w:rsidP="00A51EBA">
      <w:pPr>
        <w:pStyle w:val="Betarp"/>
        <w:spacing w:line="360" w:lineRule="auto"/>
        <w:ind w:firstLine="567"/>
        <w:rPr>
          <w:color w:val="FF0000"/>
        </w:rPr>
      </w:pPr>
    </w:p>
    <w:p w:rsidR="002354C0" w:rsidRDefault="002354C0" w:rsidP="00A51EBA">
      <w:pPr>
        <w:pStyle w:val="Betarp"/>
        <w:spacing w:line="360" w:lineRule="auto"/>
        <w:ind w:firstLine="567"/>
        <w:rPr>
          <w:b/>
        </w:rPr>
      </w:pPr>
      <w:r>
        <w:rPr>
          <w:b/>
        </w:rPr>
        <w:t>Išvados</w:t>
      </w:r>
    </w:p>
    <w:p w:rsidR="002354C0" w:rsidRPr="002354C0" w:rsidRDefault="002354C0" w:rsidP="00A51EBA">
      <w:pPr>
        <w:pStyle w:val="Betarp"/>
        <w:spacing w:line="360" w:lineRule="auto"/>
        <w:ind w:firstLine="567"/>
        <w:rPr>
          <w:b/>
        </w:rPr>
      </w:pPr>
    </w:p>
    <w:p w:rsidR="00A51EBA" w:rsidRPr="00E75C48" w:rsidRDefault="00210C70" w:rsidP="00A51EBA">
      <w:pPr>
        <w:pStyle w:val="Betarp"/>
        <w:spacing w:line="360" w:lineRule="auto"/>
        <w:ind w:firstLine="567"/>
      </w:pPr>
      <w:r w:rsidRPr="00E75C48">
        <w:t xml:space="preserve">1. </w:t>
      </w:r>
      <w:r w:rsidR="009359DB" w:rsidRPr="00E75C48">
        <w:t xml:space="preserve">Darbo </w:t>
      </w:r>
      <w:r w:rsidR="00A51EBA" w:rsidRPr="00E75C48">
        <w:t>metu, atlikus tyrimus, prieita</w:t>
      </w:r>
      <w:r w:rsidR="009359DB" w:rsidRPr="00E75C48">
        <w:t xml:space="preserve"> išvados, kad darbo pradžioje kelta</w:t>
      </w:r>
      <w:r w:rsidR="008D3BB2" w:rsidRPr="00E75C48">
        <w:t xml:space="preserve"> hipotezė pasitvirtino. Pagrindinės tokios išvados priežastys </w:t>
      </w:r>
      <w:r w:rsidR="00743EA4" w:rsidRPr="00E75C48">
        <w:t>–</w:t>
      </w:r>
      <w:r w:rsidR="005F7343" w:rsidRPr="00E75C48">
        <w:t xml:space="preserve"> </w:t>
      </w:r>
      <w:r w:rsidR="00A51EBA" w:rsidRPr="00E75C48">
        <w:t>griežtas II pakopos pensijų fondų investavimo teisinis reguliavimas, neleidžiantis rinkos dalyviams prisiderinti prie rinkos pokyčių</w:t>
      </w:r>
      <w:r w:rsidR="00453491" w:rsidRPr="00E75C48">
        <w:t>,</w:t>
      </w:r>
      <w:r w:rsidR="00A51EBA" w:rsidRPr="00E75C48">
        <w:t xml:space="preserve"> bei pačių pensijų fondų nesuinteresuotumas dirbti pelningai, kai tuo tarpu </w:t>
      </w:r>
      <w:r w:rsidR="00453491" w:rsidRPr="00E75C48">
        <w:t>visa atsakomybė dėl rizikos ir</w:t>
      </w:r>
      <w:r w:rsidR="00A51EBA" w:rsidRPr="00E75C48">
        <w:t xml:space="preserve"> nuostolingos veiklos tenka dalyviams, o patys pensijų fondai už žmonių patikėtų pinigų praradimą nėra niekam atsakingi. </w:t>
      </w:r>
    </w:p>
    <w:p w:rsidR="00067359" w:rsidRPr="00D13D05" w:rsidRDefault="008D3BB2" w:rsidP="00067359">
      <w:pPr>
        <w:pStyle w:val="Betarp"/>
        <w:spacing w:line="360" w:lineRule="auto"/>
        <w:ind w:firstLine="567"/>
      </w:pPr>
      <w:r w:rsidRPr="00E75C48">
        <w:t>2</w:t>
      </w:r>
      <w:r w:rsidR="00445C7E" w:rsidRPr="00E75C48">
        <w:t xml:space="preserve">. Esminis II pakopos pensijų fondų bruožas yra tai, kad šie pensijų fondai finansuojami iš dirbančių asmenų </w:t>
      </w:r>
      <w:r w:rsidR="00067359" w:rsidRPr="00E75C48">
        <w:t xml:space="preserve">privalomai </w:t>
      </w:r>
      <w:r w:rsidR="00445C7E" w:rsidRPr="00E75C48">
        <w:t xml:space="preserve">mokamų </w:t>
      </w:r>
      <w:r w:rsidR="00902DF6" w:rsidRPr="00E75C48">
        <w:t>VSD</w:t>
      </w:r>
      <w:r w:rsidR="00445C7E" w:rsidRPr="00E75C48">
        <w:t xml:space="preserve"> įmokų, tačiau jų valdymas perduodamas privačioms </w:t>
      </w:r>
      <w:r w:rsidR="00445C7E">
        <w:t xml:space="preserve">institucijoms. Šie pensijų fondai skatina asmenis </w:t>
      </w:r>
      <w:r w:rsidR="00067359">
        <w:t>iš dalies patiems prisiimti atsakomybę už savo gerovę ir taupyti būsimai</w:t>
      </w:r>
      <w:r w:rsidR="00EC650A">
        <w:t xml:space="preserve"> senatvei nemažinant</w:t>
      </w:r>
      <w:r w:rsidR="00E71C7F">
        <w:t xml:space="preserve"> </w:t>
      </w:r>
      <w:r w:rsidR="00453491">
        <w:t>vartojimo, nes nemokamos papildomos įmokos. T</w:t>
      </w:r>
      <w:r w:rsidR="00067359" w:rsidRPr="00BB5688">
        <w:t xml:space="preserve">ačiau </w:t>
      </w:r>
      <w:r w:rsidR="00DB1D10">
        <w:t xml:space="preserve">tokiu būdu </w:t>
      </w:r>
      <w:r w:rsidR="00067359" w:rsidRPr="00BB5688">
        <w:t>dalis įmokų nenukreipiama dabartiniams pensininkams, todėl mažėja jų vartoji</w:t>
      </w:r>
      <w:r w:rsidR="00067359" w:rsidRPr="002E0417">
        <w:t xml:space="preserve">mas. </w:t>
      </w:r>
      <w:r w:rsidR="00453491">
        <w:t>II pakopos</w:t>
      </w:r>
      <w:r w:rsidR="00A13B32">
        <w:t xml:space="preserve"> pensijų fondų steigimas </w:t>
      </w:r>
      <w:r w:rsidR="00222736">
        <w:t xml:space="preserve">Lietuvoje </w:t>
      </w:r>
      <w:r w:rsidR="00A13B32">
        <w:t xml:space="preserve">paprastai argumentuojamas demografinėmis problemomis, tačiau </w:t>
      </w:r>
      <w:r w:rsidR="00222736" w:rsidRPr="00222736">
        <w:t xml:space="preserve">privatus </w:t>
      </w:r>
      <w:r w:rsidR="00067359" w:rsidRPr="00222736">
        <w:t xml:space="preserve">kaupimas pensijų priklausomybės nuo </w:t>
      </w:r>
      <w:r w:rsidR="00222736" w:rsidRPr="00222736">
        <w:t>demografijos nepanaikina, nes fonduose sukauptas turtas</w:t>
      </w:r>
      <w:r w:rsidR="00067359" w:rsidRPr="00222736">
        <w:t xml:space="preserve"> </w:t>
      </w:r>
      <w:r w:rsidR="00222736" w:rsidRPr="00222736">
        <w:t>parduodamas</w:t>
      </w:r>
      <w:r w:rsidR="00067359" w:rsidRPr="00222736">
        <w:t xml:space="preserve"> ekonomiškai aktyviems žmonėms. </w:t>
      </w:r>
      <w:r w:rsidR="00E43128">
        <w:t xml:space="preserve">Todėl, </w:t>
      </w:r>
      <w:r w:rsidR="00222736" w:rsidRPr="00222736">
        <w:t>nesant paklausos</w:t>
      </w:r>
      <w:r w:rsidR="00E43128">
        <w:t xml:space="preserve"> kapitalui</w:t>
      </w:r>
      <w:r w:rsidR="00222736" w:rsidRPr="00222736">
        <w:t>,</w:t>
      </w:r>
      <w:r w:rsidR="00453491">
        <w:t xml:space="preserve"> </w:t>
      </w:r>
      <w:r w:rsidR="00067359" w:rsidRPr="00222736">
        <w:t xml:space="preserve">sukauptos lėšos </w:t>
      </w:r>
      <w:r w:rsidR="00067359" w:rsidRPr="00D13D05">
        <w:t>ne</w:t>
      </w:r>
      <w:r w:rsidR="00222736" w:rsidRPr="00D13D05">
        <w:t>garantuos</w:t>
      </w:r>
      <w:r w:rsidR="00067359" w:rsidRPr="00D13D05">
        <w:t xml:space="preserve"> paka</w:t>
      </w:r>
      <w:r w:rsidR="00222736" w:rsidRPr="00D13D05">
        <w:t>nkamo pragyvenimo lygio būsimie</w:t>
      </w:r>
      <w:r w:rsidR="00453491" w:rsidRPr="00D13D05">
        <w:t>ms</w:t>
      </w:r>
      <w:r w:rsidR="00067359" w:rsidRPr="00D13D05">
        <w:t xml:space="preserve"> pensininkams.</w:t>
      </w:r>
    </w:p>
    <w:p w:rsidR="00902DF6" w:rsidRPr="00D13D05" w:rsidRDefault="008D3BB2" w:rsidP="00902DF6">
      <w:pPr>
        <w:pStyle w:val="Betarp"/>
        <w:spacing w:line="360" w:lineRule="auto"/>
        <w:ind w:firstLine="567"/>
      </w:pPr>
      <w:r w:rsidRPr="00D13D05">
        <w:t>3</w:t>
      </w:r>
      <w:r w:rsidR="00445C7E" w:rsidRPr="00D13D05">
        <w:t xml:space="preserve">. </w:t>
      </w:r>
      <w:r w:rsidR="00D13D05" w:rsidRPr="00D13D05">
        <w:t>Pensijų fondų investavimo reguliavimas</w:t>
      </w:r>
      <w:r w:rsidR="00445C7E" w:rsidRPr="00D13D05">
        <w:t xml:space="preserve"> ypatingai skiriasi anglo-saksų ir kontinentinės teisės šalyse. Šalys</w:t>
      </w:r>
      <w:r w:rsidR="008F420C" w:rsidRPr="00D13D05">
        <w:t>e įtvirtintas reguliavimas lemi</w:t>
      </w:r>
      <w:r w:rsidR="00D97585" w:rsidRPr="00D13D05">
        <w:t>a</w:t>
      </w:r>
      <w:r w:rsidR="008F420C" w:rsidRPr="00D13D05">
        <w:t xml:space="preserve">, </w:t>
      </w:r>
      <w:r w:rsidR="00445C7E" w:rsidRPr="00D13D05">
        <w:t xml:space="preserve">kas </w:t>
      </w:r>
      <w:r w:rsidR="008F420C" w:rsidRPr="00D13D05">
        <w:t>bus atsakingas už pradinio turto paskirstymo parametrų nustatymą pensijų investavimo veiklai</w:t>
      </w:r>
      <w:r w:rsidR="00E906AE" w:rsidRPr="00D13D05">
        <w:t xml:space="preserve"> - </w:t>
      </w:r>
      <w:r w:rsidR="00445C7E" w:rsidRPr="00D13D05">
        <w:t>valstybė ar</w:t>
      </w:r>
      <w:r w:rsidR="008F420C" w:rsidRPr="00D13D05">
        <w:t xml:space="preserve"> pensijų fondo valdymo organas.</w:t>
      </w:r>
      <w:r w:rsidR="00902DF6" w:rsidRPr="00D13D05">
        <w:t xml:space="preserve"> </w:t>
      </w:r>
      <w:r w:rsidR="00EC650A" w:rsidRPr="00D13D05">
        <w:t>Praktika rodo, kad</w:t>
      </w:r>
      <w:r w:rsidR="00902DF6" w:rsidRPr="00D13D05">
        <w:t xml:space="preserve"> laisvas pensijų fondų investavimo reguliavimas sudaro prielaidas gauti didesnę investicinę grąžą, </w:t>
      </w:r>
      <w:r w:rsidR="00EC650A" w:rsidRPr="00D13D05">
        <w:t xml:space="preserve">todėl </w:t>
      </w:r>
      <w:r w:rsidR="00902DF6" w:rsidRPr="00D13D05">
        <w:t xml:space="preserve">valstybinis reguliavimas turėtų nustatyti principus, pagal kuriuos veiktų pensijų fondai, o ne detaliai reglamentuoti kur ir į ką investuoti. Tai leistų </w:t>
      </w:r>
      <w:r w:rsidR="00E43128" w:rsidRPr="00D13D05">
        <w:t xml:space="preserve">pensijų fondams </w:t>
      </w:r>
      <w:r w:rsidR="00902DF6" w:rsidRPr="00D13D05">
        <w:t>pasiekti geresnių veiklos rezultatų. Taip būtų tinkamiau realizuoti ir kaupimo dalyvių interesai.</w:t>
      </w:r>
      <w:r w:rsidR="00181EA0" w:rsidRPr="00D13D05">
        <w:t xml:space="preserve"> </w:t>
      </w:r>
      <w:r w:rsidR="005D65F8" w:rsidRPr="00D13D05">
        <w:t xml:space="preserve">Tačiau </w:t>
      </w:r>
      <w:r w:rsidR="00D13D05" w:rsidRPr="00D13D05">
        <w:t>tikėtinas didesnis pelningumas ir rizika yra tarpusavyje glaudžiai susiję.</w:t>
      </w:r>
      <w:r w:rsidR="005D65F8" w:rsidRPr="00D13D05">
        <w:t xml:space="preserve"> Todėl investavimo reguliavimu siekiama valdyti galimas rizikas bei užtikrinti, kad pensijų fondai bus pajėgūs vykdyti ateities įsipareigojimus.</w:t>
      </w:r>
    </w:p>
    <w:p w:rsidR="00445C7E" w:rsidRPr="00E75C48" w:rsidRDefault="008D3BB2" w:rsidP="000079F5">
      <w:pPr>
        <w:pStyle w:val="Betarp"/>
        <w:spacing w:line="360" w:lineRule="auto"/>
        <w:ind w:firstLine="567"/>
      </w:pPr>
      <w:r w:rsidRPr="00E75C48">
        <w:t>4</w:t>
      </w:r>
      <w:r w:rsidR="00445C7E" w:rsidRPr="00E75C48">
        <w:t xml:space="preserve">. </w:t>
      </w:r>
      <w:r w:rsidR="00E71C7F" w:rsidRPr="00E75C48">
        <w:t xml:space="preserve">Pensijų fondų turtą pensijų kaupimo bendrovės valdo patikėjimo teise. </w:t>
      </w:r>
      <w:r w:rsidR="00DE3023" w:rsidRPr="00E75C48">
        <w:t>K</w:t>
      </w:r>
      <w:r w:rsidR="00445C7E" w:rsidRPr="00E75C48">
        <w:t xml:space="preserve">ai kurių Lietuvos mokslininkų darbuose galima rasti, kad anglo-saksų šalyse egzistuojanti sąvoka „trestas“ (angl. trust) verčiama kaip „patikėjimo teisė“ ar „patikėtoji nuosavybė“, tačiau šių dviejų sąvokų – „trestas“ ir patikėjimo teisė – negalima tapatinti. Sąvoka „trestas“ yra platesnė nei „patikėjimo teisė“, o to priežastis – giliai kontinentinės teisės šalyse </w:t>
      </w:r>
      <w:r w:rsidR="00DB1D10" w:rsidRPr="00E75C48">
        <w:t xml:space="preserve">(tame tarpe ir Lietuvoje) </w:t>
      </w:r>
      <w:r w:rsidR="00445C7E" w:rsidRPr="00E75C48">
        <w:t>įsitvirtinusi absoliučios nuosavybės samprata.</w:t>
      </w:r>
      <w:r w:rsidR="00DB1D10" w:rsidRPr="00E75C48">
        <w:t xml:space="preserve"> Todėl</w:t>
      </w:r>
      <w:r w:rsidR="00CC09D7" w:rsidRPr="00E75C48">
        <w:t xml:space="preserve"> pensijų kaupimo sutartyje yra numatomi disponavimo teisės </w:t>
      </w:r>
      <w:r w:rsidR="00DB1D10" w:rsidRPr="00E75C48">
        <w:t xml:space="preserve">patikėtu turtu </w:t>
      </w:r>
      <w:r w:rsidR="00CC09D7" w:rsidRPr="00E75C48">
        <w:t xml:space="preserve">apribojimai, nes priešingu atveju </w:t>
      </w:r>
      <w:r w:rsidR="00DB1D10" w:rsidRPr="00E75C48">
        <w:t xml:space="preserve">pelno siekiantys </w:t>
      </w:r>
      <w:r w:rsidR="00CC09D7" w:rsidRPr="00E75C48">
        <w:t>pe</w:t>
      </w:r>
      <w:r w:rsidR="00DB1D10" w:rsidRPr="00E75C48">
        <w:t>nsijų fondai būtų saistomi tik savininko interesų.</w:t>
      </w:r>
    </w:p>
    <w:p w:rsidR="00445C7E" w:rsidRPr="00E75C48" w:rsidRDefault="008D3BB2" w:rsidP="000079F5">
      <w:pPr>
        <w:pStyle w:val="Betarp"/>
        <w:spacing w:line="360" w:lineRule="auto"/>
        <w:ind w:firstLine="567"/>
      </w:pPr>
      <w:r w:rsidRPr="00E75C48">
        <w:lastRenderedPageBreak/>
        <w:t>5</w:t>
      </w:r>
      <w:r w:rsidR="00445C7E" w:rsidRPr="00E75C48">
        <w:t xml:space="preserve">. Apibrėžtų įmokų </w:t>
      </w:r>
      <w:r w:rsidR="00A61382" w:rsidRPr="00E75C48">
        <w:t>sistemose investavimo rizika tenka pensijų kaupimo dalyviams, todėl šioje sistemoje</w:t>
      </w:r>
      <w:r w:rsidR="00445C7E" w:rsidRPr="00E75C48">
        <w:t xml:space="preserve"> apdairus </w:t>
      </w:r>
      <w:r w:rsidR="00A61382" w:rsidRPr="00E75C48">
        <w:t xml:space="preserve">investavimo </w:t>
      </w:r>
      <w:r w:rsidR="00445C7E" w:rsidRPr="00E75C48">
        <w:t>reguliavimo būdas gali būti ne toks efektyvus</w:t>
      </w:r>
      <w:r w:rsidR="00E43128" w:rsidRPr="00E75C48">
        <w:t xml:space="preserve">. </w:t>
      </w:r>
      <w:r w:rsidR="00445C7E" w:rsidRPr="00E75C48">
        <w:t>Siekiant sumažinti pensijų kaupimo dalyvių riziką</w:t>
      </w:r>
      <w:r w:rsidR="000F61EB" w:rsidRPr="00E75C48">
        <w:t>,</w:t>
      </w:r>
      <w:r w:rsidR="00445C7E" w:rsidRPr="00E75C48">
        <w:t xml:space="preserve"> kuriamos schemos</w:t>
      </w:r>
      <w:r w:rsidR="000F61EB" w:rsidRPr="00E75C48">
        <w:t>,</w:t>
      </w:r>
      <w:r w:rsidR="00445C7E" w:rsidRPr="00E75C48">
        <w:t xml:space="preserve"> kaip tam tikras apibrėžtų įmokų ir apibrėžtų išmo</w:t>
      </w:r>
      <w:r w:rsidR="000F61EB" w:rsidRPr="00E75C48">
        <w:t>kų schemų derinys. P</w:t>
      </w:r>
      <w:r w:rsidR="00445C7E" w:rsidRPr="00E75C48">
        <w:t xml:space="preserve">opuliariausia iš jų </w:t>
      </w:r>
      <w:r w:rsidR="000F61EB" w:rsidRPr="00E75C48">
        <w:t xml:space="preserve">- </w:t>
      </w:r>
      <w:r w:rsidR="00445C7E" w:rsidRPr="00E75C48">
        <w:t>apibrėžtų įmokų sistemos su minimalia investicijų grąža.</w:t>
      </w:r>
      <w:r w:rsidR="00D86E01" w:rsidRPr="00E75C48">
        <w:t xml:space="preserve"> Lietuvoje veikiantys II pakopos pensijų fondai prisk</w:t>
      </w:r>
      <w:r w:rsidR="0014029B" w:rsidRPr="00E75C48">
        <w:t xml:space="preserve">irtini apibrėžtų įmokų schemoms, </w:t>
      </w:r>
      <w:r w:rsidR="005112CC" w:rsidRPr="00E75C48">
        <w:t>kurie neprisiima</w:t>
      </w:r>
      <w:r w:rsidR="0014029B" w:rsidRPr="00E75C48">
        <w:t xml:space="preserve"> jokių</w:t>
      </w:r>
      <w:r w:rsidR="00D86E01" w:rsidRPr="00E75C48">
        <w:t xml:space="preserve"> įsipareigojimų, </w:t>
      </w:r>
      <w:r w:rsidR="00A61382" w:rsidRPr="00E75C48">
        <w:t>todėl savo dalyviams mokės tokia</w:t>
      </w:r>
      <w:r w:rsidR="002145F7" w:rsidRPr="00E75C48">
        <w:t>s išmokas,</w:t>
      </w:r>
      <w:r w:rsidR="0014029B" w:rsidRPr="00E75C48">
        <w:t xml:space="preserve"> kokias pavyks sukaupti. </w:t>
      </w:r>
    </w:p>
    <w:p w:rsidR="00445C7E" w:rsidRPr="00E75C48" w:rsidRDefault="008D3BB2" w:rsidP="000079F5">
      <w:pPr>
        <w:pStyle w:val="Betarp"/>
        <w:spacing w:line="360" w:lineRule="auto"/>
        <w:ind w:firstLine="567"/>
      </w:pPr>
      <w:r w:rsidRPr="00E75C48">
        <w:t>6</w:t>
      </w:r>
      <w:r w:rsidR="00445C7E" w:rsidRPr="00E75C48">
        <w:t xml:space="preserve">. </w:t>
      </w:r>
      <w:r w:rsidR="00E43128" w:rsidRPr="00E75C48">
        <w:t>Valstybės</w:t>
      </w:r>
      <w:r w:rsidR="00445C7E" w:rsidRPr="00E75C48">
        <w:t xml:space="preserve"> </w:t>
      </w:r>
      <w:r w:rsidR="00E43128" w:rsidRPr="00E75C48">
        <w:t>atimdamos</w:t>
      </w:r>
      <w:r w:rsidR="00445C7E" w:rsidRPr="00E75C48">
        <w:t xml:space="preserve"> </w:t>
      </w:r>
      <w:r w:rsidR="00E43128" w:rsidRPr="00E75C48">
        <w:t>ar neatimdamos</w:t>
      </w:r>
      <w:r w:rsidR="00E32DCA" w:rsidRPr="00E75C48">
        <w:t xml:space="preserve"> </w:t>
      </w:r>
      <w:r w:rsidR="00445C7E" w:rsidRPr="00E75C48">
        <w:t xml:space="preserve">galimybę pasirinkti dalyvauti pensijų fonduose, siekia užtikrinti pakankamą sistemos saugumą. Lietuvoje asmenys turi teisę pasirinkti – dalyvauti </w:t>
      </w:r>
      <w:r w:rsidR="00E32DCA" w:rsidRPr="00E75C48">
        <w:t>ar ne pensijų kaupimo sistemoje.</w:t>
      </w:r>
      <w:r w:rsidR="00445C7E" w:rsidRPr="00E75C48">
        <w:t xml:space="preserve"> </w:t>
      </w:r>
      <w:r w:rsidR="00E32DCA" w:rsidRPr="00E75C48">
        <w:t>T</w:t>
      </w:r>
      <w:r w:rsidR="00445C7E" w:rsidRPr="00E75C48">
        <w:t xml:space="preserve">ačiau </w:t>
      </w:r>
      <w:r w:rsidR="00853F03" w:rsidRPr="00E75C48">
        <w:t xml:space="preserve">apsisprendus dalyvauti, išeiti iš jos nebeįmanoma. </w:t>
      </w:r>
    </w:p>
    <w:p w:rsidR="00982391" w:rsidRPr="00E75C48" w:rsidRDefault="008D3BB2" w:rsidP="000079F5">
      <w:pPr>
        <w:pStyle w:val="Betarp"/>
        <w:spacing w:line="360" w:lineRule="auto"/>
        <w:ind w:firstLine="567"/>
      </w:pPr>
      <w:r w:rsidRPr="00E75C48">
        <w:t>7</w:t>
      </w:r>
      <w:r w:rsidR="00445C7E" w:rsidRPr="00E75C48">
        <w:t>. ES nustatydama tik bendrą kapitalo judėjimo laisvės principą, II pakopos pensijų fondų investavimo reguliavimo klausimą palieka šalių narių nacionaliniam lygmeniui. Siekiant išvengti galimo pensijų fondų piktnaudžiavimo bei sukčiavimo</w:t>
      </w:r>
      <w:r w:rsidR="00E906AE" w:rsidRPr="00E75C48">
        <w:t>, ir užtikri</w:t>
      </w:r>
      <w:r w:rsidR="005112CC" w:rsidRPr="00E75C48">
        <w:t>nti</w:t>
      </w:r>
      <w:r w:rsidR="00445C7E" w:rsidRPr="00E75C48">
        <w:t xml:space="preserve"> pensijų kaupimo dalyvių interesų </w:t>
      </w:r>
      <w:r w:rsidR="00E906AE" w:rsidRPr="00E75C48">
        <w:t>saugumą</w:t>
      </w:r>
      <w:r w:rsidR="00445C7E" w:rsidRPr="00E75C48">
        <w:t>, LR teisės aktais įtvirtinamos detalios investavi</w:t>
      </w:r>
      <w:r w:rsidR="008002A1" w:rsidRPr="00E75C48">
        <w:t xml:space="preserve">mo taisyklės. Tačiau net ir neigiamos ar nepakankamos investicijų grąžos atveju, </w:t>
      </w:r>
      <w:r w:rsidR="005112CC" w:rsidRPr="00E75C48">
        <w:t xml:space="preserve">kaupimo ir investavimo veiklą vykdančios </w:t>
      </w:r>
      <w:r w:rsidR="000E5230" w:rsidRPr="00E75C48">
        <w:t xml:space="preserve">pensijų kaupimo bendrovės, </w:t>
      </w:r>
      <w:r w:rsidR="008002A1" w:rsidRPr="00E75C48">
        <w:t>gauna pajamas, pensijų kaupimo dalyvių sukaupto turto mažėjimo sąskaita.</w:t>
      </w:r>
      <w:r w:rsidR="005112CC" w:rsidRPr="00E75C48">
        <w:t xml:space="preserve"> Tuo tarpu investavimo atsakomybė tenka tik patiems pensijų kaupimo dalyviams. </w:t>
      </w:r>
    </w:p>
    <w:p w:rsidR="008002A1" w:rsidRPr="00E75C48" w:rsidRDefault="00982391" w:rsidP="000079F5">
      <w:pPr>
        <w:pStyle w:val="Betarp"/>
        <w:spacing w:line="360" w:lineRule="auto"/>
        <w:ind w:firstLine="567"/>
      </w:pPr>
      <w:r w:rsidRPr="00E75C48">
        <w:t xml:space="preserve">8. </w:t>
      </w:r>
      <w:r w:rsidR="005112CC" w:rsidRPr="00E75C48">
        <w:t>N</w:t>
      </w:r>
      <w:r w:rsidR="008002A1" w:rsidRPr="00E75C48">
        <w:t>ei valstybė, nei pensijų fondai negarantuoja būsimos kaupiamosios pensijos dydžio</w:t>
      </w:r>
      <w:r w:rsidR="005112CC" w:rsidRPr="00E75C48">
        <w:t>.</w:t>
      </w:r>
      <w:r w:rsidRPr="00E75C48">
        <w:t xml:space="preserve"> Pensijų fondų dalyvis </w:t>
      </w:r>
      <w:r w:rsidR="00D03E0A" w:rsidRPr="00E75C48">
        <w:t>gali įtakoti rezultatą</w:t>
      </w:r>
      <w:r w:rsidRPr="00E75C48">
        <w:t xml:space="preserve"> – keisti pensijų fondą ar pereiti į kitą pensijų kaupimo bendrovę. Tačiau sąmoningam ir pagrįstam pasirinkimui būtinas dalyvių finansinis švietimas.</w:t>
      </w:r>
    </w:p>
    <w:p w:rsidR="005112CC" w:rsidRDefault="005112CC" w:rsidP="00C74B08">
      <w:pPr>
        <w:pStyle w:val="Betarp"/>
        <w:spacing w:line="360" w:lineRule="auto"/>
        <w:ind w:firstLine="567"/>
        <w:rPr>
          <w:color w:val="FF0000"/>
        </w:rPr>
      </w:pPr>
    </w:p>
    <w:p w:rsidR="00445C7E" w:rsidRDefault="00C74B08" w:rsidP="00C74B08">
      <w:pPr>
        <w:pStyle w:val="Betarp"/>
        <w:spacing w:line="360" w:lineRule="auto"/>
        <w:rPr>
          <w:b/>
        </w:rPr>
      </w:pPr>
      <w:r w:rsidRPr="00C74B08">
        <w:rPr>
          <w:b/>
        </w:rPr>
        <w:t>T</w:t>
      </w:r>
      <w:r w:rsidR="002354C0">
        <w:rPr>
          <w:b/>
        </w:rPr>
        <w:t>obulinimo kryptys</w:t>
      </w:r>
    </w:p>
    <w:p w:rsidR="002354C0" w:rsidRDefault="002354C0" w:rsidP="00C74B08">
      <w:pPr>
        <w:pStyle w:val="Betarp"/>
        <w:spacing w:line="360" w:lineRule="auto"/>
        <w:rPr>
          <w:b/>
        </w:rPr>
      </w:pPr>
    </w:p>
    <w:p w:rsidR="00D14FB9" w:rsidRPr="008F3BAA" w:rsidRDefault="00D14FB9" w:rsidP="00C74B08">
      <w:pPr>
        <w:pStyle w:val="Betarp"/>
        <w:spacing w:line="360" w:lineRule="auto"/>
      </w:pPr>
      <w:r w:rsidRPr="008F3BAA">
        <w:t xml:space="preserve">Atsižvelgiant į </w:t>
      </w:r>
      <w:r w:rsidR="00C74B08" w:rsidRPr="008F3BAA">
        <w:t>išdėstytas</w:t>
      </w:r>
      <w:r w:rsidRPr="008F3BAA">
        <w:t xml:space="preserve"> išvadas, neabejotinai egzistuoja poreikis peržiūrėti </w:t>
      </w:r>
      <w:r w:rsidR="00C74B08" w:rsidRPr="008F3BAA">
        <w:t>šiuo metu</w:t>
      </w:r>
      <w:r w:rsidRPr="008F3BAA">
        <w:t xml:space="preserve"> galiojančius </w:t>
      </w:r>
      <w:r w:rsidR="005D2D26" w:rsidRPr="008F3BAA">
        <w:t xml:space="preserve">LR </w:t>
      </w:r>
      <w:r w:rsidRPr="008F3BAA">
        <w:t>teisės aktus</w:t>
      </w:r>
      <w:r w:rsidR="005D2D26" w:rsidRPr="008F3BAA">
        <w:t xml:space="preserve">, kurie nustato II pakopos pensijų fondų veiklą, numatant </w:t>
      </w:r>
      <w:r w:rsidR="00A15EB2" w:rsidRPr="008F3BAA">
        <w:t xml:space="preserve">jiems </w:t>
      </w:r>
      <w:r w:rsidR="005D2D26" w:rsidRPr="008F3BAA">
        <w:t>atsakomybę dėl rizikos ir nuostolingos veiklos bei užtikrinant, kad kaupimas pensijų fonduose būtų naudingas būsimiesiems pensininkams, o ne tik pelno siekiančioms pensijų kaupimo bendrovėms.</w:t>
      </w:r>
    </w:p>
    <w:p w:rsidR="00A742A0" w:rsidRPr="00A15EB2" w:rsidRDefault="008746A2" w:rsidP="008746A2">
      <w:pPr>
        <w:pStyle w:val="Betarp"/>
        <w:tabs>
          <w:tab w:val="left" w:pos="0"/>
          <w:tab w:val="left" w:pos="851"/>
        </w:tabs>
        <w:spacing w:line="360" w:lineRule="auto"/>
        <w:ind w:firstLine="567"/>
        <w:rPr>
          <w:i/>
        </w:rPr>
      </w:pPr>
      <w:r w:rsidRPr="008746A2">
        <w:t>1.</w:t>
      </w:r>
      <w:r w:rsidR="001F2403" w:rsidRPr="008746A2">
        <w:t xml:space="preserve">Visų pirma, </w:t>
      </w:r>
      <w:r w:rsidR="00A15EB2" w:rsidRPr="008746A2">
        <w:t>kadangi</w:t>
      </w:r>
      <w:r w:rsidR="001F2403" w:rsidRPr="008746A2">
        <w:t xml:space="preserve"> </w:t>
      </w:r>
      <w:r w:rsidR="00A15EB2" w:rsidRPr="008746A2">
        <w:t xml:space="preserve">ne </w:t>
      </w:r>
      <w:r w:rsidR="001F2403" w:rsidRPr="008746A2">
        <w:t>tik einamoji, bet ir kaupiamoji pensijų sistema susiduria</w:t>
      </w:r>
      <w:r w:rsidR="00A15EB2" w:rsidRPr="008746A2">
        <w:t xml:space="preserve"> su demografinėmis</w:t>
      </w:r>
      <w:r w:rsidR="00A15EB2">
        <w:t xml:space="preserve"> problemomis, </w:t>
      </w:r>
      <w:r w:rsidR="00923975">
        <w:t xml:space="preserve">yra </w:t>
      </w:r>
      <w:r w:rsidR="006F18BD" w:rsidRPr="00A15EB2">
        <w:rPr>
          <w:i/>
        </w:rPr>
        <w:t>būtina skatinti žmonių užimtumą.</w:t>
      </w:r>
    </w:p>
    <w:p w:rsidR="003701B8" w:rsidRDefault="00923975" w:rsidP="00923975">
      <w:pPr>
        <w:pStyle w:val="Betarp"/>
        <w:tabs>
          <w:tab w:val="left" w:pos="0"/>
          <w:tab w:val="left" w:pos="851"/>
        </w:tabs>
        <w:spacing w:line="360" w:lineRule="auto"/>
        <w:ind w:firstLine="567"/>
      </w:pPr>
      <w:r>
        <w:t xml:space="preserve">2. </w:t>
      </w:r>
      <w:r w:rsidR="00B046B3">
        <w:t>L</w:t>
      </w:r>
      <w:r w:rsidR="00912323" w:rsidRPr="00B0749F">
        <w:t>ietuvoje įtvirtinta patikėji</w:t>
      </w:r>
      <w:r w:rsidR="002C2DF9" w:rsidRPr="00B0749F">
        <w:t xml:space="preserve">mo teisės samprata, taip pat numatyta apibrėžtų įmokų pensijų fondų veikimo schema lemia griežtą </w:t>
      </w:r>
      <w:r w:rsidR="00B0749F" w:rsidRPr="00B0749F">
        <w:t xml:space="preserve">II pakopos </w:t>
      </w:r>
      <w:r w:rsidR="002C2DF9" w:rsidRPr="00B0749F">
        <w:t xml:space="preserve">pensijų fondų investavimo reguliavimą, </w:t>
      </w:r>
      <w:r w:rsidR="00B0749F" w:rsidRPr="00B0749F">
        <w:t>kurio siekiama</w:t>
      </w:r>
      <w:r w:rsidR="002C2DF9" w:rsidRPr="00B0749F">
        <w:t xml:space="preserve"> apsaugoti pensijų fondų dalyvių interesus</w:t>
      </w:r>
      <w:r w:rsidR="00B0749F" w:rsidRPr="00B0749F">
        <w:t xml:space="preserve"> bei išvengti galimo pensijų fondų valdytojų sukčiavimo ir piktnaudžiavimo.</w:t>
      </w:r>
      <w:r w:rsidR="002C2DF9" w:rsidRPr="00B0749F">
        <w:t xml:space="preserve"> </w:t>
      </w:r>
      <w:r w:rsidR="00D14FB9">
        <w:t xml:space="preserve">Dėl pensijų fondų konkrečių įsipareigojimų nebuvimo, bei jiems palankios atskaitymų sistemos, atsakomybės už investavimo veiklą perkėlimu dalyviams bei žemo jų finansinio raštingumo, minėti tikslai yra sunkiai įgyvendinami. </w:t>
      </w:r>
      <w:r w:rsidR="002C2DF9" w:rsidRPr="00B0749F">
        <w:t xml:space="preserve">Mažai tikėtina, kad šios dvi aplinkybės keisis, nes apibrėžtų išmokų sistemą sunku administruoti, o „tresto“ modelį pritaikyti tik pensijų </w:t>
      </w:r>
      <w:r w:rsidR="002C2DF9" w:rsidRPr="00B0749F">
        <w:lastRenderedPageBreak/>
        <w:t xml:space="preserve">fondams, be platesnio pakeitimo, specialistų nuomone, būtų keblu. Todėl </w:t>
      </w:r>
      <w:r w:rsidR="0009050B" w:rsidRPr="00B0749F">
        <w:t>siekiant užt</w:t>
      </w:r>
      <w:r w:rsidR="0009050B" w:rsidRPr="00923975">
        <w:t>ikrinti, kad</w:t>
      </w:r>
      <w:r w:rsidR="00B046B3" w:rsidRPr="00923975">
        <w:t>,</w:t>
      </w:r>
      <w:r w:rsidR="0009050B" w:rsidRPr="00923975">
        <w:t xml:space="preserve"> </w:t>
      </w:r>
      <w:r w:rsidR="00B046B3" w:rsidRPr="00923975">
        <w:t xml:space="preserve">investuojant pensijų fondų turtą, būtų sudaryta galimybė pasireikšti rinkos dalyvių iniciatyvoms bei priimti sprendimus atsižvelgiant į tuo metu rinkoje esančią situaciją, taip sudarant prielaidas gauti maksimalią investicinę grąžą, bei užtikrinti, kad </w:t>
      </w:r>
      <w:r w:rsidR="0009050B" w:rsidRPr="00B0749F">
        <w:t>pelno siekiančios pensijų kaupimo bendrovės būtų suinteresuotos, jog pensijų fondai veiktų efe</w:t>
      </w:r>
      <w:r w:rsidR="0009050B" w:rsidRPr="00923975">
        <w:t>ktyviai</w:t>
      </w:r>
      <w:r w:rsidRPr="00923975">
        <w:t>,</w:t>
      </w:r>
      <w:r w:rsidR="0009050B" w:rsidRPr="00923975">
        <w:t xml:space="preserve"> ir </w:t>
      </w:r>
      <w:r w:rsidRPr="00923975">
        <w:t>būtų užtikrintas pensijų kaupimo dalyvių interesų saugumas</w:t>
      </w:r>
      <w:r w:rsidR="00E906AE" w:rsidRPr="00923975">
        <w:t xml:space="preserve"> reikalingi sekantys veiksmai:</w:t>
      </w:r>
    </w:p>
    <w:p w:rsidR="00082F46" w:rsidRPr="00395911" w:rsidRDefault="00082F46" w:rsidP="00923975">
      <w:pPr>
        <w:pStyle w:val="Betarp"/>
        <w:tabs>
          <w:tab w:val="left" w:pos="0"/>
          <w:tab w:val="left" w:pos="851"/>
        </w:tabs>
        <w:spacing w:line="360" w:lineRule="auto"/>
        <w:ind w:firstLine="567"/>
      </w:pPr>
      <w:r>
        <w:t xml:space="preserve">a) numatyti </w:t>
      </w:r>
      <w:r w:rsidRPr="00082F46">
        <w:rPr>
          <w:i/>
        </w:rPr>
        <w:t>baudžiamąją atsakomybę</w:t>
      </w:r>
      <w:r>
        <w:rPr>
          <w:i/>
        </w:rPr>
        <w:t xml:space="preserve"> </w:t>
      </w:r>
      <w:r w:rsidR="00395911">
        <w:t>už netinkamą pensijų fondų turto valdymą.</w:t>
      </w:r>
    </w:p>
    <w:p w:rsidR="003701B8" w:rsidRPr="00B0749F" w:rsidRDefault="00082F46" w:rsidP="003701B8">
      <w:pPr>
        <w:pStyle w:val="Betarp"/>
        <w:tabs>
          <w:tab w:val="left" w:pos="0"/>
          <w:tab w:val="left" w:pos="851"/>
        </w:tabs>
        <w:spacing w:line="360" w:lineRule="auto"/>
        <w:ind w:firstLine="567"/>
      </w:pPr>
      <w:r>
        <w:t>b</w:t>
      </w:r>
      <w:r w:rsidR="003701B8" w:rsidRPr="00B0749F">
        <w:t xml:space="preserve">) siūlymas </w:t>
      </w:r>
      <w:r w:rsidR="003701B8" w:rsidRPr="00A15EB2">
        <w:rPr>
          <w:i/>
        </w:rPr>
        <w:t>įvesti mokestį nuo pelno</w:t>
      </w:r>
      <w:r w:rsidR="003701B8" w:rsidRPr="00B0749F">
        <w:t xml:space="preserve"> bei panaikinti atskaitymai nuo įmokų bei turto valdymo.  Darbo autorė, nežiūrint į tai, kad nors naujoji atskaitymų sistema labiau pritaikyta prie dalyvių interesų bei turėtų skatinti valdytojus efektyviau dirbti, tačiau numatytos neigiamos pasekmės, tokios kaip pensijų fondų koncentracija, suponuoja, kad naujas modelis gali nepasiteisinti, būtų linkusi pritarti šiam siūlymui. Mokesčio nuo pelno įvedimas užtikrintų visišką pensijų kaupimo bendrovių suinteresuotumą dirbti efektyviai, nes jų pačių gaunama nauda priklausytų nuo veiklos rezultatų. Tokių atveju, būtų įmanomas ir laisvesnių investavimo galimybių suteikimas pensijų fondams. </w:t>
      </w:r>
    </w:p>
    <w:p w:rsidR="00A15EB2" w:rsidRPr="00D13D05" w:rsidRDefault="00082F46" w:rsidP="0009050B">
      <w:pPr>
        <w:pStyle w:val="Betarp"/>
        <w:tabs>
          <w:tab w:val="left" w:pos="0"/>
          <w:tab w:val="left" w:pos="851"/>
        </w:tabs>
        <w:spacing w:line="360" w:lineRule="auto"/>
        <w:ind w:firstLine="567"/>
      </w:pPr>
      <w:r>
        <w:t>c</w:t>
      </w:r>
      <w:r w:rsidR="0009050B" w:rsidRPr="00B0749F">
        <w:t xml:space="preserve">) </w:t>
      </w:r>
      <w:r w:rsidR="00BE3841" w:rsidRPr="00A15EB2">
        <w:rPr>
          <w:i/>
        </w:rPr>
        <w:t>finansinis žmonių švietimas</w:t>
      </w:r>
      <w:r w:rsidR="00BE3841" w:rsidRPr="00B0749F">
        <w:t xml:space="preserve">, kad jie </w:t>
      </w:r>
      <w:r w:rsidR="0009050B" w:rsidRPr="00B0749F">
        <w:t>gebėtų</w:t>
      </w:r>
      <w:r w:rsidR="00BE3841" w:rsidRPr="00B0749F">
        <w:t xml:space="preserve"> </w:t>
      </w:r>
      <w:r w:rsidR="0009050B" w:rsidRPr="00B0749F">
        <w:t xml:space="preserve">sąmoningai ir pagrįstai pasirinkti pensijų fondus bei jų planus, o tuo pačiu ir suprasti galimas pasirinkimo pasekmes. Tai </w:t>
      </w:r>
      <w:r w:rsidR="00923975">
        <w:t xml:space="preserve">savo ruožtu </w:t>
      </w:r>
      <w:r w:rsidR="0009050B" w:rsidRPr="00B0749F">
        <w:t xml:space="preserve">skatintų </w:t>
      </w:r>
      <w:r w:rsidR="00923975">
        <w:t xml:space="preserve">ir </w:t>
      </w:r>
      <w:r w:rsidR="0009050B" w:rsidRPr="00B0749F">
        <w:t xml:space="preserve">pensijų </w:t>
      </w:r>
      <w:r w:rsidR="00BE3841" w:rsidRPr="00B0749F">
        <w:t xml:space="preserve"> </w:t>
      </w:r>
      <w:r w:rsidR="0009050B" w:rsidRPr="00B0749F">
        <w:t>kaupimo bendroves dirbti efektyviau</w:t>
      </w:r>
      <w:r w:rsidR="00923975" w:rsidRPr="005E36C0">
        <w:rPr>
          <w:color w:val="0070C0"/>
        </w:rPr>
        <w:t xml:space="preserve">. </w:t>
      </w:r>
      <w:r w:rsidR="005E36C0" w:rsidRPr="00D13D05">
        <w:t xml:space="preserve">Dalyviai turėdami daugiau informacijos, gali priimti pagrįstesnius sprendimus, tačiau yra svarbu ne tik gauti tam tikrą informaciją, bet taip pat ir gebėti ją vertinti. Todėl turėtų būti nustatyti tam tikri griežti informacijos pateikimo </w:t>
      </w:r>
      <w:r w:rsidR="000A70E3" w:rsidRPr="00D13D05">
        <w:t xml:space="preserve">dalyviams </w:t>
      </w:r>
      <w:r w:rsidR="005E36C0" w:rsidRPr="00D13D05">
        <w:t xml:space="preserve">standartai ir ką ta informacija turėtų atskleisti. </w:t>
      </w:r>
    </w:p>
    <w:p w:rsidR="00B51DE1" w:rsidRPr="00D13D05" w:rsidRDefault="00A15EB2" w:rsidP="0009050B">
      <w:pPr>
        <w:pStyle w:val="Betarp"/>
        <w:tabs>
          <w:tab w:val="left" w:pos="0"/>
          <w:tab w:val="left" w:pos="851"/>
        </w:tabs>
        <w:spacing w:line="360" w:lineRule="auto"/>
        <w:ind w:firstLine="567"/>
      </w:pPr>
      <w:r w:rsidRPr="00D13D05">
        <w:t>Tuo tarpu, s</w:t>
      </w:r>
      <w:r w:rsidR="00B51DE1" w:rsidRPr="00D13D05">
        <w:t>iekiant užtikrinti, kad savimi nesugebantys pasirūpinti bei priimti sprendimus asmenys, taip pat tie, kurie bijo prisiimti rinkos riziką, turėtų galimybę dalyvauti pensijų kaupime, siūloma:</w:t>
      </w:r>
    </w:p>
    <w:p w:rsidR="0009050B" w:rsidRDefault="00082F46" w:rsidP="0009050B">
      <w:pPr>
        <w:pStyle w:val="Betarp"/>
        <w:tabs>
          <w:tab w:val="left" w:pos="0"/>
          <w:tab w:val="left" w:pos="851"/>
        </w:tabs>
        <w:spacing w:line="360" w:lineRule="auto"/>
        <w:ind w:firstLine="567"/>
      </w:pPr>
      <w:r>
        <w:t>d</w:t>
      </w:r>
      <w:r w:rsidR="0009050B" w:rsidRPr="00D13D05">
        <w:t xml:space="preserve">) </w:t>
      </w:r>
      <w:r w:rsidR="00B51DE1" w:rsidRPr="00D13D05">
        <w:t xml:space="preserve">numatyti bent </w:t>
      </w:r>
      <w:r w:rsidR="00B51DE1" w:rsidRPr="00D13D05">
        <w:rPr>
          <w:i/>
        </w:rPr>
        <w:t xml:space="preserve">vieną </w:t>
      </w:r>
      <w:r w:rsidR="000A70E3" w:rsidRPr="00D13D05">
        <w:rPr>
          <w:i/>
        </w:rPr>
        <w:t xml:space="preserve">pensijų </w:t>
      </w:r>
      <w:r w:rsidR="00B51DE1" w:rsidRPr="00D13D05">
        <w:rPr>
          <w:i/>
        </w:rPr>
        <w:t xml:space="preserve">fondą garantuojantį </w:t>
      </w:r>
      <w:r w:rsidR="0009050B" w:rsidRPr="00D13D05">
        <w:rPr>
          <w:i/>
        </w:rPr>
        <w:t>m</w:t>
      </w:r>
      <w:r w:rsidR="00912323" w:rsidRPr="00D13D05">
        <w:rPr>
          <w:i/>
        </w:rPr>
        <w:t>ini</w:t>
      </w:r>
      <w:r w:rsidR="00B51DE1" w:rsidRPr="00D13D05">
        <w:rPr>
          <w:i/>
        </w:rPr>
        <w:t>malų</w:t>
      </w:r>
      <w:r w:rsidR="00912323" w:rsidRPr="00D13D05">
        <w:rPr>
          <w:i/>
        </w:rPr>
        <w:t xml:space="preserve"> </w:t>
      </w:r>
      <w:r w:rsidR="001F1D26" w:rsidRPr="00D13D05">
        <w:rPr>
          <w:i/>
        </w:rPr>
        <w:t>pajamingumą</w:t>
      </w:r>
      <w:r w:rsidR="001F1D26" w:rsidRPr="00D13D05">
        <w:t>.</w:t>
      </w:r>
      <w:r w:rsidR="00E906AE" w:rsidRPr="00D13D05">
        <w:t xml:space="preserve"> Tai</w:t>
      </w:r>
      <w:r w:rsidR="00912323" w:rsidRPr="00D13D05">
        <w:t xml:space="preserve"> užtikrintų </w:t>
      </w:r>
      <w:r w:rsidR="00923975" w:rsidRPr="00D13D05">
        <w:t xml:space="preserve">jiems </w:t>
      </w:r>
      <w:r w:rsidR="00912323" w:rsidRPr="00D13D05">
        <w:t xml:space="preserve">minimalias pajamas nesėkmingų investicijų atveju. </w:t>
      </w:r>
    </w:p>
    <w:p w:rsidR="00D95803" w:rsidRPr="00D13D05" w:rsidRDefault="00D95803" w:rsidP="0009050B">
      <w:pPr>
        <w:pStyle w:val="Betarp"/>
        <w:tabs>
          <w:tab w:val="left" w:pos="0"/>
          <w:tab w:val="left" w:pos="851"/>
        </w:tabs>
        <w:spacing w:line="360" w:lineRule="auto"/>
        <w:ind w:firstLine="567"/>
      </w:pPr>
    </w:p>
    <w:p w:rsidR="00445C7E" w:rsidRDefault="00445C7E" w:rsidP="00E906AE">
      <w:pPr>
        <w:pStyle w:val="Betarp"/>
        <w:tabs>
          <w:tab w:val="left" w:pos="0"/>
          <w:tab w:val="left" w:pos="851"/>
        </w:tabs>
        <w:spacing w:line="360" w:lineRule="auto"/>
        <w:ind w:firstLine="567"/>
        <w:rPr>
          <w:b/>
        </w:rPr>
      </w:pPr>
    </w:p>
    <w:p w:rsidR="00A82840" w:rsidRDefault="00A82840" w:rsidP="00E906AE">
      <w:pPr>
        <w:pStyle w:val="Betarp"/>
        <w:tabs>
          <w:tab w:val="left" w:pos="0"/>
          <w:tab w:val="left" w:pos="851"/>
        </w:tabs>
        <w:spacing w:line="360" w:lineRule="auto"/>
        <w:ind w:firstLine="567"/>
        <w:rPr>
          <w:b/>
        </w:rPr>
      </w:pPr>
    </w:p>
    <w:p w:rsidR="00445C7E" w:rsidRDefault="00445C7E" w:rsidP="00DE22EA">
      <w:pPr>
        <w:pStyle w:val="Betarp"/>
        <w:spacing w:line="360" w:lineRule="auto"/>
        <w:ind w:firstLine="0"/>
        <w:jc w:val="center"/>
      </w:pPr>
    </w:p>
    <w:p w:rsidR="00445C7E" w:rsidRDefault="00445C7E" w:rsidP="00DE22EA">
      <w:pPr>
        <w:pStyle w:val="Betarp"/>
        <w:spacing w:line="360" w:lineRule="auto"/>
        <w:ind w:firstLine="0"/>
        <w:jc w:val="center"/>
        <w:rPr>
          <w:sz w:val="28"/>
          <w:szCs w:val="28"/>
        </w:rPr>
      </w:pPr>
      <w:r>
        <w:rPr>
          <w:sz w:val="28"/>
          <w:szCs w:val="28"/>
        </w:rPr>
        <w:br w:type="page"/>
      </w:r>
    </w:p>
    <w:p w:rsidR="00445C7E" w:rsidRDefault="00445C7E" w:rsidP="002F5D23">
      <w:pPr>
        <w:pStyle w:val="Betarp"/>
        <w:spacing w:line="360" w:lineRule="auto"/>
        <w:ind w:firstLine="0"/>
        <w:jc w:val="center"/>
        <w:rPr>
          <w:b/>
          <w:sz w:val="28"/>
          <w:szCs w:val="28"/>
        </w:rPr>
      </w:pPr>
      <w:r w:rsidRPr="00DF6EDC">
        <w:rPr>
          <w:b/>
          <w:sz w:val="28"/>
          <w:szCs w:val="28"/>
        </w:rPr>
        <w:lastRenderedPageBreak/>
        <w:t>LITERATŪRA</w:t>
      </w:r>
    </w:p>
    <w:p w:rsidR="008D6CC1" w:rsidRDefault="008D6CC1" w:rsidP="002F5D23">
      <w:pPr>
        <w:pStyle w:val="Betarp"/>
        <w:spacing w:line="360" w:lineRule="auto"/>
        <w:ind w:firstLine="0"/>
        <w:jc w:val="center"/>
        <w:rPr>
          <w:b/>
          <w:sz w:val="28"/>
          <w:szCs w:val="28"/>
        </w:rPr>
      </w:pPr>
    </w:p>
    <w:p w:rsidR="008D6CC1" w:rsidRPr="00F8017A" w:rsidRDefault="008D6CC1" w:rsidP="008D6CC1">
      <w:pPr>
        <w:pStyle w:val="Betarp"/>
        <w:spacing w:line="360" w:lineRule="auto"/>
        <w:ind w:firstLine="0"/>
        <w:rPr>
          <w:b/>
        </w:rPr>
      </w:pPr>
      <w:r>
        <w:rPr>
          <w:b/>
        </w:rPr>
        <w:t>I</w:t>
      </w:r>
      <w:r w:rsidRPr="00F8017A">
        <w:rPr>
          <w:b/>
        </w:rPr>
        <w:t xml:space="preserve"> </w:t>
      </w:r>
      <w:r w:rsidR="00E70FC0">
        <w:rPr>
          <w:b/>
        </w:rPr>
        <w:t>Lietuvos Respublikos įstatymai</w:t>
      </w:r>
    </w:p>
    <w:p w:rsidR="008D6CC1" w:rsidRPr="008F3BAA" w:rsidRDefault="008D6CC1" w:rsidP="008D6CC1">
      <w:pPr>
        <w:pStyle w:val="Betarp"/>
        <w:numPr>
          <w:ilvl w:val="0"/>
          <w:numId w:val="19"/>
        </w:numPr>
        <w:spacing w:line="360" w:lineRule="auto"/>
        <w:ind w:left="567" w:hanging="567"/>
      </w:pPr>
      <w:r w:rsidRPr="008F3BAA">
        <w:t xml:space="preserve">Lietuvos Respublikos Civilinis kodeksas. </w:t>
      </w:r>
      <w:r w:rsidRPr="008F3BAA">
        <w:rPr>
          <w:i/>
          <w:iCs/>
        </w:rPr>
        <w:t>Vals</w:t>
      </w:r>
      <w:r w:rsidRPr="008F3BAA">
        <w:rPr>
          <w:i/>
          <w:iCs/>
        </w:rPr>
        <w:softHyphen/>
        <w:t>tybės žinios</w:t>
      </w:r>
      <w:r w:rsidRPr="008F3BAA">
        <w:t>. 2000, Nr. 74-2262.</w:t>
      </w:r>
    </w:p>
    <w:p w:rsidR="008D6CC1" w:rsidRPr="008F3BAA" w:rsidRDefault="008D6CC1" w:rsidP="008D6CC1">
      <w:pPr>
        <w:pStyle w:val="Betarp"/>
        <w:numPr>
          <w:ilvl w:val="0"/>
          <w:numId w:val="19"/>
        </w:numPr>
        <w:spacing w:line="360" w:lineRule="auto"/>
        <w:ind w:left="567" w:hanging="567"/>
        <w:rPr>
          <w:lang w:val="en-US"/>
        </w:rPr>
      </w:pPr>
      <w:r w:rsidRPr="008F3BAA">
        <w:t xml:space="preserve">Lietuvos Respublikos Finansinių priemonių rinkų įstatymas. </w:t>
      </w:r>
      <w:r w:rsidRPr="008F3BAA">
        <w:rPr>
          <w:i/>
        </w:rPr>
        <w:t>Valstybės žinios</w:t>
      </w:r>
      <w:r w:rsidRPr="008F3BAA">
        <w:t>. 2007, Nr. 17-62</w:t>
      </w:r>
      <w:r w:rsidRPr="008F3BAA">
        <w:rPr>
          <w:lang w:val="en-US"/>
        </w:rPr>
        <w:t>7, 3 straipsnis, 38 dalis.</w:t>
      </w:r>
    </w:p>
    <w:p w:rsidR="008D6CC1" w:rsidRPr="008F3BAA" w:rsidRDefault="008D6CC1" w:rsidP="008D6CC1">
      <w:pPr>
        <w:pStyle w:val="Betarp"/>
        <w:numPr>
          <w:ilvl w:val="0"/>
          <w:numId w:val="19"/>
        </w:numPr>
        <w:spacing w:line="360" w:lineRule="auto"/>
        <w:ind w:left="567" w:hanging="567"/>
      </w:pPr>
      <w:r w:rsidRPr="008F3BAA">
        <w:t xml:space="preserve">Lietuvos Respublikos Papildomo savanoriško pensijų kaupimo įstatymas. </w:t>
      </w:r>
      <w:r w:rsidRPr="008F3BAA">
        <w:rPr>
          <w:i/>
        </w:rPr>
        <w:t xml:space="preserve">Valstybės žinios. </w:t>
      </w:r>
      <w:r w:rsidRPr="008F3BAA">
        <w:t xml:space="preserve">1999, Nr. 55-1765, </w:t>
      </w:r>
    </w:p>
    <w:p w:rsidR="008D6CC1" w:rsidRPr="008F3BAA" w:rsidRDefault="008D6CC1" w:rsidP="008D6CC1">
      <w:pPr>
        <w:pStyle w:val="Betarp"/>
        <w:numPr>
          <w:ilvl w:val="0"/>
          <w:numId w:val="19"/>
        </w:numPr>
        <w:spacing w:line="360" w:lineRule="auto"/>
        <w:ind w:left="567" w:hanging="567"/>
      </w:pPr>
      <w:r w:rsidRPr="008F3BAA">
        <w:t xml:space="preserve">Lietuvos Respublikos Pensijų kaupimo įstatymas. </w:t>
      </w:r>
      <w:r w:rsidRPr="008F3BAA">
        <w:rPr>
          <w:i/>
        </w:rPr>
        <w:t xml:space="preserve">Valstybės žinios. </w:t>
      </w:r>
      <w:r w:rsidRPr="008F3BAA">
        <w:t>2003, Nr. 75</w:t>
      </w:r>
      <w:r w:rsidRPr="008F3BAA">
        <w:rPr>
          <w:lang w:val="en-US"/>
        </w:rPr>
        <w:t>-</w:t>
      </w:r>
      <w:r w:rsidRPr="008F3BAA">
        <w:t>3472</w:t>
      </w:r>
    </w:p>
    <w:p w:rsidR="008D6CC1" w:rsidRPr="008F3BAA" w:rsidRDefault="008D6CC1" w:rsidP="008D6CC1">
      <w:pPr>
        <w:pStyle w:val="Betarp"/>
        <w:numPr>
          <w:ilvl w:val="0"/>
          <w:numId w:val="19"/>
        </w:numPr>
        <w:spacing w:line="360" w:lineRule="auto"/>
        <w:ind w:left="567" w:hanging="567"/>
        <w:rPr>
          <w:rStyle w:val="Hipersaitas"/>
          <w:color w:val="auto"/>
          <w:u w:val="none"/>
        </w:rPr>
      </w:pPr>
      <w:r w:rsidRPr="008F3BAA">
        <w:t xml:space="preserve">Lietuvos Respublikos Pensijų sistemos reformos įstatymas. </w:t>
      </w:r>
      <w:r w:rsidRPr="008F3BAA">
        <w:rPr>
          <w:i/>
        </w:rPr>
        <w:t>Valstybės žinios</w:t>
      </w:r>
      <w:r w:rsidRPr="008F3BAA">
        <w:t xml:space="preserve">,  2002, Nr. </w:t>
      </w:r>
      <w:hyperlink r:id="rId17" w:history="1">
        <w:r w:rsidRPr="008F3BAA">
          <w:rPr>
            <w:rStyle w:val="Hipersaitas"/>
            <w:color w:val="auto"/>
            <w:u w:val="none"/>
          </w:rPr>
          <w:t>123- 5511</w:t>
        </w:r>
      </w:hyperlink>
    </w:p>
    <w:p w:rsidR="008D6CC1" w:rsidRPr="008F3BAA" w:rsidRDefault="008D6CC1" w:rsidP="0096321C">
      <w:pPr>
        <w:pStyle w:val="Betarp"/>
        <w:spacing w:line="360" w:lineRule="auto"/>
        <w:ind w:firstLine="0"/>
        <w:rPr>
          <w:b/>
        </w:rPr>
      </w:pPr>
    </w:p>
    <w:p w:rsidR="00445C7E" w:rsidRPr="008F3BAA" w:rsidRDefault="00445C7E" w:rsidP="0096321C">
      <w:pPr>
        <w:pStyle w:val="Betarp"/>
        <w:spacing w:line="360" w:lineRule="auto"/>
        <w:ind w:firstLine="0"/>
        <w:rPr>
          <w:b/>
        </w:rPr>
      </w:pPr>
      <w:r w:rsidRPr="008F3BAA">
        <w:rPr>
          <w:b/>
        </w:rPr>
        <w:t>II E</w:t>
      </w:r>
      <w:r w:rsidR="00E70FC0" w:rsidRPr="008F3BAA">
        <w:rPr>
          <w:b/>
        </w:rPr>
        <w:t xml:space="preserve">uropos </w:t>
      </w:r>
      <w:r w:rsidRPr="008F3BAA">
        <w:rPr>
          <w:b/>
        </w:rPr>
        <w:t>S</w:t>
      </w:r>
      <w:r w:rsidR="00E70FC0" w:rsidRPr="008F3BAA">
        <w:rPr>
          <w:b/>
        </w:rPr>
        <w:t>ąjungos</w:t>
      </w:r>
      <w:r w:rsidRPr="008F3BAA">
        <w:rPr>
          <w:b/>
        </w:rPr>
        <w:t xml:space="preserve"> norminiai ir kiti teisės aktai:</w:t>
      </w:r>
    </w:p>
    <w:p w:rsidR="00445C7E" w:rsidRPr="008F3BAA" w:rsidRDefault="00445C7E" w:rsidP="0096321C">
      <w:pPr>
        <w:pStyle w:val="Betarp"/>
        <w:numPr>
          <w:ilvl w:val="0"/>
          <w:numId w:val="19"/>
        </w:numPr>
        <w:spacing w:line="360" w:lineRule="auto"/>
        <w:ind w:left="567" w:hanging="567"/>
        <w:rPr>
          <w:lang w:val="en-US"/>
        </w:rPr>
      </w:pPr>
      <w:r w:rsidRPr="008F3BAA">
        <w:t xml:space="preserve">1957 m. kovo 25 d. Europos Bendrijos Steigimo Sutartis. </w:t>
      </w:r>
      <w:r w:rsidRPr="008F3BAA">
        <w:rPr>
          <w:i/>
        </w:rPr>
        <w:t>Valstybės žinios</w:t>
      </w:r>
      <w:r w:rsidRPr="008F3BAA">
        <w:t xml:space="preserve">, 2004, Nr. 2-2. </w:t>
      </w:r>
      <w:r w:rsidRPr="008F3BAA">
        <w:rPr>
          <w:lang w:val="en-US"/>
        </w:rPr>
        <w:t xml:space="preserve">56 straipsnis, 1 </w:t>
      </w:r>
      <w:proofErr w:type="gramStart"/>
      <w:r w:rsidRPr="008F3BAA">
        <w:rPr>
          <w:lang w:val="en-US"/>
        </w:rPr>
        <w:t>dalis</w:t>
      </w:r>
      <w:proofErr w:type="gramEnd"/>
      <w:r w:rsidRPr="008F3BAA">
        <w:rPr>
          <w:lang w:val="en-US"/>
        </w:rPr>
        <w:t>.</w:t>
      </w:r>
    </w:p>
    <w:p w:rsidR="00445C7E" w:rsidRPr="008F3BAA" w:rsidRDefault="00445C7E" w:rsidP="0096321C">
      <w:pPr>
        <w:pStyle w:val="Betarp"/>
        <w:numPr>
          <w:ilvl w:val="0"/>
          <w:numId w:val="19"/>
        </w:numPr>
        <w:spacing w:line="360" w:lineRule="auto"/>
        <w:ind w:left="567" w:hanging="567"/>
      </w:pPr>
      <w:r w:rsidRPr="008F3BAA">
        <w:t>1988 m. birželio 24 d. Tarybos Direktyva 88/361/EEB dėl Sutarties 67 straipsnio įgyvendinimo, OL L 178, 1988 07 08, 1 priedas.</w:t>
      </w:r>
    </w:p>
    <w:p w:rsidR="008E5E12" w:rsidRPr="008F3BAA" w:rsidRDefault="00445C7E" w:rsidP="008E5E12">
      <w:pPr>
        <w:pStyle w:val="Betarp"/>
        <w:numPr>
          <w:ilvl w:val="0"/>
          <w:numId w:val="19"/>
        </w:numPr>
        <w:spacing w:line="360" w:lineRule="auto"/>
        <w:ind w:left="567" w:hanging="567"/>
        <w:rPr>
          <w:rStyle w:val="Hipersaitas"/>
          <w:color w:val="auto"/>
          <w:u w:val="none"/>
          <w:lang w:val="es-ES"/>
        </w:rPr>
      </w:pPr>
      <w:r w:rsidRPr="008F3BAA">
        <w:t xml:space="preserve">Europos Sąjungos Protokolas dėl subsidiarumo ir proporcingumo principo. C 310, 2004 12 16  </w:t>
      </w:r>
      <w:hyperlink r:id="rId18" w:history="1">
        <w:r w:rsidRPr="008F3BAA">
          <w:rPr>
            <w:rStyle w:val="Hipersaitas"/>
            <w:color w:val="auto"/>
            <w:u w:val="none"/>
          </w:rPr>
          <w:t>http://eur-lex.europa.eu/lt/treaties/dat/12007L/htm/C2007306LT.01015001.htm</w:t>
        </w:r>
      </w:hyperlink>
      <w:r w:rsidRPr="008F3BAA">
        <w:t xml:space="preserve"> </w:t>
      </w:r>
      <w:r w:rsidR="00E87613" w:rsidRPr="008F3BAA">
        <w:rPr>
          <w:rStyle w:val="Hipersaitas"/>
          <w:color w:val="auto"/>
          <w:u w:val="none"/>
        </w:rPr>
        <w:t xml:space="preserve">[žiūrėta </w:t>
      </w:r>
      <w:r w:rsidR="00E87613" w:rsidRPr="008F3BAA">
        <w:rPr>
          <w:rStyle w:val="Hipersaitas"/>
          <w:color w:val="auto"/>
          <w:u w:val="none"/>
          <w:lang w:val="es-ES"/>
        </w:rPr>
        <w:t>2013 02 26]</w:t>
      </w:r>
    </w:p>
    <w:p w:rsidR="00E87613" w:rsidRPr="008F3BAA" w:rsidRDefault="00E87613" w:rsidP="00E87613">
      <w:pPr>
        <w:pStyle w:val="Betarp"/>
        <w:spacing w:line="360" w:lineRule="auto"/>
        <w:ind w:left="567" w:firstLine="0"/>
        <w:rPr>
          <w:lang w:val="es-ES"/>
        </w:rPr>
      </w:pPr>
    </w:p>
    <w:p w:rsidR="00405332" w:rsidRPr="008F3BAA" w:rsidRDefault="009E2078" w:rsidP="0096321C">
      <w:pPr>
        <w:pStyle w:val="Betarp"/>
        <w:spacing w:line="360" w:lineRule="auto"/>
        <w:ind w:firstLine="0"/>
        <w:rPr>
          <w:b/>
        </w:rPr>
      </w:pPr>
      <w:r w:rsidRPr="008F3BAA">
        <w:rPr>
          <w:b/>
        </w:rPr>
        <w:t>I</w:t>
      </w:r>
      <w:r w:rsidR="00B2774D" w:rsidRPr="008F3BAA">
        <w:rPr>
          <w:b/>
        </w:rPr>
        <w:t>II</w:t>
      </w:r>
      <w:r w:rsidR="00911567" w:rsidRPr="008F3BAA">
        <w:rPr>
          <w:b/>
        </w:rPr>
        <w:t xml:space="preserve"> E</w:t>
      </w:r>
      <w:r w:rsidR="00E70FC0" w:rsidRPr="008F3BAA">
        <w:rPr>
          <w:b/>
        </w:rPr>
        <w:t xml:space="preserve">uropos </w:t>
      </w:r>
      <w:r w:rsidR="00911567" w:rsidRPr="008F3BAA">
        <w:rPr>
          <w:b/>
        </w:rPr>
        <w:t>T</w:t>
      </w:r>
      <w:r w:rsidR="00E70FC0" w:rsidRPr="008F3BAA">
        <w:rPr>
          <w:b/>
        </w:rPr>
        <w:t xml:space="preserve">eisingumo </w:t>
      </w:r>
      <w:r w:rsidRPr="008F3BAA">
        <w:rPr>
          <w:b/>
        </w:rPr>
        <w:t>T</w:t>
      </w:r>
      <w:r w:rsidR="00E70FC0" w:rsidRPr="008F3BAA">
        <w:rPr>
          <w:b/>
        </w:rPr>
        <w:t>eismo</w:t>
      </w:r>
      <w:r w:rsidR="00911567" w:rsidRPr="008F3BAA">
        <w:rPr>
          <w:b/>
        </w:rPr>
        <w:t xml:space="preserve"> sprendimai:</w:t>
      </w:r>
    </w:p>
    <w:p w:rsidR="006E57A7" w:rsidRPr="008F3BAA" w:rsidRDefault="006E57A7" w:rsidP="006E57A7">
      <w:pPr>
        <w:pStyle w:val="Betarp"/>
        <w:numPr>
          <w:ilvl w:val="0"/>
          <w:numId w:val="19"/>
        </w:numPr>
        <w:spacing w:line="360" w:lineRule="auto"/>
        <w:ind w:left="567" w:hanging="567"/>
        <w:rPr>
          <w:lang w:val="es-ES"/>
        </w:rPr>
      </w:pPr>
      <w:r w:rsidRPr="008F3BAA">
        <w:t xml:space="preserve">2011 m. gruodžio </w:t>
      </w:r>
      <w:r w:rsidRPr="008F3BAA">
        <w:rPr>
          <w:lang w:val="es-ES"/>
        </w:rPr>
        <w:t xml:space="preserve">21 d. ETT </w:t>
      </w:r>
      <w:r w:rsidRPr="008F3BAA">
        <w:t>sprendimas byloje</w:t>
      </w:r>
      <w:r w:rsidRPr="008F3BAA">
        <w:rPr>
          <w:lang w:val="es-ES"/>
        </w:rPr>
        <w:t xml:space="preserve"> C-193/91, </w:t>
      </w:r>
      <w:r w:rsidRPr="008F3BAA">
        <w:rPr>
          <w:i/>
        </w:rPr>
        <w:t>Europos Komisija prieš Lenkijos Respubliką.</w:t>
      </w:r>
    </w:p>
    <w:p w:rsidR="00E70FC0" w:rsidRPr="008F3BAA" w:rsidRDefault="00E70FC0" w:rsidP="00E70FC0">
      <w:pPr>
        <w:pStyle w:val="Betarp"/>
        <w:spacing w:line="360" w:lineRule="auto"/>
        <w:ind w:left="567" w:firstLine="0"/>
        <w:rPr>
          <w:lang w:val="es-ES"/>
        </w:rPr>
      </w:pPr>
    </w:p>
    <w:p w:rsidR="008D6CC1" w:rsidRPr="008F3BAA" w:rsidRDefault="00B2774D" w:rsidP="008D6CC1">
      <w:pPr>
        <w:pStyle w:val="Betarp"/>
        <w:spacing w:line="360" w:lineRule="auto"/>
        <w:ind w:firstLine="0"/>
        <w:rPr>
          <w:b/>
        </w:rPr>
      </w:pPr>
      <w:r w:rsidRPr="008F3BAA">
        <w:rPr>
          <w:b/>
        </w:rPr>
        <w:t>I</w:t>
      </w:r>
      <w:r w:rsidR="009E2078" w:rsidRPr="008F3BAA">
        <w:rPr>
          <w:b/>
        </w:rPr>
        <w:t>V</w:t>
      </w:r>
      <w:r w:rsidR="008D6CC1" w:rsidRPr="008F3BAA">
        <w:rPr>
          <w:b/>
        </w:rPr>
        <w:t xml:space="preserve"> Specialioji literatūra:</w:t>
      </w:r>
    </w:p>
    <w:p w:rsidR="008D6CC1" w:rsidRPr="008F3BAA" w:rsidRDefault="008D6CC1" w:rsidP="008D6CC1">
      <w:pPr>
        <w:pStyle w:val="Betarp"/>
        <w:numPr>
          <w:ilvl w:val="0"/>
          <w:numId w:val="19"/>
        </w:numPr>
        <w:spacing w:line="360" w:lineRule="auto"/>
        <w:ind w:left="567" w:hanging="567"/>
      </w:pPr>
      <w:r w:rsidRPr="008F3BAA">
        <w:t>Aleknevičienė V., Finansai ir kreditas: vadovėlis. – Vilnius: Enciklopedija, 2005. – 268 p. - ISBN: 9986433355.</w:t>
      </w:r>
    </w:p>
    <w:p w:rsidR="008D6CC1" w:rsidRPr="008F3BAA" w:rsidRDefault="008D6CC1" w:rsidP="008D6CC1">
      <w:pPr>
        <w:pStyle w:val="Betarp"/>
        <w:numPr>
          <w:ilvl w:val="0"/>
          <w:numId w:val="19"/>
        </w:numPr>
        <w:spacing w:line="360" w:lineRule="auto"/>
        <w:ind w:left="567" w:hanging="567"/>
      </w:pPr>
      <w:r w:rsidRPr="008F3BAA">
        <w:t xml:space="preserve">Azguridienė G., Pensijų sistemos tvarumas ir jos dalyvių interesai. // Politologija: Vilniaus Universitetas, 2010, Nr. 4. – p. 142 – 172. – ISSN 1392-1681. </w:t>
      </w:r>
    </w:p>
    <w:p w:rsidR="008D6CC1" w:rsidRPr="008F3BAA" w:rsidRDefault="00173912" w:rsidP="008D6CC1">
      <w:pPr>
        <w:pStyle w:val="Betarp"/>
        <w:spacing w:line="360" w:lineRule="auto"/>
        <w:ind w:left="567" w:firstLine="0"/>
      </w:pPr>
      <w:hyperlink r:id="rId19" w:history="1">
        <w:r w:rsidR="008D6CC1" w:rsidRPr="008F3BAA">
          <w:rPr>
            <w:rStyle w:val="Hipersaitas"/>
            <w:color w:val="auto"/>
            <w:u w:val="none"/>
          </w:rPr>
          <w:t>http://www.leidykla.eu/fileadmin/Politologija/60/142-172.pdf</w:t>
        </w:r>
      </w:hyperlink>
      <w:r w:rsidR="008D6CC1" w:rsidRPr="008F3BAA">
        <w:t xml:space="preserve"> [žiūrėta 2013 03 21]</w:t>
      </w:r>
    </w:p>
    <w:p w:rsidR="008D6CC1" w:rsidRPr="008F3BAA" w:rsidRDefault="008D6CC1" w:rsidP="008D6CC1">
      <w:pPr>
        <w:pStyle w:val="Betarp"/>
        <w:numPr>
          <w:ilvl w:val="0"/>
          <w:numId w:val="19"/>
        </w:numPr>
        <w:spacing w:line="360" w:lineRule="auto"/>
        <w:ind w:left="567" w:hanging="567"/>
      </w:pPr>
      <w:r w:rsidRPr="008F3BAA">
        <w:t xml:space="preserve">Baranauskas E., Laurinavičius K. ir kt. Daiktinė teisė. – Vadovėlis. Vilnius: Mykolo Romerio Universiteto Leidybos centras, </w:t>
      </w:r>
      <w:r w:rsidRPr="008F3BAA">
        <w:rPr>
          <w:lang w:val="es-ES"/>
        </w:rPr>
        <w:t>2010. – 308 p. ISBN 978-9955-19-190-2.</w:t>
      </w:r>
    </w:p>
    <w:p w:rsidR="008D6CC1" w:rsidRPr="008F3BAA" w:rsidRDefault="008D6CC1" w:rsidP="008D6CC1">
      <w:pPr>
        <w:pStyle w:val="Betarp"/>
        <w:numPr>
          <w:ilvl w:val="0"/>
          <w:numId w:val="19"/>
        </w:numPr>
        <w:spacing w:line="360" w:lineRule="auto"/>
        <w:ind w:left="567" w:hanging="567"/>
      </w:pPr>
      <w:r w:rsidRPr="008F3BAA">
        <w:lastRenderedPageBreak/>
        <w:t>Bitinas A., Lietuvos pensijų sistemos modelis ir pensijų garantijų perspektyvos // Jurisprudencija: mokslo darbai. – Vilnius: Mykolo Romerio Universitetas, 2008, Nr. 8(110), p. 18-26. – ISNN 1392-6195.</w:t>
      </w:r>
    </w:p>
    <w:p w:rsidR="008D6CC1" w:rsidRPr="008F3BAA" w:rsidRDefault="008D6CC1" w:rsidP="008D6CC1">
      <w:pPr>
        <w:pStyle w:val="Betarp"/>
        <w:numPr>
          <w:ilvl w:val="0"/>
          <w:numId w:val="19"/>
        </w:numPr>
        <w:spacing w:line="360" w:lineRule="auto"/>
        <w:ind w:left="567" w:hanging="567"/>
      </w:pPr>
      <w:r w:rsidRPr="008F3BAA">
        <w:t>Bielinskienė A., Dabartiniai pensijų kaupimo įstatymų saugikliai ir didesnių pajamų senatvėje užtikrinimo problemos // Jurisprudencija: mokslo darbai. – Vilnius: Lietuvos teisės universitetas, 2004, Nr. 56 (48), p. 30-38. ISSN 1392-6195.</w:t>
      </w:r>
    </w:p>
    <w:p w:rsidR="008D6CC1" w:rsidRPr="008F3BAA" w:rsidRDefault="008D6CC1" w:rsidP="008D6CC1">
      <w:pPr>
        <w:pStyle w:val="Betarp"/>
        <w:numPr>
          <w:ilvl w:val="0"/>
          <w:numId w:val="19"/>
        </w:numPr>
        <w:spacing w:line="360" w:lineRule="auto"/>
        <w:ind w:left="567" w:hanging="567"/>
      </w:pPr>
      <w:r w:rsidRPr="008F3BAA">
        <w:t>Bulotaitė E., Slavickienė A., Finansų rinką įtakojantys privačių pensijų fondų veiksniai // Vadybos mokslas ir studijos – kaimo verslų ir jų infrastruktūros plėtrai: mokslo darbai. – Kaunas: Lietuvos žemės ūkio universitetas, 2009, Nr. 16(1) p. 23-29. -  ISSN 1822-6760.</w:t>
      </w:r>
    </w:p>
    <w:p w:rsidR="008D6CC1" w:rsidRPr="008F3BAA" w:rsidRDefault="008D6CC1" w:rsidP="008D6CC1">
      <w:pPr>
        <w:pStyle w:val="Betarp"/>
        <w:numPr>
          <w:ilvl w:val="0"/>
          <w:numId w:val="19"/>
        </w:numPr>
        <w:spacing w:line="360" w:lineRule="auto"/>
        <w:ind w:left="567" w:hanging="567"/>
      </w:pPr>
      <w:r w:rsidRPr="008F3BAA">
        <w:t>Gylys P.,</w:t>
      </w:r>
      <w:r w:rsidRPr="008F3BAA">
        <w:rPr>
          <w:b/>
          <w:bCs/>
        </w:rPr>
        <w:t xml:space="preserve"> </w:t>
      </w:r>
      <w:r w:rsidRPr="008F3BAA">
        <w:rPr>
          <w:bCs/>
        </w:rPr>
        <w:t xml:space="preserve">Pensijų sistema Lietuvoje: dilemos ir kontroversijos // Viešoji politika ir administravimas. – Vilnius: Lietuvos teisės universitetas, </w:t>
      </w:r>
      <w:r w:rsidRPr="008F3BAA">
        <w:rPr>
          <w:bCs/>
          <w:lang w:val="es-ES"/>
        </w:rPr>
        <w:t>2002. Nr. 2.</w:t>
      </w:r>
    </w:p>
    <w:p w:rsidR="008D6CC1" w:rsidRPr="008F3BAA" w:rsidRDefault="008D6CC1" w:rsidP="008D6CC1">
      <w:pPr>
        <w:pStyle w:val="Betarp"/>
        <w:numPr>
          <w:ilvl w:val="0"/>
          <w:numId w:val="19"/>
        </w:numPr>
        <w:spacing w:line="360" w:lineRule="auto"/>
        <w:ind w:left="567" w:hanging="567"/>
      </w:pPr>
      <w:r w:rsidRPr="008F3BAA">
        <w:rPr>
          <w:bCs/>
        </w:rPr>
        <w:t>Gudaitis T., Pensijų sistemos reformos rezultatų vertinimas (Lietuvos atvejis): daktaro disertacija: socialiniai mokslai, ekonomika (0</w:t>
      </w:r>
      <w:r w:rsidRPr="008F3BAA">
        <w:rPr>
          <w:bCs/>
          <w:lang w:val="es-ES"/>
        </w:rPr>
        <w:t>4 S). Vilnius: Vilniaus Universitetas, 2010. – 144 p.</w:t>
      </w:r>
    </w:p>
    <w:p w:rsidR="008D6CC1" w:rsidRPr="008F3BAA" w:rsidRDefault="00173912" w:rsidP="008D6CC1">
      <w:pPr>
        <w:pStyle w:val="Betarp"/>
        <w:spacing w:line="360" w:lineRule="auto"/>
        <w:ind w:left="567" w:firstLine="0"/>
      </w:pPr>
      <w:hyperlink r:id="rId20" w:history="1">
        <w:r w:rsidR="008D6CC1" w:rsidRPr="008F3BAA">
          <w:rPr>
            <w:rStyle w:val="Hipersaitas"/>
            <w:bCs/>
            <w:color w:val="auto"/>
            <w:u w:val="none"/>
          </w:rPr>
          <w:t>http://vddb.library.lt/fedora/get/LT-eLABa-0001:E.02~2010~D_20100507_093219-29272/DS.005.0.01.ETD</w:t>
        </w:r>
      </w:hyperlink>
      <w:r w:rsidR="008D6CC1" w:rsidRPr="008F3BAA">
        <w:rPr>
          <w:bCs/>
        </w:rPr>
        <w:t xml:space="preserve"> [žiūrėta </w:t>
      </w:r>
      <w:r w:rsidR="008D6CC1" w:rsidRPr="008F3BAA">
        <w:rPr>
          <w:bCs/>
          <w:lang w:val="es-ES"/>
        </w:rPr>
        <w:t>2012 03 15]</w:t>
      </w:r>
    </w:p>
    <w:p w:rsidR="008D6CC1" w:rsidRPr="008F3BAA" w:rsidRDefault="008D6CC1" w:rsidP="008D6CC1">
      <w:pPr>
        <w:pStyle w:val="Betarp"/>
        <w:numPr>
          <w:ilvl w:val="0"/>
          <w:numId w:val="19"/>
        </w:numPr>
        <w:spacing w:line="360" w:lineRule="auto"/>
        <w:ind w:left="567" w:hanging="567"/>
      </w:pPr>
      <w:r w:rsidRPr="008F3BAA">
        <w:t>Gudaitis T., Senatvės pensijų sistemos modelių teorinė analizė // Organizacijų vadyba: sisteminiai tyrimai. Vilnius: Vilniaus Universitetas, 2009, Nr. 50. – ISSN 1392-1142.</w:t>
      </w:r>
    </w:p>
    <w:p w:rsidR="008D6CC1" w:rsidRPr="008F3BAA" w:rsidRDefault="008D6CC1" w:rsidP="008D6CC1">
      <w:pPr>
        <w:pStyle w:val="Betarp"/>
        <w:numPr>
          <w:ilvl w:val="0"/>
          <w:numId w:val="19"/>
        </w:numPr>
        <w:spacing w:line="360" w:lineRule="auto"/>
        <w:ind w:left="567" w:hanging="567"/>
      </w:pPr>
      <w:r w:rsidRPr="008F3BAA">
        <w:t xml:space="preserve">Jurevičienė D., Samoškaitė Š., II pakopos pensijų fondų investicijų grąžos, atsižvelgiant į riziką, vertinimas. // Verslas: teorija ir praktika, 2012, Nr.13 (4). p. 304 </w:t>
      </w:r>
      <w:r w:rsidR="009544CE">
        <w:t xml:space="preserve">– 313. – ISNN 1648-0627. </w:t>
      </w:r>
      <w:r w:rsidRPr="008F3BAA">
        <w:t xml:space="preserve"> </w:t>
      </w:r>
    </w:p>
    <w:p w:rsidR="008D6CC1" w:rsidRPr="008F3BAA" w:rsidRDefault="008D6CC1" w:rsidP="008D6CC1">
      <w:pPr>
        <w:pStyle w:val="Betarp"/>
        <w:numPr>
          <w:ilvl w:val="0"/>
          <w:numId w:val="19"/>
        </w:numPr>
        <w:spacing w:line="360" w:lineRule="auto"/>
        <w:ind w:left="567" w:hanging="567"/>
      </w:pPr>
      <w:r w:rsidRPr="008F3BAA">
        <w:t xml:space="preserve">Katkus V., Martinaitytė E., Pensijų reforma: pensijų fondų sistemos Lietuvoje kūrimo problemos, III ataskaitos dalis.// Atviros Lietuvos fondas, Viešosios politikos projektai. Vilnius, 2002. </w:t>
      </w:r>
      <w:hyperlink r:id="rId21" w:history="1">
        <w:r w:rsidRPr="008F3BAA">
          <w:rPr>
            <w:rStyle w:val="Hipersaitas"/>
            <w:color w:val="auto"/>
            <w:u w:val="none"/>
          </w:rPr>
          <w:t>http://politika.osf.lt/eurointegracija/santraukos/dalyvavimaspensijureformoje.htm</w:t>
        </w:r>
      </w:hyperlink>
      <w:r w:rsidRPr="008F3BAA">
        <w:t xml:space="preserve"> [žiūrėta </w:t>
      </w:r>
      <w:r w:rsidRPr="008F3BAA">
        <w:rPr>
          <w:lang w:val="es-ES"/>
        </w:rPr>
        <w:t>2012 04 15]</w:t>
      </w:r>
    </w:p>
    <w:p w:rsidR="008D6CC1" w:rsidRPr="008F3BAA" w:rsidRDefault="008D6CC1" w:rsidP="008D6CC1">
      <w:pPr>
        <w:pStyle w:val="Betarp"/>
        <w:numPr>
          <w:ilvl w:val="0"/>
          <w:numId w:val="19"/>
        </w:numPr>
        <w:spacing w:line="360" w:lineRule="auto"/>
        <w:ind w:left="567" w:hanging="567"/>
      </w:pPr>
      <w:r w:rsidRPr="008F3BAA">
        <w:t>Lakštutienė A., Pensijų fondų formavimo problemos // Ekonomika ir vadyba – 99: aktualijos ir metodologija: tarptautinės konferencijos pranešimų medžiaga (1999 balandžio 22-23 d.). - Kaunas: Technologija, 1999.</w:t>
      </w:r>
    </w:p>
    <w:p w:rsidR="008D6CC1" w:rsidRPr="008F3BAA" w:rsidRDefault="008D6CC1" w:rsidP="008D6CC1">
      <w:pPr>
        <w:pStyle w:val="Betarp"/>
        <w:numPr>
          <w:ilvl w:val="0"/>
          <w:numId w:val="19"/>
        </w:numPr>
        <w:spacing w:line="360" w:lineRule="auto"/>
        <w:ind w:left="567" w:hanging="567"/>
      </w:pPr>
      <w:r w:rsidRPr="008F3BAA">
        <w:t xml:space="preserve">Lazutka R., Pensijų ekonomikos principų taikymas ir Lietuvos pensijų reformos numatomos pasekmės, I ataskaitos dalis. // Atviros Lietuvos fondas, Viešosios politikos projektai. Vilnius, 2002. </w:t>
      </w:r>
      <w:hyperlink r:id="rId22" w:history="1">
        <w:r w:rsidRPr="008F3BAA">
          <w:rPr>
            <w:rStyle w:val="Hipersaitas"/>
            <w:color w:val="auto"/>
            <w:u w:val="none"/>
          </w:rPr>
          <w:t>http://politika.osf.lt/eurointegracija/santraukos/dalyvavimaspensijureformoje.htm</w:t>
        </w:r>
      </w:hyperlink>
      <w:r w:rsidRPr="008F3BAA">
        <w:t xml:space="preserve"> [žiūrėta 2013 02 26]</w:t>
      </w:r>
    </w:p>
    <w:p w:rsidR="008D6CC1" w:rsidRPr="008F3BAA" w:rsidRDefault="008D6CC1" w:rsidP="008D6CC1">
      <w:pPr>
        <w:pStyle w:val="Betarp"/>
        <w:numPr>
          <w:ilvl w:val="0"/>
          <w:numId w:val="19"/>
        </w:numPr>
        <w:spacing w:line="360" w:lineRule="auto"/>
        <w:ind w:left="567" w:hanging="567"/>
      </w:pPr>
      <w:r w:rsidRPr="008F3BAA">
        <w:t xml:space="preserve">Levišauskaitė K., Ruškys G., Valstybės finansai: vadovėlis. Kaunas: Vytauto Didžiojo universiteto leidykla, 2003. – 179 p. </w:t>
      </w:r>
      <w:r w:rsidRPr="008F3BAA">
        <w:rPr>
          <w:lang w:val="es-ES"/>
        </w:rPr>
        <w:t>– ISBN 9955-530-91-X.</w:t>
      </w:r>
    </w:p>
    <w:p w:rsidR="008D6CC1" w:rsidRPr="008F3BAA" w:rsidRDefault="008D6CC1" w:rsidP="008D6CC1">
      <w:pPr>
        <w:pStyle w:val="Betarp"/>
        <w:numPr>
          <w:ilvl w:val="0"/>
          <w:numId w:val="19"/>
        </w:numPr>
        <w:spacing w:line="360" w:lineRule="auto"/>
        <w:ind w:left="567" w:hanging="567"/>
      </w:pPr>
      <w:r w:rsidRPr="008F3BAA">
        <w:t xml:space="preserve">Liutvinavičius M., Sakalauskas V.,  Veiksnių, turinčių įtakos kaupimo privačiuose pensijų fonduose efektyvumui tyrimas // Socialinės technologijos. – Vilnius: Vilniaus Universitetas, 2011, Nr. 1(2), p. 328–343. - ISSN 2029-7564. – URL: </w:t>
      </w:r>
    </w:p>
    <w:p w:rsidR="008D6CC1" w:rsidRPr="008F3BAA" w:rsidRDefault="00173912" w:rsidP="008D6CC1">
      <w:pPr>
        <w:pStyle w:val="Betarp"/>
        <w:spacing w:line="360" w:lineRule="auto"/>
        <w:ind w:left="567" w:firstLine="0"/>
        <w:rPr>
          <w:lang w:val="es-ES"/>
        </w:rPr>
      </w:pPr>
      <w:hyperlink r:id="rId23" w:history="1">
        <w:r w:rsidR="008D6CC1" w:rsidRPr="008F3BAA">
          <w:rPr>
            <w:rStyle w:val="Hipersaitas"/>
            <w:color w:val="auto"/>
            <w:u w:val="none"/>
          </w:rPr>
          <w:t>http://www.mruni.eu/lt/mokslo_darbai/st/archyvas/dwn.php?id=307479</w:t>
        </w:r>
      </w:hyperlink>
      <w:r w:rsidR="008D6CC1" w:rsidRPr="008F3BAA">
        <w:t xml:space="preserve"> [žiūrėta </w:t>
      </w:r>
      <w:r w:rsidR="008D6CC1" w:rsidRPr="008F3BAA">
        <w:rPr>
          <w:lang w:val="es-ES"/>
        </w:rPr>
        <w:t>2012 04 15]</w:t>
      </w:r>
    </w:p>
    <w:p w:rsidR="008D6CC1" w:rsidRPr="008F3BAA" w:rsidRDefault="008D6CC1" w:rsidP="00490651">
      <w:pPr>
        <w:pStyle w:val="Sraopastraipa"/>
        <w:numPr>
          <w:ilvl w:val="0"/>
          <w:numId w:val="19"/>
        </w:numPr>
        <w:autoSpaceDE w:val="0"/>
        <w:autoSpaceDN w:val="0"/>
        <w:adjustRightInd w:val="0"/>
        <w:spacing w:line="360" w:lineRule="auto"/>
        <w:ind w:left="567" w:hanging="567"/>
      </w:pPr>
      <w:r w:rsidRPr="008F3BAA">
        <w:rPr>
          <w:lang w:eastAsia="lt-LT"/>
        </w:rPr>
        <w:t xml:space="preserve">Mikelėnas V., Civilinė teisė. Bendroji dalis. - Vadovėlis. Vilnius: Justitia, 2009., </w:t>
      </w:r>
      <w:r w:rsidR="009544CE">
        <w:rPr>
          <w:lang w:eastAsia="lt-LT"/>
        </w:rPr>
        <w:t>83-149 p</w:t>
      </w:r>
      <w:r w:rsidRPr="008F3BAA">
        <w:rPr>
          <w:lang w:eastAsia="lt-LT"/>
        </w:rPr>
        <w:t>. ISBN 978-9955-616-40-5.</w:t>
      </w:r>
    </w:p>
    <w:p w:rsidR="008D6CC1" w:rsidRPr="008F3BAA" w:rsidRDefault="008D6CC1" w:rsidP="00490651">
      <w:pPr>
        <w:pStyle w:val="Betarp"/>
        <w:numPr>
          <w:ilvl w:val="0"/>
          <w:numId w:val="19"/>
        </w:numPr>
        <w:tabs>
          <w:tab w:val="left" w:pos="567"/>
        </w:tabs>
        <w:spacing w:line="360" w:lineRule="auto"/>
        <w:ind w:left="0" w:firstLine="0"/>
      </w:pPr>
      <w:r w:rsidRPr="008F3BAA">
        <w:rPr>
          <w:lang w:val="en-US"/>
        </w:rPr>
        <w:t>Muralidhar A., Innovations in Pension Fund Management, 2001.</w:t>
      </w:r>
    </w:p>
    <w:p w:rsidR="008D6CC1" w:rsidRPr="008F3BAA" w:rsidRDefault="00173912" w:rsidP="00490651">
      <w:pPr>
        <w:pStyle w:val="Betarp"/>
        <w:spacing w:line="360" w:lineRule="auto"/>
        <w:ind w:left="567" w:firstLine="0"/>
        <w:rPr>
          <w:lang w:val="es-ES"/>
        </w:rPr>
      </w:pPr>
      <w:hyperlink r:id="rId24" w:history="1">
        <w:r w:rsidR="008D6CC1" w:rsidRPr="008F3BAA">
          <w:rPr>
            <w:rStyle w:val="Hipersaitas"/>
            <w:color w:val="auto"/>
            <w:u w:val="none"/>
            <w:lang w:val="es-ES"/>
          </w:rPr>
          <w:t>http://www.sup.org/html/book_pages/0804745218/Chapter_1.pdf</w:t>
        </w:r>
      </w:hyperlink>
      <w:r w:rsidR="008D6CC1" w:rsidRPr="008F3BAA">
        <w:rPr>
          <w:lang w:val="es-ES"/>
        </w:rPr>
        <w:t xml:space="preserve"> [</w:t>
      </w:r>
      <w:r w:rsidR="008D6CC1" w:rsidRPr="008F3BAA">
        <w:t xml:space="preserve">žiūrėta </w:t>
      </w:r>
      <w:r w:rsidR="008D6CC1" w:rsidRPr="008F3BAA">
        <w:rPr>
          <w:lang w:val="es-ES"/>
        </w:rPr>
        <w:t>2013 01 31]</w:t>
      </w:r>
    </w:p>
    <w:p w:rsidR="008D6CC1" w:rsidRPr="003807B4" w:rsidRDefault="008D6CC1" w:rsidP="00490651">
      <w:pPr>
        <w:pStyle w:val="Betarp"/>
        <w:numPr>
          <w:ilvl w:val="0"/>
          <w:numId w:val="19"/>
        </w:numPr>
        <w:spacing w:line="360" w:lineRule="auto"/>
        <w:ind w:left="567" w:hanging="567"/>
      </w:pPr>
      <w:r w:rsidRPr="008F3BAA">
        <w:rPr>
          <w:lang w:val="en-US"/>
        </w:rPr>
        <w:t>Nunen A., Fiduciary Management: Blueprint for Pension Fund Excellence. – New Jersey, 2008. – 274 p. - ISBN 978-0-470-17103-5. p. 40-51.</w:t>
      </w:r>
    </w:p>
    <w:p w:rsidR="003807B4" w:rsidRPr="008F3BAA" w:rsidRDefault="003807B4" w:rsidP="00490651">
      <w:pPr>
        <w:pStyle w:val="Betarp"/>
        <w:numPr>
          <w:ilvl w:val="0"/>
          <w:numId w:val="19"/>
        </w:numPr>
        <w:spacing w:line="360" w:lineRule="auto"/>
        <w:ind w:left="567" w:hanging="567"/>
      </w:pPr>
      <w:r>
        <w:t xml:space="preserve">Pakalniškis V., Nuosavybės tesiės doktrina ir Lietuvos Respublikos Civilinis kodeksas. // Jurisprudencija: mokslo darbai. Vilnius: Lietuvos teisės universitetas, </w:t>
      </w:r>
      <w:r w:rsidR="009544CE">
        <w:rPr>
          <w:lang w:val="es-ES"/>
        </w:rPr>
        <w:t>2002, Nr. 28 (20).</w:t>
      </w:r>
    </w:p>
    <w:p w:rsidR="008D6CC1" w:rsidRPr="008F3BAA" w:rsidRDefault="008D6CC1" w:rsidP="008D6CC1">
      <w:pPr>
        <w:pStyle w:val="Betarp"/>
        <w:numPr>
          <w:ilvl w:val="0"/>
          <w:numId w:val="19"/>
        </w:numPr>
        <w:spacing w:line="360" w:lineRule="auto"/>
        <w:ind w:left="567" w:hanging="567"/>
      </w:pPr>
      <w:r w:rsidRPr="008F3BAA">
        <w:rPr>
          <w:iCs/>
        </w:rPr>
        <w:t>Papirtis L.V., ir kt. Civilinė teisė. Bendroji dalis, II tomas</w:t>
      </w:r>
      <w:r w:rsidRPr="008F3BAA">
        <w:t xml:space="preserve">. – Vadovėlis. Vilnius: Mykolo Romerio Universiteto Leidybos centras, 2005.- 250 p. ISBN 9955-19-019-1. </w:t>
      </w:r>
    </w:p>
    <w:p w:rsidR="008D6CC1" w:rsidRPr="008F3BAA" w:rsidRDefault="008D6CC1" w:rsidP="008D6CC1">
      <w:pPr>
        <w:pStyle w:val="Betarp"/>
        <w:numPr>
          <w:ilvl w:val="0"/>
          <w:numId w:val="19"/>
        </w:numPr>
        <w:spacing w:line="360" w:lineRule="auto"/>
        <w:ind w:left="567" w:hanging="567"/>
      </w:pPr>
      <w:r w:rsidRPr="008F3BAA">
        <w:t>Sakavičius J., Turto patikėjimo teisė ir jos ypatumai Lietuvos civilinėje teisėje // Socialinių mokslų studijos. – Vilnius: Mykolo Romerio Universitetas, 2011, Nr. 3(3), p. 1095–1110. – ISNN 2029-2236.</w:t>
      </w:r>
    </w:p>
    <w:p w:rsidR="008D6CC1" w:rsidRPr="008F3BAA" w:rsidRDefault="008D6CC1" w:rsidP="008D6CC1">
      <w:pPr>
        <w:pStyle w:val="Betarp"/>
        <w:numPr>
          <w:ilvl w:val="0"/>
          <w:numId w:val="19"/>
        </w:numPr>
        <w:spacing w:line="360" w:lineRule="auto"/>
        <w:ind w:left="567" w:hanging="567"/>
      </w:pPr>
      <w:r w:rsidRPr="008F3BAA">
        <w:t>Stanislovaitis R., Komercinė teisė. – Vilnius: Eugrimas, 2005. – 283 p. - ISBN 9955-682-11-6.</w:t>
      </w:r>
    </w:p>
    <w:p w:rsidR="008D6CC1" w:rsidRPr="008F3BAA" w:rsidRDefault="008D6CC1" w:rsidP="008D6CC1">
      <w:pPr>
        <w:pStyle w:val="Betarp"/>
        <w:numPr>
          <w:ilvl w:val="0"/>
          <w:numId w:val="19"/>
        </w:numPr>
        <w:spacing w:line="360" w:lineRule="auto"/>
        <w:ind w:left="567" w:hanging="567"/>
      </w:pPr>
      <w:r w:rsidRPr="008F3BAA">
        <w:t xml:space="preserve">Vitkus G., Europos Sąjunga: Enciklopedinis žinynas. – Vilnius: Eugrimas, 2002. – 343 p. - ISBN 9955-501-00-6. </w:t>
      </w:r>
    </w:p>
    <w:p w:rsidR="008D6CC1" w:rsidRPr="008F3BAA" w:rsidRDefault="008D6CC1" w:rsidP="008D6CC1">
      <w:pPr>
        <w:pStyle w:val="Betarp"/>
        <w:spacing w:line="360" w:lineRule="auto"/>
        <w:ind w:left="567" w:firstLine="0"/>
      </w:pPr>
    </w:p>
    <w:p w:rsidR="00445C7E" w:rsidRPr="008F3BAA" w:rsidRDefault="00445C7E" w:rsidP="0096321C">
      <w:pPr>
        <w:pStyle w:val="Betarp"/>
        <w:spacing w:line="360" w:lineRule="auto"/>
        <w:ind w:firstLine="0"/>
        <w:rPr>
          <w:b/>
        </w:rPr>
      </w:pPr>
      <w:r w:rsidRPr="008F3BAA">
        <w:rPr>
          <w:b/>
        </w:rPr>
        <w:t>V Kiti šaltiniai:</w:t>
      </w:r>
    </w:p>
    <w:p w:rsidR="008D6CC1" w:rsidRPr="008F3BAA" w:rsidRDefault="008D6CC1" w:rsidP="008D6CC1">
      <w:pPr>
        <w:pStyle w:val="Betarp"/>
        <w:numPr>
          <w:ilvl w:val="0"/>
          <w:numId w:val="19"/>
        </w:numPr>
        <w:spacing w:line="360" w:lineRule="auto"/>
        <w:ind w:left="567" w:hanging="567"/>
      </w:pPr>
      <w:r w:rsidRPr="008F3BAA">
        <w:t xml:space="preserve">Aiškinamasis raštas dėl Lietuvos Respublikos Pensijų kaupimo įstatymo pakeitimo įstatymo projekto. - 2012  02 03, Nr. </w:t>
      </w:r>
      <w:r w:rsidRPr="008F3BAA">
        <w:rPr>
          <w:bCs/>
        </w:rPr>
        <w:t>10-2742-09</w:t>
      </w:r>
    </w:p>
    <w:p w:rsidR="008D6CC1" w:rsidRPr="008F3BAA" w:rsidRDefault="00173912" w:rsidP="008D6CC1">
      <w:pPr>
        <w:pStyle w:val="Betarp"/>
        <w:spacing w:line="360" w:lineRule="auto"/>
        <w:ind w:left="567" w:firstLine="0"/>
      </w:pPr>
      <w:hyperlink r:id="rId25" w:history="1">
        <w:r w:rsidR="008D6CC1" w:rsidRPr="008F3BAA">
          <w:rPr>
            <w:rStyle w:val="Hipersaitas"/>
            <w:color w:val="auto"/>
            <w:u w:val="none"/>
          </w:rPr>
          <w:t>http://www.lrs.lt/pls/proj/dokpaieska.showdoc_l?p_id=126224&amp;p_org=231&amp;p_fix=y&amp;p_gov=n</w:t>
        </w:r>
      </w:hyperlink>
      <w:r w:rsidR="008D6CC1" w:rsidRPr="008F3BAA">
        <w:t xml:space="preserve">   [žiūrėta </w:t>
      </w:r>
      <w:r w:rsidR="008D6CC1" w:rsidRPr="008F3BAA">
        <w:rPr>
          <w:rStyle w:val="ddat"/>
        </w:rPr>
        <w:t>2012 03 26]</w:t>
      </w:r>
    </w:p>
    <w:p w:rsidR="00F8017A" w:rsidRPr="008F3BAA" w:rsidRDefault="00F8017A" w:rsidP="00F8017A">
      <w:pPr>
        <w:pStyle w:val="Betarp"/>
        <w:numPr>
          <w:ilvl w:val="0"/>
          <w:numId w:val="19"/>
        </w:numPr>
        <w:spacing w:line="360" w:lineRule="auto"/>
        <w:ind w:left="567" w:hanging="567"/>
        <w:rPr>
          <w:b/>
        </w:rPr>
      </w:pPr>
      <w:r w:rsidRPr="008F3BAA">
        <w:t xml:space="preserve">Alternatyvūs pensijų reformos modeliai. – </w:t>
      </w:r>
      <w:r w:rsidRPr="008F3BAA">
        <w:rPr>
          <w:lang w:val="es-ES"/>
        </w:rPr>
        <w:t>2001.</w:t>
      </w:r>
    </w:p>
    <w:p w:rsidR="00F8017A" w:rsidRPr="008F3BAA" w:rsidRDefault="00173912" w:rsidP="00F8017A">
      <w:pPr>
        <w:pStyle w:val="Betarp"/>
        <w:spacing w:line="360" w:lineRule="auto"/>
        <w:ind w:left="567" w:firstLine="0"/>
        <w:rPr>
          <w:lang w:val="es-ES"/>
        </w:rPr>
      </w:pPr>
      <w:hyperlink r:id="rId26" w:history="1">
        <w:r w:rsidR="00F8017A" w:rsidRPr="008F3BAA">
          <w:rPr>
            <w:rStyle w:val="Hipersaitas"/>
            <w:color w:val="auto"/>
            <w:u w:val="none"/>
          </w:rPr>
          <w:t>http://ukiuva.wordpress.com/2001/10/12/alternatyvus-pensiju-reformos-modeliai/</w:t>
        </w:r>
      </w:hyperlink>
      <w:r w:rsidR="00F8017A" w:rsidRPr="008F3BAA">
        <w:t xml:space="preserve"> [žiūrėta </w:t>
      </w:r>
      <w:r w:rsidR="00F8017A" w:rsidRPr="008F3BAA">
        <w:rPr>
          <w:lang w:val="es-ES"/>
        </w:rPr>
        <w:t>2013 02 26]</w:t>
      </w:r>
    </w:p>
    <w:p w:rsidR="00911567" w:rsidRPr="008F3BAA" w:rsidRDefault="00911567" w:rsidP="00911567">
      <w:pPr>
        <w:pStyle w:val="Betarp"/>
        <w:numPr>
          <w:ilvl w:val="0"/>
          <w:numId w:val="19"/>
        </w:numPr>
        <w:spacing w:line="360" w:lineRule="auto"/>
        <w:ind w:left="567" w:hanging="567"/>
        <w:rPr>
          <w:lang w:val="en-US"/>
        </w:rPr>
      </w:pPr>
      <w:r w:rsidRPr="008F3BAA">
        <w:t>Antolin P.</w:t>
      </w:r>
      <w:r w:rsidR="00726B10" w:rsidRPr="008F3BAA">
        <w:t>,</w:t>
      </w:r>
      <w:r w:rsidRPr="008F3BAA">
        <w:t xml:space="preserve"> </w:t>
      </w:r>
      <w:r w:rsidRPr="008F3BAA">
        <w:rPr>
          <w:lang w:val="en-US"/>
        </w:rPr>
        <w:t>Pension Fund Performance, OECD Working Papers on Insurance and Private Pensions, No. 20. OECD publishing,</w:t>
      </w:r>
      <w:r w:rsidRPr="008F3BAA">
        <w:t xml:space="preserve"> 2008.</w:t>
      </w:r>
    </w:p>
    <w:p w:rsidR="00911567" w:rsidRPr="008F3BAA" w:rsidRDefault="00173912" w:rsidP="00911567">
      <w:pPr>
        <w:pStyle w:val="Betarp"/>
        <w:spacing w:line="360" w:lineRule="auto"/>
        <w:ind w:left="567" w:firstLine="0"/>
        <w:rPr>
          <w:lang w:val="es-ES"/>
        </w:rPr>
      </w:pPr>
      <w:hyperlink r:id="rId27" w:history="1">
        <w:r w:rsidR="00911567" w:rsidRPr="008F3BAA">
          <w:rPr>
            <w:rStyle w:val="Hipersaitas"/>
            <w:color w:val="auto"/>
            <w:u w:val="none"/>
          </w:rPr>
          <w:t>http://www.oecd.org/finance/private-pensions/41218144.pdf</w:t>
        </w:r>
      </w:hyperlink>
      <w:r w:rsidR="00911567" w:rsidRPr="008F3BAA">
        <w:t xml:space="preserve"> </w:t>
      </w:r>
      <w:r w:rsidR="00911567" w:rsidRPr="008F3BAA">
        <w:rPr>
          <w:lang w:val="es-ES"/>
        </w:rPr>
        <w:t>[</w:t>
      </w:r>
      <w:r w:rsidR="00911567" w:rsidRPr="008F3BAA">
        <w:t>ž</w:t>
      </w:r>
      <w:r w:rsidR="00911567" w:rsidRPr="008F3BAA">
        <w:rPr>
          <w:lang w:val="es-ES"/>
        </w:rPr>
        <w:t>i</w:t>
      </w:r>
      <w:r w:rsidR="00911567" w:rsidRPr="008F3BAA">
        <w:t xml:space="preserve">ūrėta </w:t>
      </w:r>
      <w:r w:rsidR="00911567" w:rsidRPr="008F3BAA">
        <w:rPr>
          <w:lang w:val="es-ES"/>
        </w:rPr>
        <w:t>2013 01 15]</w:t>
      </w:r>
    </w:p>
    <w:p w:rsidR="00F8017A" w:rsidRPr="008F3BAA" w:rsidRDefault="00F8017A" w:rsidP="00F8017A">
      <w:pPr>
        <w:pStyle w:val="Betarp"/>
        <w:numPr>
          <w:ilvl w:val="0"/>
          <w:numId w:val="19"/>
        </w:numPr>
        <w:spacing w:line="360" w:lineRule="auto"/>
        <w:ind w:left="567" w:hanging="567"/>
      </w:pPr>
      <w:r w:rsidRPr="008F3BAA">
        <w:t>Aušiūraitytė V.</w:t>
      </w:r>
      <w:r w:rsidR="00726B10" w:rsidRPr="008F3BAA">
        <w:t>,</w:t>
      </w:r>
      <w:r w:rsidRPr="008F3BAA">
        <w:t xml:space="preserve"> Lietuvos privačių pensijų fondų analizė</w:t>
      </w:r>
    </w:p>
    <w:p w:rsidR="00F8017A" w:rsidRPr="008F3BAA" w:rsidRDefault="00173912" w:rsidP="00F8017A">
      <w:pPr>
        <w:pStyle w:val="Betarp"/>
        <w:spacing w:line="360" w:lineRule="auto"/>
        <w:ind w:left="567" w:firstLine="0"/>
      </w:pPr>
      <w:hyperlink r:id="rId28" w:history="1">
        <w:r w:rsidR="00F8017A" w:rsidRPr="008F3BAA">
          <w:rPr>
            <w:rStyle w:val="Hipersaitas"/>
            <w:color w:val="auto"/>
            <w:u w:val="none"/>
          </w:rPr>
          <w:t>http://jaunasis-mokslininkas.asu.lt/smk_2007/finansai/Ausiuraityte_Vaida.pdf</w:t>
        </w:r>
      </w:hyperlink>
      <w:r w:rsidR="00F8017A" w:rsidRPr="008F3BAA">
        <w:t xml:space="preserve"> [žiūrėta 2012 03 15]</w:t>
      </w:r>
    </w:p>
    <w:p w:rsidR="00B2774D" w:rsidRPr="008F3BAA" w:rsidRDefault="00B2774D" w:rsidP="00B2774D">
      <w:pPr>
        <w:pStyle w:val="Betarp"/>
        <w:numPr>
          <w:ilvl w:val="0"/>
          <w:numId w:val="19"/>
        </w:numPr>
        <w:spacing w:line="360" w:lineRule="auto"/>
        <w:ind w:left="567" w:hanging="567"/>
      </w:pPr>
      <w:r w:rsidRPr="008F3BAA">
        <w:t>Europos Komisija. Baltoji knyga: Adekvačių, saugių ir tvarių pensijų darbotvarkė, Briuselis, 2012 02 16, COM (2012) 55 galutinis.</w:t>
      </w:r>
    </w:p>
    <w:p w:rsidR="00B2774D" w:rsidRPr="008F3BAA" w:rsidRDefault="00173912" w:rsidP="00B2774D">
      <w:pPr>
        <w:pStyle w:val="Betarp"/>
        <w:spacing w:line="360" w:lineRule="auto"/>
        <w:ind w:left="567" w:firstLine="0"/>
      </w:pPr>
      <w:hyperlink r:id="rId29" w:history="1">
        <w:r w:rsidR="00B2774D" w:rsidRPr="008F3BAA">
          <w:rPr>
            <w:rStyle w:val="Hipersaitas"/>
            <w:color w:val="auto"/>
            <w:u w:val="none"/>
          </w:rPr>
          <w:t>http://ec.europa.eu/social/BlobServlet?docId=7341&amp;langId=lt</w:t>
        </w:r>
      </w:hyperlink>
      <w:r w:rsidR="00B2774D" w:rsidRPr="008F3BAA">
        <w:t xml:space="preserve"> [žiūrėta 2013 03 21]</w:t>
      </w:r>
    </w:p>
    <w:p w:rsidR="00B2774D" w:rsidRPr="008F3BAA" w:rsidRDefault="00B2774D" w:rsidP="00B2774D">
      <w:pPr>
        <w:pStyle w:val="Betarp"/>
        <w:numPr>
          <w:ilvl w:val="0"/>
          <w:numId w:val="19"/>
        </w:numPr>
        <w:spacing w:line="360" w:lineRule="auto"/>
        <w:ind w:left="567" w:hanging="567"/>
      </w:pPr>
      <w:r w:rsidRPr="008F3BAA">
        <w:lastRenderedPageBreak/>
        <w:t xml:space="preserve">Europos Komisija. Žalioji knyga: Adekvačios, tvarios ir saugios Europos pensijų sistemos, Briuselis, 2010 07 07, KOM (2010) 365 galutinis. </w:t>
      </w:r>
      <w:hyperlink r:id="rId30" w:history="1">
        <w:r w:rsidRPr="008F3BAA">
          <w:rPr>
            <w:rStyle w:val="Hipersaitas"/>
            <w:color w:val="auto"/>
            <w:u w:val="none"/>
          </w:rPr>
          <w:t>http://www.ldf.lt/get.php?f.3211</w:t>
        </w:r>
      </w:hyperlink>
      <w:r w:rsidRPr="008F3BAA">
        <w:t xml:space="preserve"> [žiūrėta 2013 03 21]</w:t>
      </w:r>
    </w:p>
    <w:p w:rsidR="005A5C95" w:rsidRPr="008F3BAA" w:rsidRDefault="005A5C95" w:rsidP="005A5C95">
      <w:pPr>
        <w:pStyle w:val="Betarp"/>
        <w:numPr>
          <w:ilvl w:val="0"/>
          <w:numId w:val="19"/>
        </w:numPr>
        <w:spacing w:line="360" w:lineRule="auto"/>
        <w:ind w:left="567" w:hanging="567"/>
      </w:pPr>
      <w:r w:rsidRPr="008F3BAA">
        <w:t>Europos Komisijos Užimtumo, socialinių reikalų ir lygių galimybių generalinis direktoratas. Privačių pensijų programos - jų įtaka tinkamoms ir tvarioms pensijoms. – Liuksemburgas: Europos Sąjungos leidinių biuras, 2009. ISBN 978-92-79-15191-0.</w:t>
      </w:r>
    </w:p>
    <w:p w:rsidR="005A5C95" w:rsidRPr="008F3BAA" w:rsidRDefault="00173912" w:rsidP="005A5C95">
      <w:pPr>
        <w:pStyle w:val="Betarp"/>
        <w:spacing w:line="360" w:lineRule="auto"/>
        <w:ind w:left="567" w:firstLine="0"/>
        <w:rPr>
          <w:lang w:val="es-ES"/>
        </w:rPr>
      </w:pPr>
      <w:hyperlink r:id="rId31" w:history="1">
        <w:r w:rsidR="005A5C95" w:rsidRPr="008F3BAA">
          <w:rPr>
            <w:rStyle w:val="Hipersaitas"/>
            <w:color w:val="auto"/>
            <w:u w:val="none"/>
          </w:rPr>
          <w:t>http://ec.europa.eu/social/main.jsp?catId=738&amp;langId=lt&amp;pubId=494&amp;type=2&amp;furtherPubs=yes</w:t>
        </w:r>
      </w:hyperlink>
      <w:r w:rsidR="005A5C95" w:rsidRPr="008F3BAA">
        <w:t xml:space="preserve"> [žiūrėta 2013 01 15].</w:t>
      </w:r>
    </w:p>
    <w:p w:rsidR="00F8017A" w:rsidRPr="008F3BAA" w:rsidRDefault="00F8017A" w:rsidP="00F8017A">
      <w:pPr>
        <w:pStyle w:val="Betarp"/>
        <w:numPr>
          <w:ilvl w:val="0"/>
          <w:numId w:val="19"/>
        </w:numPr>
        <w:spacing w:line="360" w:lineRule="auto"/>
        <w:ind w:left="567" w:hanging="567"/>
        <w:rPr>
          <w:lang w:val="en-US"/>
        </w:rPr>
      </w:pPr>
      <w:r w:rsidRPr="008F3BAA">
        <w:rPr>
          <w:lang w:val="en-US"/>
        </w:rPr>
        <w:t>European Parliament, Directorate General for Internal Policies. Pension systems in the EU – contingent liabilities and assets in the public and private sector.</w:t>
      </w:r>
    </w:p>
    <w:p w:rsidR="00F8017A" w:rsidRPr="008F3BAA" w:rsidRDefault="00173912" w:rsidP="00F8017A">
      <w:pPr>
        <w:pStyle w:val="Betarp"/>
        <w:spacing w:line="360" w:lineRule="auto"/>
        <w:ind w:left="567" w:firstLine="0"/>
        <w:rPr>
          <w:lang w:val="es-ES"/>
        </w:rPr>
      </w:pPr>
      <w:hyperlink r:id="rId32" w:history="1">
        <w:r w:rsidR="00F8017A" w:rsidRPr="008F3BAA">
          <w:rPr>
            <w:rStyle w:val="Hipersaitas"/>
            <w:color w:val="auto"/>
            <w:u w:val="none"/>
            <w:lang w:val="es-ES"/>
          </w:rPr>
          <w:t>http://www.europarl.europa.eu/document/activities/cont/201111/20111121ATT32055/20111121ATT32055EN.pdf</w:t>
        </w:r>
      </w:hyperlink>
      <w:r w:rsidR="00F8017A" w:rsidRPr="008F3BAA">
        <w:rPr>
          <w:lang w:val="es-ES"/>
        </w:rPr>
        <w:t xml:space="preserve"> [</w:t>
      </w:r>
      <w:r w:rsidR="00F8017A" w:rsidRPr="008F3BAA">
        <w:t xml:space="preserve">žiūrėta </w:t>
      </w:r>
      <w:r w:rsidR="00F8017A" w:rsidRPr="008F3BAA">
        <w:rPr>
          <w:lang w:val="es-ES"/>
        </w:rPr>
        <w:t>2013 02 26]</w:t>
      </w:r>
      <w:r w:rsidR="00060CBC" w:rsidRPr="008F3BAA">
        <w:rPr>
          <w:lang w:val="es-ES"/>
        </w:rPr>
        <w:t>.</w:t>
      </w:r>
      <w:r w:rsidR="00F8017A" w:rsidRPr="008F3BAA">
        <w:t xml:space="preserve"> </w:t>
      </w:r>
    </w:p>
    <w:p w:rsidR="00F8017A" w:rsidRPr="008F3BAA" w:rsidRDefault="00F8017A" w:rsidP="00F8017A">
      <w:pPr>
        <w:pStyle w:val="Betarp"/>
        <w:numPr>
          <w:ilvl w:val="0"/>
          <w:numId w:val="19"/>
        </w:numPr>
        <w:spacing w:line="360" w:lineRule="auto"/>
        <w:ind w:left="567" w:hanging="567"/>
      </w:pPr>
      <w:r w:rsidRPr="008F3BAA">
        <w:t xml:space="preserve">Finansų analitikų asociacija, Konservatyviųjų pensijų fondų rezultatų vertinimas. –Vilnius, 2007. </w:t>
      </w:r>
      <w:hyperlink r:id="rId33" w:history="1">
        <w:r w:rsidRPr="008F3BAA">
          <w:rPr>
            <w:rStyle w:val="Hipersaitas"/>
            <w:color w:val="auto"/>
            <w:u w:val="none"/>
          </w:rPr>
          <w:t>http://www.finansai.lt/component/option,com_docman/task,doc_view/gid,78/</w:t>
        </w:r>
      </w:hyperlink>
      <w:r w:rsidRPr="008F3BAA">
        <w:t xml:space="preserve"> [žiūrėta 2012 03 15].</w:t>
      </w:r>
    </w:p>
    <w:p w:rsidR="00F8017A" w:rsidRPr="008F3BAA" w:rsidRDefault="00F8017A" w:rsidP="00F8017A">
      <w:pPr>
        <w:pStyle w:val="Betarp"/>
        <w:numPr>
          <w:ilvl w:val="0"/>
          <w:numId w:val="19"/>
        </w:numPr>
        <w:spacing w:line="360" w:lineRule="auto"/>
        <w:ind w:left="567" w:hanging="567"/>
      </w:pPr>
      <w:r w:rsidRPr="008F3BAA">
        <w:t>Galer R., “</w:t>
      </w:r>
      <w:r w:rsidRPr="008F3BAA">
        <w:rPr>
          <w:lang w:val="en-US"/>
        </w:rPr>
        <w:t>Prudent person rule” standard for the investment of pension fund assets</w:t>
      </w:r>
      <w:r w:rsidRPr="008F3BAA">
        <w:t xml:space="preserve">, OECD, 2002. </w:t>
      </w:r>
      <w:hyperlink r:id="rId34" w:history="1">
        <w:r w:rsidRPr="008F3BAA">
          <w:rPr>
            <w:rStyle w:val="Hipersaitas"/>
            <w:color w:val="auto"/>
            <w:u w:val="none"/>
          </w:rPr>
          <w:t>http://www.oecd.org/finance/privatepensions/2488700.pdf</w:t>
        </w:r>
      </w:hyperlink>
      <w:r w:rsidRPr="008F3BAA">
        <w:t xml:space="preserve">  [žiūrėta 2013 02 09]</w:t>
      </w:r>
      <w:r w:rsidR="00060CBC" w:rsidRPr="008F3BAA">
        <w:t>.</w:t>
      </w:r>
    </w:p>
    <w:p w:rsidR="00F8017A" w:rsidRPr="008F3BAA" w:rsidRDefault="00F8017A" w:rsidP="00F8017A">
      <w:pPr>
        <w:pStyle w:val="Betarp"/>
        <w:numPr>
          <w:ilvl w:val="0"/>
          <w:numId w:val="19"/>
        </w:numPr>
        <w:spacing w:line="360" w:lineRule="auto"/>
        <w:ind w:left="567" w:hanging="567"/>
        <w:rPr>
          <w:rStyle w:val="Emfaz"/>
          <w:i w:val="0"/>
          <w:iCs w:val="0"/>
        </w:rPr>
      </w:pPr>
      <w:r w:rsidRPr="008F3BAA">
        <w:rPr>
          <w:rStyle w:val="Emfaz"/>
          <w:i w:val="0"/>
        </w:rPr>
        <w:t xml:space="preserve">Investicijų išskirstymo arba rizikos padalijimo (diversifikavimo) taisyklė. </w:t>
      </w:r>
    </w:p>
    <w:p w:rsidR="00F8017A" w:rsidRPr="008F3BAA" w:rsidRDefault="00173912" w:rsidP="00F8017A">
      <w:pPr>
        <w:pStyle w:val="Betarp"/>
        <w:spacing w:line="360" w:lineRule="auto"/>
        <w:ind w:left="567" w:firstLine="0"/>
      </w:pPr>
      <w:hyperlink r:id="rId35" w:history="1">
        <w:r w:rsidR="00F8017A" w:rsidRPr="008F3BAA">
          <w:rPr>
            <w:rStyle w:val="Hipersaitas"/>
            <w:color w:val="auto"/>
            <w:u w:val="none"/>
          </w:rPr>
          <w:t>http://www.pensijusistema.lt/index.php?-1913099046</w:t>
        </w:r>
      </w:hyperlink>
      <w:r w:rsidR="00F8017A" w:rsidRPr="008F3BAA">
        <w:rPr>
          <w:rStyle w:val="Emfaz"/>
          <w:i w:val="0"/>
        </w:rPr>
        <w:t xml:space="preserve"> [žiūrėta 2012 02 26].</w:t>
      </w:r>
    </w:p>
    <w:p w:rsidR="00F8017A" w:rsidRPr="008F3BAA" w:rsidRDefault="00F8017A" w:rsidP="00F8017A">
      <w:pPr>
        <w:pStyle w:val="Betarp"/>
        <w:numPr>
          <w:ilvl w:val="0"/>
          <w:numId w:val="19"/>
        </w:numPr>
        <w:spacing w:line="360" w:lineRule="auto"/>
        <w:ind w:left="567" w:hanging="567"/>
        <w:rPr>
          <w:lang w:val="es-ES"/>
        </w:rPr>
      </w:pPr>
      <w:r w:rsidRPr="008F3BAA">
        <w:rPr>
          <w:lang w:val="en-US"/>
        </w:rPr>
        <w:t xml:space="preserve">Investment Principles for Occupational Retirement Schemes // Supplementary Paper to the Final Report of the Pensions Working Group. </w:t>
      </w:r>
      <w:r w:rsidRPr="008F3BAA">
        <w:rPr>
          <w:lang w:val="es-ES"/>
        </w:rPr>
        <w:t>N. 6., 2005</w:t>
      </w:r>
    </w:p>
    <w:p w:rsidR="00F8017A" w:rsidRPr="008F3BAA" w:rsidRDefault="00173912" w:rsidP="00F8017A">
      <w:pPr>
        <w:pStyle w:val="Betarp"/>
        <w:spacing w:line="360" w:lineRule="auto"/>
        <w:ind w:left="567" w:firstLine="0"/>
        <w:rPr>
          <w:lang w:val="es-ES"/>
        </w:rPr>
      </w:pPr>
      <w:hyperlink r:id="rId36" w:history="1">
        <w:r w:rsidR="00F8017A" w:rsidRPr="008F3BAA">
          <w:rPr>
            <w:rStyle w:val="Hipersaitas"/>
            <w:color w:val="auto"/>
            <w:u w:val="none"/>
            <w:lang w:val="es-ES"/>
          </w:rPr>
          <w:t>https://secure3.gov.mt/socialpolicy/download.aspx?id=1035</w:t>
        </w:r>
      </w:hyperlink>
      <w:r w:rsidR="00F8017A" w:rsidRPr="008F3BAA">
        <w:rPr>
          <w:lang w:val="es-ES"/>
        </w:rPr>
        <w:t xml:space="preserve"> [</w:t>
      </w:r>
      <w:r w:rsidR="00F8017A" w:rsidRPr="008F3BAA">
        <w:t xml:space="preserve">žiūrėta </w:t>
      </w:r>
      <w:r w:rsidR="00F8017A" w:rsidRPr="008F3BAA">
        <w:rPr>
          <w:lang w:val="es-ES"/>
        </w:rPr>
        <w:t>2013 02 09]</w:t>
      </w:r>
      <w:r w:rsidR="00060CBC" w:rsidRPr="008F3BAA">
        <w:rPr>
          <w:lang w:val="es-ES"/>
        </w:rPr>
        <w:t>.</w:t>
      </w:r>
    </w:p>
    <w:p w:rsidR="00F8017A" w:rsidRPr="008F3BAA" w:rsidRDefault="00F8017A" w:rsidP="00F8017A">
      <w:pPr>
        <w:pStyle w:val="Betarp"/>
        <w:numPr>
          <w:ilvl w:val="0"/>
          <w:numId w:val="19"/>
        </w:numPr>
        <w:spacing w:line="360" w:lineRule="auto"/>
        <w:ind w:left="567" w:hanging="567"/>
      </w:pPr>
      <w:r w:rsidRPr="008F3BAA">
        <w:t>Kodėl svarbu diversifikuoti savo lėšas, 2010 10 03</w:t>
      </w:r>
    </w:p>
    <w:p w:rsidR="00F8017A" w:rsidRPr="008F3BAA" w:rsidRDefault="00173912" w:rsidP="00F8017A">
      <w:pPr>
        <w:pStyle w:val="Betarp"/>
        <w:spacing w:line="360" w:lineRule="auto"/>
        <w:ind w:left="567" w:firstLine="0"/>
      </w:pPr>
      <w:hyperlink r:id="rId37" w:history="1">
        <w:r w:rsidR="00F8017A" w:rsidRPr="008F3BAA">
          <w:rPr>
            <w:rStyle w:val="Hipersaitas"/>
            <w:color w:val="auto"/>
            <w:u w:val="none"/>
          </w:rPr>
          <w:t>http://www.marketnews.lt/naujiena/kodel_svarbu_diversifikuoti_savo_lesas_2010-10-03;itemid=20496</w:t>
        </w:r>
      </w:hyperlink>
      <w:r w:rsidR="00F8017A" w:rsidRPr="008F3BAA">
        <w:t xml:space="preserve"> [žiūrėta 2013 02 17]</w:t>
      </w:r>
      <w:r w:rsidR="00060CBC" w:rsidRPr="008F3BAA">
        <w:t>.</w:t>
      </w:r>
    </w:p>
    <w:p w:rsidR="00F8017A" w:rsidRPr="008F3BAA" w:rsidRDefault="00F8017A" w:rsidP="00F8017A">
      <w:pPr>
        <w:pStyle w:val="Betarp"/>
        <w:numPr>
          <w:ilvl w:val="0"/>
          <w:numId w:val="19"/>
        </w:numPr>
        <w:spacing w:line="360" w:lineRule="auto"/>
        <w:ind w:left="567" w:hanging="567"/>
        <w:rPr>
          <w:lang w:val="es-ES"/>
        </w:rPr>
      </w:pPr>
      <w:r w:rsidRPr="008F3BAA">
        <w:t xml:space="preserve">Konceptualios nuostatos dėl pensijų fondų priežiūros. </w:t>
      </w:r>
      <w:r w:rsidRPr="008F3BAA">
        <w:rPr>
          <w:lang w:val="es-ES"/>
        </w:rPr>
        <w:t>-</w:t>
      </w:r>
      <w:r w:rsidRPr="008F3BAA">
        <w:t xml:space="preserve"> Lietuvo</w:t>
      </w:r>
      <w:r w:rsidR="004B00B5" w:rsidRPr="008F3BAA">
        <w:t>s laisvosios rinkos institutas.</w:t>
      </w:r>
      <w:r w:rsidRPr="008F3BAA">
        <w:t xml:space="preserve">  </w:t>
      </w:r>
      <w:hyperlink r:id="rId38" w:history="1">
        <w:r w:rsidRPr="008F3BAA">
          <w:rPr>
            <w:rStyle w:val="Hipersaitas"/>
            <w:iCs/>
            <w:color w:val="auto"/>
            <w:u w:val="none"/>
          </w:rPr>
          <w:t>www.lrinka.lt/uploads/files/dir2/9_0.php</w:t>
        </w:r>
      </w:hyperlink>
      <w:r w:rsidRPr="008F3BAA">
        <w:t xml:space="preserve">  [žiūrėta </w:t>
      </w:r>
      <w:r w:rsidRPr="008F3BAA">
        <w:rPr>
          <w:lang w:val="es-ES"/>
        </w:rPr>
        <w:t>2012 03 20]</w:t>
      </w:r>
      <w:r w:rsidR="00060CBC" w:rsidRPr="008F3BAA">
        <w:rPr>
          <w:lang w:val="es-ES"/>
        </w:rPr>
        <w:t>.</w:t>
      </w:r>
    </w:p>
    <w:p w:rsidR="00F8017A" w:rsidRPr="008F3BAA" w:rsidRDefault="00F8017A" w:rsidP="00F8017A">
      <w:pPr>
        <w:pStyle w:val="Betarp"/>
        <w:numPr>
          <w:ilvl w:val="0"/>
          <w:numId w:val="19"/>
        </w:numPr>
        <w:spacing w:line="360" w:lineRule="auto"/>
        <w:ind w:left="567" w:hanging="567"/>
      </w:pPr>
      <w:r w:rsidRPr="008F3BAA">
        <w:t xml:space="preserve">Lietuvos Bankas, Lietuvos II ir III pakopos pensijų fondų bei KIS rinkos apžvalga, 2012 </w:t>
      </w:r>
      <w:r w:rsidR="009544CE">
        <w:t>m. IV ketv. ir 2012 metai.</w:t>
      </w:r>
    </w:p>
    <w:p w:rsidR="00F8017A" w:rsidRPr="008F3BAA" w:rsidRDefault="00173912" w:rsidP="00F8017A">
      <w:pPr>
        <w:pStyle w:val="Betarp"/>
        <w:spacing w:line="360" w:lineRule="auto"/>
        <w:ind w:left="567" w:firstLine="0"/>
      </w:pPr>
      <w:hyperlink r:id="rId39" w:history="1">
        <w:r w:rsidR="00F8017A" w:rsidRPr="008F3BAA">
          <w:rPr>
            <w:rStyle w:val="Hipersaitas"/>
            <w:color w:val="auto"/>
            <w:u w:val="none"/>
          </w:rPr>
          <w:t>http://www.lb.lt/ii_ir_iii_pakopos_pensiju_fondu_bei_kolektyvinio_investavimo_subjektu_rinkos_apzvalga_2012_m_iv_ketv_ir_2012_m</w:t>
        </w:r>
      </w:hyperlink>
      <w:r w:rsidR="00F8017A" w:rsidRPr="008F3BAA">
        <w:t xml:space="preserve"> [žiūrėta 2013 03 21]</w:t>
      </w:r>
      <w:r w:rsidR="00060CBC" w:rsidRPr="008F3BAA">
        <w:t>.</w:t>
      </w:r>
    </w:p>
    <w:p w:rsidR="00060CBC" w:rsidRPr="008F3BAA" w:rsidRDefault="00F8017A" w:rsidP="00F8017A">
      <w:pPr>
        <w:pStyle w:val="Betarp"/>
        <w:numPr>
          <w:ilvl w:val="0"/>
          <w:numId w:val="19"/>
        </w:numPr>
        <w:spacing w:line="360" w:lineRule="auto"/>
        <w:ind w:left="567" w:hanging="567"/>
      </w:pPr>
      <w:r w:rsidRPr="008F3BAA">
        <w:t>Lietuvos Respublikos valstybės kontrolė. Valstybinio audito ataskaita. Socialinio draudimo sistemos reforma. – Vilnius, 2008 m. liepos 21 d., Nr. VA-P-10-3-14.</w:t>
      </w:r>
    </w:p>
    <w:p w:rsidR="00F8017A" w:rsidRPr="008F3BAA" w:rsidRDefault="00173912" w:rsidP="00060CBC">
      <w:pPr>
        <w:pStyle w:val="Betarp"/>
        <w:spacing w:line="360" w:lineRule="auto"/>
        <w:ind w:left="567" w:firstLine="0"/>
      </w:pPr>
      <w:hyperlink r:id="rId40" w:history="1">
        <w:r w:rsidR="00F8017A" w:rsidRPr="008F3BAA">
          <w:rPr>
            <w:rStyle w:val="Hipersaitas"/>
            <w:color w:val="auto"/>
            <w:u w:val="none"/>
          </w:rPr>
          <w:t>http://www.vkontrole.lt/failas_senas.aspx?id=2582</w:t>
        </w:r>
      </w:hyperlink>
      <w:r w:rsidR="00F8017A" w:rsidRPr="008F3BAA">
        <w:t xml:space="preserve"> [žiūrėta 2012 04 10].</w:t>
      </w:r>
    </w:p>
    <w:p w:rsidR="00F8017A" w:rsidRPr="008F3BAA" w:rsidRDefault="00F8017A" w:rsidP="00F8017A">
      <w:pPr>
        <w:pStyle w:val="Betarp"/>
        <w:numPr>
          <w:ilvl w:val="0"/>
          <w:numId w:val="19"/>
        </w:numPr>
        <w:spacing w:line="360" w:lineRule="auto"/>
        <w:ind w:left="567" w:hanging="567"/>
        <w:rPr>
          <w:lang w:val="es-ES"/>
        </w:rPr>
      </w:pPr>
      <w:r w:rsidRPr="008F3BAA">
        <w:rPr>
          <w:lang w:val="es-ES"/>
        </w:rPr>
        <w:lastRenderedPageBreak/>
        <w:t>Medaiskis, T. Pensij</w:t>
      </w:r>
      <w:r w:rsidRPr="008F3BAA">
        <w:t xml:space="preserve">ų reformų dilemos. </w:t>
      </w:r>
      <w:hyperlink r:id="rId41" w:history="1">
        <w:r w:rsidRPr="008F3BAA">
          <w:rPr>
            <w:rStyle w:val="Hipersaitas"/>
            <w:color w:val="auto"/>
            <w:u w:val="none"/>
            <w:lang w:val="es-ES"/>
          </w:rPr>
          <w:t>http://iq.lt/komentarai/pensiju-reformu-dilemos/</w:t>
        </w:r>
      </w:hyperlink>
      <w:r w:rsidRPr="008F3BAA">
        <w:rPr>
          <w:lang w:val="es-ES"/>
        </w:rPr>
        <w:t xml:space="preserve"> </w:t>
      </w:r>
      <w:r w:rsidRPr="008F3BAA">
        <w:t xml:space="preserve">[žiūrėta </w:t>
      </w:r>
      <w:r w:rsidRPr="008F3BAA">
        <w:rPr>
          <w:lang w:val="es-ES"/>
        </w:rPr>
        <w:t>2012 04 10]</w:t>
      </w:r>
      <w:r w:rsidR="00060CBC" w:rsidRPr="008F3BAA">
        <w:rPr>
          <w:lang w:val="es-ES"/>
        </w:rPr>
        <w:t>.</w:t>
      </w:r>
    </w:p>
    <w:p w:rsidR="00397625" w:rsidRPr="008F3BAA" w:rsidRDefault="00397625" w:rsidP="00397625">
      <w:pPr>
        <w:pStyle w:val="Betarp"/>
        <w:numPr>
          <w:ilvl w:val="0"/>
          <w:numId w:val="19"/>
        </w:numPr>
        <w:spacing w:line="360" w:lineRule="auto"/>
        <w:ind w:left="567" w:hanging="567"/>
      </w:pPr>
      <w:r w:rsidRPr="008F3BAA">
        <w:t>Morkūnienė A., LLRI siūlo tobulinti pensijų fondų priežiūrą, 1999.</w:t>
      </w:r>
    </w:p>
    <w:p w:rsidR="00397625" w:rsidRPr="008F3BAA" w:rsidRDefault="00173912" w:rsidP="00397625">
      <w:pPr>
        <w:pStyle w:val="Betarp"/>
        <w:spacing w:line="360" w:lineRule="auto"/>
        <w:ind w:left="567" w:firstLine="0"/>
      </w:pPr>
      <w:hyperlink r:id="rId42" w:history="1">
        <w:r w:rsidR="00397625" w:rsidRPr="008F3BAA">
          <w:rPr>
            <w:rStyle w:val="Hipersaitas"/>
            <w:color w:val="auto"/>
            <w:u w:val="none"/>
          </w:rPr>
          <w:t>http://www.lrinka.lt/n/index.php/meniu/ziniasklaidai/straipsniai_ir_komentarai/llri_siulo_tobulinti_pensiju_fondu_prieziura/2093</w:t>
        </w:r>
      </w:hyperlink>
      <w:r w:rsidR="00397625" w:rsidRPr="008F3BAA">
        <w:t xml:space="preserve"> [žiūrėta 2013 04 09].</w:t>
      </w:r>
    </w:p>
    <w:p w:rsidR="00397625" w:rsidRPr="008F3BAA" w:rsidRDefault="00397625" w:rsidP="00397625">
      <w:pPr>
        <w:pStyle w:val="Betarp"/>
        <w:numPr>
          <w:ilvl w:val="0"/>
          <w:numId w:val="19"/>
        </w:numPr>
        <w:spacing w:line="360" w:lineRule="auto"/>
        <w:ind w:left="567" w:hanging="567"/>
      </w:pPr>
      <w:r w:rsidRPr="008F3BAA">
        <w:t xml:space="preserve">Morkūnienė A., Pasaulinė pensijų fondų praktika ir patirtis. – Vilnius, </w:t>
      </w:r>
      <w:r w:rsidRPr="008F3BAA">
        <w:rPr>
          <w:lang w:val="es-ES"/>
        </w:rPr>
        <w:t>1997.</w:t>
      </w:r>
    </w:p>
    <w:p w:rsidR="00397625" w:rsidRPr="008F3BAA" w:rsidRDefault="00173912" w:rsidP="00397625">
      <w:pPr>
        <w:pStyle w:val="Betarp"/>
        <w:spacing w:line="360" w:lineRule="auto"/>
        <w:ind w:left="567" w:firstLine="0"/>
      </w:pPr>
      <w:hyperlink r:id="rId43" w:history="1">
        <w:r w:rsidR="00397625" w:rsidRPr="008F3BAA">
          <w:rPr>
            <w:rStyle w:val="Hipersaitas"/>
            <w:color w:val="auto"/>
            <w:u w:val="none"/>
            <w:lang w:val="es-ES"/>
          </w:rPr>
          <w:t>http://www.lrinka.lt/index.php/pranesimai_prezentacijos/pasauline_pensiju_fondu_praktika_ir_patirtis/2140</w:t>
        </w:r>
      </w:hyperlink>
      <w:r w:rsidR="00397625" w:rsidRPr="008F3BAA">
        <w:rPr>
          <w:lang w:val="es-ES"/>
        </w:rPr>
        <w:t xml:space="preserve"> [žiūrėta 2013 01 15].</w:t>
      </w:r>
    </w:p>
    <w:p w:rsidR="00397625" w:rsidRPr="008F3BAA" w:rsidRDefault="00397625" w:rsidP="00397625">
      <w:pPr>
        <w:pStyle w:val="Puslapioinaostekstas"/>
        <w:numPr>
          <w:ilvl w:val="0"/>
          <w:numId w:val="19"/>
        </w:numPr>
        <w:spacing w:line="360" w:lineRule="auto"/>
        <w:ind w:left="567" w:hanging="567"/>
        <w:rPr>
          <w:sz w:val="24"/>
          <w:szCs w:val="24"/>
        </w:rPr>
      </w:pPr>
      <w:r w:rsidRPr="008F3BAA">
        <w:rPr>
          <w:sz w:val="24"/>
          <w:szCs w:val="24"/>
        </w:rPr>
        <w:t xml:space="preserve">Morkūnienė A., Ryškėja pensijų fondų kontūrai, 1999. </w:t>
      </w:r>
      <w:hyperlink r:id="rId44" w:history="1">
        <w:r w:rsidRPr="008F3BAA">
          <w:rPr>
            <w:rStyle w:val="Hipersaitas"/>
            <w:color w:val="auto"/>
            <w:sz w:val="24"/>
            <w:szCs w:val="24"/>
            <w:u w:val="none"/>
          </w:rPr>
          <w:t>http://www.lrinka.lt/index.php//1815</w:t>
        </w:r>
      </w:hyperlink>
      <w:r w:rsidRPr="008F3BAA">
        <w:rPr>
          <w:sz w:val="24"/>
          <w:szCs w:val="24"/>
        </w:rPr>
        <w:t xml:space="preserve"> [žiūrėta 2013 04 09].</w:t>
      </w:r>
    </w:p>
    <w:p w:rsidR="00F8017A" w:rsidRPr="008F3BAA" w:rsidRDefault="00F8017A" w:rsidP="00F8017A">
      <w:pPr>
        <w:pStyle w:val="Betarp"/>
        <w:numPr>
          <w:ilvl w:val="0"/>
          <w:numId w:val="19"/>
        </w:numPr>
        <w:spacing w:line="360" w:lineRule="auto"/>
        <w:ind w:left="567" w:hanging="567"/>
        <w:rPr>
          <w:lang w:val="es-ES"/>
        </w:rPr>
      </w:pPr>
      <w:r w:rsidRPr="008F3BAA">
        <w:t xml:space="preserve">Pensijų reforma - valstybinė protekcija verslui, 2004 03 08, </w:t>
      </w:r>
    </w:p>
    <w:p w:rsidR="00F8017A" w:rsidRPr="008F3BAA" w:rsidRDefault="00173912" w:rsidP="00F8017A">
      <w:pPr>
        <w:pStyle w:val="Betarp"/>
        <w:spacing w:line="360" w:lineRule="auto"/>
        <w:ind w:left="567" w:firstLine="0"/>
        <w:rPr>
          <w:lang w:val="es-ES"/>
        </w:rPr>
      </w:pPr>
      <w:hyperlink r:id="rId45" w:history="1">
        <w:r w:rsidR="00F8017A" w:rsidRPr="008F3BAA">
          <w:rPr>
            <w:rStyle w:val="Hipersaitas"/>
            <w:color w:val="auto"/>
            <w:u w:val="none"/>
          </w:rPr>
          <w:t>http://www.infolex.lt/portal/start.asp?Tema=43&amp;str=9070</w:t>
        </w:r>
      </w:hyperlink>
      <w:r w:rsidR="00F8017A" w:rsidRPr="008F3BAA">
        <w:t xml:space="preserve"> [žiūrėta </w:t>
      </w:r>
      <w:r w:rsidR="00F8017A" w:rsidRPr="008F3BAA">
        <w:rPr>
          <w:lang w:val="es-ES"/>
        </w:rPr>
        <w:t>2013 02 17]</w:t>
      </w:r>
      <w:r w:rsidR="00060CBC" w:rsidRPr="008F3BAA">
        <w:rPr>
          <w:lang w:val="es-ES"/>
        </w:rPr>
        <w:t>.</w:t>
      </w:r>
    </w:p>
    <w:p w:rsidR="00F8017A" w:rsidRPr="008F3BAA" w:rsidRDefault="00F8017A" w:rsidP="00F8017A">
      <w:pPr>
        <w:pStyle w:val="Betarp"/>
        <w:numPr>
          <w:ilvl w:val="0"/>
          <w:numId w:val="19"/>
        </w:numPr>
        <w:spacing w:line="360" w:lineRule="auto"/>
        <w:ind w:left="567" w:hanging="567"/>
      </w:pPr>
      <w:r w:rsidRPr="008F3BAA">
        <w:rPr>
          <w:lang w:val="en-US"/>
        </w:rPr>
        <w:t>Pension fund governance, investment strategies, and their role in corporate governance. Note by the OECD Secretariat,</w:t>
      </w:r>
      <w:r w:rsidRPr="008F3BAA">
        <w:t xml:space="preserve"> 2000. </w:t>
      </w:r>
    </w:p>
    <w:p w:rsidR="00F8017A" w:rsidRPr="008F3BAA" w:rsidRDefault="00173912" w:rsidP="00F8017A">
      <w:pPr>
        <w:pStyle w:val="Betarp"/>
        <w:spacing w:line="360" w:lineRule="auto"/>
        <w:ind w:left="567" w:firstLine="0"/>
      </w:pPr>
      <w:hyperlink r:id="rId46" w:history="1">
        <w:r w:rsidR="00F8017A" w:rsidRPr="008F3BAA">
          <w:rPr>
            <w:rStyle w:val="Hipersaitas"/>
            <w:color w:val="auto"/>
            <w:u w:val="none"/>
          </w:rPr>
          <w:t>http://www.fiap.cl/prontus_fiap/site/artic/20070611/asocfile/20070611102152/pension_fund_investment_and_its_role_on_corporate_governance__oecd_.pdf</w:t>
        </w:r>
      </w:hyperlink>
      <w:r w:rsidR="00F8017A" w:rsidRPr="008F3BAA">
        <w:t xml:space="preserve"> [žiūrėta 2013 01 15].</w:t>
      </w:r>
    </w:p>
    <w:p w:rsidR="00F8017A" w:rsidRPr="008F3BAA" w:rsidRDefault="00F8017A" w:rsidP="00F8017A">
      <w:pPr>
        <w:pStyle w:val="Betarp"/>
        <w:numPr>
          <w:ilvl w:val="0"/>
          <w:numId w:val="19"/>
        </w:numPr>
        <w:spacing w:line="360" w:lineRule="auto"/>
        <w:ind w:left="567" w:hanging="567"/>
        <w:rPr>
          <w:lang w:val="es-ES"/>
        </w:rPr>
      </w:pPr>
      <w:r w:rsidRPr="008F3BAA">
        <w:rPr>
          <w:lang w:val="en-US"/>
        </w:rPr>
        <w:t>Social Protection Committee. Privately managed funded pensions provisions and their contribution to adequate and sustainable pensions</w:t>
      </w:r>
      <w:r w:rsidRPr="008F3BAA">
        <w:t>. 2008</w:t>
      </w:r>
    </w:p>
    <w:p w:rsidR="00F8017A" w:rsidRPr="008F3BAA" w:rsidRDefault="00173912" w:rsidP="00F8017A">
      <w:pPr>
        <w:pStyle w:val="Betarp"/>
        <w:spacing w:line="360" w:lineRule="auto"/>
        <w:ind w:left="567" w:firstLine="0"/>
        <w:rPr>
          <w:lang w:val="es-ES"/>
        </w:rPr>
      </w:pPr>
      <w:hyperlink r:id="rId47" w:history="1">
        <w:r w:rsidR="00F8017A" w:rsidRPr="008F3BAA">
          <w:rPr>
            <w:rStyle w:val="Hipersaitas"/>
            <w:color w:val="auto"/>
            <w:u w:val="none"/>
          </w:rPr>
          <w:t>http://ec.europa.eu/social/main.jsp?catId=752&amp;langId=en&amp;moreDocuments=yes</w:t>
        </w:r>
      </w:hyperlink>
      <w:r w:rsidR="00F8017A" w:rsidRPr="008F3BAA">
        <w:t xml:space="preserve"> [žiūrėta </w:t>
      </w:r>
      <w:r w:rsidR="00F8017A" w:rsidRPr="008F3BAA">
        <w:rPr>
          <w:lang w:val="es-ES"/>
        </w:rPr>
        <w:t>2013 02 26]</w:t>
      </w:r>
      <w:r w:rsidR="00060CBC" w:rsidRPr="008F3BAA">
        <w:rPr>
          <w:lang w:val="es-ES"/>
        </w:rPr>
        <w:t>.</w:t>
      </w:r>
    </w:p>
    <w:p w:rsidR="00F8017A" w:rsidRPr="008F3BAA" w:rsidRDefault="00F8017A" w:rsidP="00F8017A">
      <w:pPr>
        <w:pStyle w:val="Betarp"/>
        <w:numPr>
          <w:ilvl w:val="0"/>
          <w:numId w:val="19"/>
        </w:numPr>
        <w:spacing w:line="360" w:lineRule="auto"/>
        <w:ind w:left="567" w:hanging="567"/>
      </w:pPr>
      <w:r w:rsidRPr="008F3BAA">
        <w:t xml:space="preserve">Socialinės apsaugos ir darbo ministerijos socialinis pranešimas. </w:t>
      </w:r>
      <w:r w:rsidRPr="008F3BAA">
        <w:rPr>
          <w:lang w:val="es-ES"/>
        </w:rPr>
        <w:t>–</w:t>
      </w:r>
      <w:r w:rsidR="009544CE">
        <w:t xml:space="preserve"> Vilnius, 1999.</w:t>
      </w:r>
      <w:r w:rsidRPr="008F3BAA">
        <w:t xml:space="preserve"> </w:t>
      </w:r>
      <w:hyperlink r:id="rId48" w:history="1">
        <w:r w:rsidRPr="008F3BAA">
          <w:rPr>
            <w:rStyle w:val="Hipersaitas"/>
            <w:color w:val="auto"/>
            <w:u w:val="none"/>
          </w:rPr>
          <w:t>http://www.socmin.lt/index.php?-1351634479</w:t>
        </w:r>
      </w:hyperlink>
      <w:r w:rsidRPr="008F3BAA">
        <w:t xml:space="preserve"> [žiūrėta 2013 02 05]</w:t>
      </w:r>
      <w:r w:rsidR="00060CBC" w:rsidRPr="008F3BAA">
        <w:t>.</w:t>
      </w:r>
    </w:p>
    <w:p w:rsidR="00F8017A" w:rsidRPr="008F3BAA" w:rsidRDefault="00F8017A" w:rsidP="00F8017A">
      <w:pPr>
        <w:pStyle w:val="Betarp"/>
        <w:numPr>
          <w:ilvl w:val="0"/>
          <w:numId w:val="19"/>
        </w:numPr>
        <w:spacing w:line="360" w:lineRule="auto"/>
        <w:ind w:left="567" w:hanging="567"/>
      </w:pPr>
      <w:r w:rsidRPr="008F3BAA">
        <w:t>Staponkienė A.</w:t>
      </w:r>
      <w:r w:rsidR="00726B10" w:rsidRPr="008F3BAA">
        <w:t>,</w:t>
      </w:r>
      <w:r w:rsidRPr="008F3BAA">
        <w:t xml:space="preserve"> Būtina apsaugoti pensijų kaupimo fonduose investuojančių žmonių turtinius interesus. </w:t>
      </w:r>
      <w:hyperlink r:id="rId49" w:history="1">
        <w:r w:rsidRPr="008F3BAA">
          <w:rPr>
            <w:rStyle w:val="Hipersaitas"/>
            <w:color w:val="auto"/>
            <w:u w:val="none"/>
          </w:rPr>
          <w:t>http://www3.lrs.lt/docs3/kad5/w5_istorija.show5-p_r=5695&amp;p_d=75801&amp;p_k=1.html</w:t>
        </w:r>
      </w:hyperlink>
      <w:r w:rsidRPr="008F3BAA">
        <w:rPr>
          <w:rStyle w:val="Hipersaitas"/>
          <w:color w:val="auto"/>
          <w:u w:val="none"/>
        </w:rPr>
        <w:t xml:space="preserve"> </w:t>
      </w:r>
      <w:r w:rsidRPr="008F3BAA">
        <w:t>[žiūrėta 2012 03 26]</w:t>
      </w:r>
      <w:r w:rsidR="00060CBC" w:rsidRPr="008F3BAA">
        <w:t>.</w:t>
      </w:r>
    </w:p>
    <w:p w:rsidR="00F8017A" w:rsidRPr="008F3BAA" w:rsidRDefault="00F8017A" w:rsidP="00F8017A">
      <w:pPr>
        <w:pStyle w:val="Betarp"/>
        <w:numPr>
          <w:ilvl w:val="0"/>
          <w:numId w:val="19"/>
        </w:numPr>
        <w:spacing w:line="360" w:lineRule="auto"/>
        <w:ind w:left="567" w:hanging="567"/>
      </w:pPr>
      <w:r w:rsidRPr="008F3BAA">
        <w:t>Steponavičienė G.</w:t>
      </w:r>
      <w:r w:rsidR="00726B10" w:rsidRPr="008F3BAA">
        <w:t>,</w:t>
      </w:r>
      <w:r w:rsidRPr="008F3BAA">
        <w:t xml:space="preserve"> Apie pensijų fondu ir mitus. - 2004. </w:t>
      </w:r>
      <w:hyperlink r:id="rId50" w:history="1">
        <w:r w:rsidRPr="008F3BAA">
          <w:rPr>
            <w:rStyle w:val="Hipersaitas"/>
            <w:color w:val="auto"/>
            <w:u w:val="none"/>
          </w:rPr>
          <w:t>http://www.lrinka.lt/index.php//1480</w:t>
        </w:r>
      </w:hyperlink>
      <w:r w:rsidRPr="008F3BAA">
        <w:t xml:space="preserve">  [žiūrėta 2012 02 26]</w:t>
      </w:r>
      <w:r w:rsidR="00060CBC" w:rsidRPr="008F3BAA">
        <w:t>.</w:t>
      </w:r>
    </w:p>
    <w:p w:rsidR="00242D56" w:rsidRPr="008F3BAA" w:rsidRDefault="00242D56" w:rsidP="00242D56">
      <w:pPr>
        <w:pStyle w:val="Betarp"/>
        <w:numPr>
          <w:ilvl w:val="0"/>
          <w:numId w:val="19"/>
        </w:numPr>
        <w:spacing w:line="360" w:lineRule="auto"/>
        <w:ind w:left="567" w:hanging="567"/>
      </w:pPr>
      <w:r w:rsidRPr="008F3BAA">
        <w:t>Steponavičienė G., Pensijų sistema – pokyčiai neišvengiami. – 2007 04 02.</w:t>
      </w:r>
    </w:p>
    <w:p w:rsidR="00242D56" w:rsidRPr="008F3BAA" w:rsidRDefault="00242D56" w:rsidP="00242D56">
      <w:pPr>
        <w:pStyle w:val="Betarp"/>
        <w:spacing w:line="360" w:lineRule="auto"/>
        <w:ind w:left="567" w:hanging="567"/>
      </w:pPr>
      <w:r w:rsidRPr="008F3BAA">
        <w:tab/>
      </w:r>
      <w:hyperlink r:id="rId51" w:history="1">
        <w:r w:rsidRPr="008F3BAA">
          <w:rPr>
            <w:rStyle w:val="Hipersaitas"/>
            <w:color w:val="auto"/>
            <w:u w:val="none"/>
          </w:rPr>
          <w:t>http://www.lrinka.lt/index.php/meniu/ziniasklaidai/straipsniai_ir_komentarai/pensiju_sistema_pokyciai_neisvengiami/4167;from_topic_id;19</w:t>
        </w:r>
      </w:hyperlink>
      <w:r w:rsidRPr="008F3BAA">
        <w:t xml:space="preserve"> [žiūrėta 2013 03 21].</w:t>
      </w:r>
    </w:p>
    <w:p w:rsidR="00F8017A" w:rsidRPr="008F3BAA" w:rsidRDefault="00F8017A" w:rsidP="00F8017A">
      <w:pPr>
        <w:pStyle w:val="Betarp"/>
        <w:numPr>
          <w:ilvl w:val="0"/>
          <w:numId w:val="19"/>
        </w:numPr>
        <w:spacing w:line="360" w:lineRule="auto"/>
        <w:ind w:left="567" w:hanging="567"/>
        <w:rPr>
          <w:lang w:val="en-US"/>
        </w:rPr>
      </w:pPr>
      <w:r w:rsidRPr="008F3BAA">
        <w:t xml:space="preserve">Stewart F., Yermo J., </w:t>
      </w:r>
      <w:r w:rsidRPr="008F3BAA">
        <w:rPr>
          <w:lang w:val="en-US"/>
        </w:rPr>
        <w:t>Pension Fund Governance: Challenges and Potential Solutions, OECD Working Papers on Insurance and Private Pensions, No. 18, OECD publishing. – France, 2008.</w:t>
      </w:r>
      <w:r w:rsidRPr="008F3BAA">
        <w:rPr>
          <w:sz w:val="20"/>
          <w:szCs w:val="20"/>
          <w:lang w:val="en-US"/>
        </w:rPr>
        <w:t xml:space="preserve"> </w:t>
      </w:r>
      <w:hyperlink r:id="rId52" w:history="1">
        <w:r w:rsidRPr="008F3BAA">
          <w:rPr>
            <w:rStyle w:val="Hipersaitas"/>
            <w:color w:val="auto"/>
            <w:u w:val="none"/>
            <w:lang w:val="en-US"/>
          </w:rPr>
          <w:t>http://www.oecd.org/insurance/private-pensions/41013956.pdf</w:t>
        </w:r>
      </w:hyperlink>
      <w:r w:rsidRPr="008F3BAA">
        <w:rPr>
          <w:lang w:val="en-US"/>
        </w:rPr>
        <w:t xml:space="preserve"> [žiūrėta 2013 01 15]</w:t>
      </w:r>
      <w:r w:rsidR="00060CBC" w:rsidRPr="008F3BAA">
        <w:rPr>
          <w:lang w:val="en-US"/>
        </w:rPr>
        <w:t>.</w:t>
      </w:r>
    </w:p>
    <w:p w:rsidR="00911567" w:rsidRPr="008F3BAA" w:rsidRDefault="00F8017A" w:rsidP="00F8017A">
      <w:pPr>
        <w:pStyle w:val="Betarp"/>
        <w:numPr>
          <w:ilvl w:val="0"/>
          <w:numId w:val="19"/>
        </w:numPr>
        <w:spacing w:line="360" w:lineRule="auto"/>
        <w:ind w:left="567" w:hanging="567"/>
        <w:rPr>
          <w:b/>
        </w:rPr>
      </w:pPr>
      <w:r w:rsidRPr="008F3BAA">
        <w:rPr>
          <w:lang w:val="en-US"/>
        </w:rPr>
        <w:t>Survey of investment regulation of pension funds</w:t>
      </w:r>
      <w:r w:rsidRPr="008F3BAA">
        <w:t>. - OECD, 2012.</w:t>
      </w:r>
    </w:p>
    <w:p w:rsidR="00F8017A" w:rsidRPr="008F3BAA" w:rsidRDefault="00173912" w:rsidP="00911567">
      <w:pPr>
        <w:pStyle w:val="Betarp"/>
        <w:spacing w:line="360" w:lineRule="auto"/>
        <w:ind w:left="567" w:firstLine="0"/>
        <w:rPr>
          <w:b/>
        </w:rPr>
      </w:pPr>
      <w:hyperlink r:id="rId53" w:history="1">
        <w:r w:rsidR="00F8017A" w:rsidRPr="008F3BAA">
          <w:rPr>
            <w:rStyle w:val="Hipersaitas"/>
            <w:color w:val="auto"/>
            <w:u w:val="none"/>
          </w:rPr>
          <w:t>http://www.oecd.org/daf/fin/private-pensions/2011SurveyOfInvestmentRegulationsOfPensionFunds.pdf</w:t>
        </w:r>
      </w:hyperlink>
      <w:r w:rsidR="00F8017A" w:rsidRPr="008F3BAA">
        <w:t xml:space="preserve"> [žiūrėta </w:t>
      </w:r>
      <w:r w:rsidR="00F8017A" w:rsidRPr="008F3BAA">
        <w:rPr>
          <w:lang w:val="es-ES"/>
        </w:rPr>
        <w:t>2013 03 24]</w:t>
      </w:r>
      <w:r w:rsidR="00060CBC" w:rsidRPr="008F3BAA">
        <w:rPr>
          <w:lang w:val="es-ES"/>
        </w:rPr>
        <w:t>.</w:t>
      </w:r>
    </w:p>
    <w:p w:rsidR="009544CE" w:rsidRPr="00B90D03" w:rsidRDefault="00F8017A" w:rsidP="00F8017A">
      <w:pPr>
        <w:pStyle w:val="Betarp"/>
        <w:numPr>
          <w:ilvl w:val="0"/>
          <w:numId w:val="19"/>
        </w:numPr>
        <w:spacing w:line="360" w:lineRule="auto"/>
        <w:ind w:left="567" w:hanging="567"/>
        <w:rPr>
          <w:lang w:val="en-US"/>
        </w:rPr>
      </w:pPr>
      <w:r w:rsidRPr="008F3BAA">
        <w:rPr>
          <w:lang w:val="en-US"/>
        </w:rPr>
        <w:t>The effect of cross-border investment restrictions on certain pension schemes in the EU.</w:t>
      </w:r>
      <w:r w:rsidRPr="008F3BAA">
        <w:rPr>
          <w:i/>
          <w:lang w:val="en-US"/>
        </w:rPr>
        <w:t xml:space="preserve"> </w:t>
      </w:r>
      <w:r w:rsidR="009544CE">
        <w:rPr>
          <w:lang w:val="en-US"/>
        </w:rPr>
        <w:t>2007.</w:t>
      </w:r>
    </w:p>
    <w:p w:rsidR="00F8017A" w:rsidRPr="008F3BAA" w:rsidRDefault="00F8017A" w:rsidP="009544CE">
      <w:pPr>
        <w:pStyle w:val="Betarp"/>
        <w:spacing w:line="360" w:lineRule="auto"/>
        <w:ind w:left="567" w:firstLine="0"/>
        <w:rPr>
          <w:lang w:val="es-ES"/>
        </w:rPr>
      </w:pPr>
      <w:r w:rsidRPr="00B90D03">
        <w:rPr>
          <w:lang w:val="en-US"/>
        </w:rPr>
        <w:t xml:space="preserve"> </w:t>
      </w:r>
      <w:r w:rsidR="00173912">
        <w:fldChar w:fldCharType="begin"/>
      </w:r>
      <w:r w:rsidR="00173912">
        <w:instrText xml:space="preserve"> HYPERLINK "http://ec.europa.eu/internal_market/capital/docs/oxera_report_en.pdf" </w:instrText>
      </w:r>
      <w:r w:rsidR="00173912">
        <w:fldChar w:fldCharType="separate"/>
      </w:r>
      <w:r w:rsidRPr="008F3BAA">
        <w:rPr>
          <w:rStyle w:val="Hipersaitas"/>
          <w:color w:val="auto"/>
          <w:u w:val="none"/>
          <w:lang w:val="es-ES"/>
        </w:rPr>
        <w:t>http://ec.europa.eu/internal_market/capital/docs/oxera_report_en.pdf</w:t>
      </w:r>
      <w:r w:rsidR="00173912">
        <w:rPr>
          <w:rStyle w:val="Hipersaitas"/>
          <w:color w:val="auto"/>
          <w:u w:val="none"/>
          <w:lang w:val="es-ES"/>
        </w:rPr>
        <w:fldChar w:fldCharType="end"/>
      </w:r>
      <w:r w:rsidRPr="008F3BAA">
        <w:rPr>
          <w:i/>
          <w:lang w:val="es-ES"/>
        </w:rPr>
        <w:t xml:space="preserve"> </w:t>
      </w:r>
      <w:r w:rsidRPr="008F3BAA">
        <w:rPr>
          <w:lang w:val="es-ES"/>
        </w:rPr>
        <w:t>[</w:t>
      </w:r>
      <w:r w:rsidRPr="008F3BAA">
        <w:t xml:space="preserve">žiūrėta </w:t>
      </w:r>
      <w:r w:rsidRPr="008F3BAA">
        <w:rPr>
          <w:lang w:val="es-ES"/>
        </w:rPr>
        <w:t>2013 02 26]</w:t>
      </w:r>
    </w:p>
    <w:p w:rsidR="00060CBC" w:rsidRPr="008F3BAA" w:rsidRDefault="00F8017A" w:rsidP="00F8017A">
      <w:pPr>
        <w:pStyle w:val="Betarp"/>
        <w:numPr>
          <w:ilvl w:val="0"/>
          <w:numId w:val="19"/>
        </w:numPr>
        <w:spacing w:line="360" w:lineRule="auto"/>
        <w:ind w:left="567" w:hanging="567"/>
      </w:pPr>
      <w:r w:rsidRPr="008F3BAA">
        <w:rPr>
          <w:lang w:val="en-US"/>
        </w:rPr>
        <w:t xml:space="preserve">“Survey of investment regulation of Pension Funds“, </w:t>
      </w:r>
      <w:r w:rsidRPr="008F3BAA">
        <w:rPr>
          <w:bCs/>
          <w:lang w:val="en-US"/>
        </w:rPr>
        <w:t>OECD Secretariat</w:t>
      </w:r>
      <w:r w:rsidRPr="008F3BAA">
        <w:rPr>
          <w:bCs/>
        </w:rPr>
        <w:t xml:space="preserve">, </w:t>
      </w:r>
      <w:r w:rsidRPr="008F3BAA">
        <w:rPr>
          <w:bCs/>
          <w:lang w:val="en-US"/>
        </w:rPr>
        <w:t>2001</w:t>
      </w:r>
    </w:p>
    <w:p w:rsidR="00F8017A" w:rsidRPr="008F3BAA" w:rsidRDefault="00173912" w:rsidP="00060CBC">
      <w:pPr>
        <w:pStyle w:val="Betarp"/>
        <w:spacing w:line="360" w:lineRule="auto"/>
        <w:ind w:left="567" w:firstLine="0"/>
      </w:pPr>
      <w:hyperlink r:id="rId54" w:history="1">
        <w:r w:rsidR="00F8017A" w:rsidRPr="008F3BAA">
          <w:rPr>
            <w:rStyle w:val="Hipersaitas"/>
            <w:color w:val="auto"/>
            <w:u w:val="none"/>
          </w:rPr>
          <w:t>http://www.oecd.org/finance/privatepensions/2401405.pdf</w:t>
        </w:r>
      </w:hyperlink>
      <w:r w:rsidR="00F8017A" w:rsidRPr="008F3BAA">
        <w:t xml:space="preserve">  [žiūrėta </w:t>
      </w:r>
      <w:r w:rsidR="00F8017A" w:rsidRPr="008F3BAA">
        <w:rPr>
          <w:lang w:val="es-ES"/>
        </w:rPr>
        <w:t>2013 01 17]</w:t>
      </w:r>
      <w:r w:rsidR="00060CBC" w:rsidRPr="008F3BAA">
        <w:rPr>
          <w:lang w:val="es-ES"/>
        </w:rPr>
        <w:t>.</w:t>
      </w:r>
    </w:p>
    <w:p w:rsidR="00F8017A" w:rsidRPr="009544CE" w:rsidRDefault="00F8017A" w:rsidP="00F8017A">
      <w:pPr>
        <w:pStyle w:val="Betarp"/>
        <w:numPr>
          <w:ilvl w:val="0"/>
          <w:numId w:val="19"/>
        </w:numPr>
        <w:spacing w:line="360" w:lineRule="auto"/>
        <w:ind w:left="567" w:hanging="567"/>
        <w:rPr>
          <w:lang w:val="en-US"/>
        </w:rPr>
      </w:pPr>
      <w:r w:rsidRPr="008F3BAA">
        <w:rPr>
          <w:lang w:val="en-US"/>
        </w:rPr>
        <w:t xml:space="preserve">Varfolomyeyev S., </w:t>
      </w:r>
      <w:r w:rsidRPr="008F3BAA">
        <w:rPr>
          <w:bCs/>
          <w:lang w:val="en-US"/>
        </w:rPr>
        <w:t>Pension Investment Regulation: collection of data and</w:t>
      </w:r>
      <w:r w:rsidR="009544CE">
        <w:rPr>
          <w:bCs/>
          <w:lang w:val="en-US"/>
        </w:rPr>
        <w:t xml:space="preserve"> recommendations. – Kyiv, 2003.</w:t>
      </w:r>
    </w:p>
    <w:p w:rsidR="00F8017A" w:rsidRPr="008F3BAA" w:rsidRDefault="00173912" w:rsidP="00F8017A">
      <w:pPr>
        <w:pStyle w:val="Betarp"/>
        <w:spacing w:line="360" w:lineRule="auto"/>
        <w:ind w:left="567" w:firstLine="0"/>
        <w:rPr>
          <w:bCs/>
          <w:lang w:val="es-ES"/>
        </w:rPr>
      </w:pPr>
      <w:hyperlink r:id="rId55" w:history="1">
        <w:r w:rsidR="00F8017A" w:rsidRPr="008F3BAA">
          <w:rPr>
            <w:rStyle w:val="Hipersaitas"/>
            <w:bCs/>
            <w:color w:val="auto"/>
            <w:u w:val="none"/>
            <w:lang w:val="es-ES"/>
          </w:rPr>
          <w:t>http://www.pension.kiev.ua/files/Pension_Investment_Regulation_EN.pdf</w:t>
        </w:r>
      </w:hyperlink>
      <w:r w:rsidR="00F8017A" w:rsidRPr="008F3BAA">
        <w:rPr>
          <w:bCs/>
          <w:lang w:val="es-ES"/>
        </w:rPr>
        <w:t xml:space="preserve"> [žiūrėta 2013 01 31]</w:t>
      </w:r>
      <w:r w:rsidR="00060CBC" w:rsidRPr="008F3BAA">
        <w:rPr>
          <w:bCs/>
          <w:lang w:val="es-ES"/>
        </w:rPr>
        <w:t>.</w:t>
      </w:r>
    </w:p>
    <w:p w:rsidR="00D26760" w:rsidRPr="008F3BAA" w:rsidRDefault="00D26760" w:rsidP="00F8017A">
      <w:pPr>
        <w:pStyle w:val="Betarp"/>
        <w:numPr>
          <w:ilvl w:val="0"/>
          <w:numId w:val="19"/>
        </w:numPr>
        <w:spacing w:line="360" w:lineRule="auto"/>
        <w:ind w:left="567" w:hanging="567"/>
      </w:pPr>
      <w:r w:rsidRPr="008F3BAA">
        <w:t xml:space="preserve">Valstiečiai liaudininkai siekia mažinti pensijų kaupimo apetitus ir apsaugoti įmokas mokančių asmenų turtinius interesus </w:t>
      </w:r>
    </w:p>
    <w:p w:rsidR="00D26760" w:rsidRPr="008F3BAA" w:rsidRDefault="00173912" w:rsidP="00D26760">
      <w:pPr>
        <w:pStyle w:val="Betarp"/>
        <w:spacing w:line="360" w:lineRule="auto"/>
        <w:ind w:left="567" w:firstLine="0"/>
      </w:pPr>
      <w:hyperlink r:id="rId56" w:history="1">
        <w:r w:rsidR="00D26760" w:rsidRPr="008F3BAA">
          <w:rPr>
            <w:rStyle w:val="Hipersaitas"/>
            <w:color w:val="auto"/>
            <w:u w:val="none"/>
          </w:rPr>
          <w:t>http://www3.lrs.lt/docs3/kad5/w5_istorija.show5-p_r=5695&amp;p_d=77151&amp;p_k=1.html</w:t>
        </w:r>
      </w:hyperlink>
      <w:r w:rsidR="00D26760" w:rsidRPr="008F3BAA">
        <w:t xml:space="preserve"> [žiūrėta 2013 04 02]</w:t>
      </w:r>
      <w:r w:rsidR="00060CBC" w:rsidRPr="008F3BAA">
        <w:t>.</w:t>
      </w:r>
    </w:p>
    <w:p w:rsidR="00223C5A" w:rsidRPr="008F3BAA" w:rsidRDefault="00F8017A" w:rsidP="00F2302D">
      <w:pPr>
        <w:pStyle w:val="Betarp"/>
        <w:numPr>
          <w:ilvl w:val="0"/>
          <w:numId w:val="19"/>
        </w:numPr>
        <w:spacing w:line="360" w:lineRule="auto"/>
        <w:ind w:left="567" w:hanging="567"/>
      </w:pPr>
      <w:r w:rsidRPr="008F3BAA">
        <w:t>Vyriausybė siūlo lankstesnę pensijų kaupimo privačiuose fonduose sistemą.</w:t>
      </w:r>
      <w:r w:rsidR="00F2302D" w:rsidRPr="008F3BAA">
        <w:tab/>
      </w:r>
    </w:p>
    <w:p w:rsidR="00F8017A" w:rsidRPr="008F3BAA" w:rsidRDefault="00173912" w:rsidP="00223C5A">
      <w:pPr>
        <w:pStyle w:val="Betarp"/>
        <w:spacing w:line="360" w:lineRule="auto"/>
        <w:ind w:left="567" w:firstLine="0"/>
      </w:pPr>
      <w:hyperlink r:id="rId57" w:history="1">
        <w:r w:rsidR="00F8017A" w:rsidRPr="008F3BAA">
          <w:rPr>
            <w:rStyle w:val="Hipersaitas"/>
            <w:color w:val="auto"/>
            <w:u w:val="none"/>
          </w:rPr>
          <w:t>http://alkas.lt/2012/03/07/vyriausybe-siulo-lankstesne-pensiju-kaupimo-privaciuose-fonduose-sistema/</w:t>
        </w:r>
      </w:hyperlink>
      <w:r w:rsidR="00F8017A" w:rsidRPr="008F3BAA">
        <w:t xml:space="preserve"> [žiūrėta 2012 03 30]. </w:t>
      </w:r>
    </w:p>
    <w:p w:rsidR="00397625" w:rsidRPr="008F3BAA" w:rsidRDefault="00397625" w:rsidP="00223C5A">
      <w:pPr>
        <w:pStyle w:val="Betarp"/>
        <w:spacing w:line="360" w:lineRule="auto"/>
        <w:ind w:left="567" w:firstLine="0"/>
      </w:pPr>
    </w:p>
    <w:p w:rsidR="00242D56" w:rsidRDefault="00242D56" w:rsidP="00F2302D">
      <w:pPr>
        <w:pStyle w:val="Betarp"/>
        <w:spacing w:line="360" w:lineRule="auto"/>
        <w:ind w:left="567" w:hanging="567"/>
      </w:pPr>
    </w:p>
    <w:p w:rsidR="00F2302D" w:rsidRPr="00005CAA" w:rsidRDefault="00F2302D" w:rsidP="00F8017A">
      <w:pPr>
        <w:pStyle w:val="Betarp"/>
        <w:spacing w:line="360" w:lineRule="auto"/>
        <w:ind w:left="567" w:firstLine="0"/>
      </w:pPr>
    </w:p>
    <w:p w:rsidR="00C95627" w:rsidRPr="00185399" w:rsidRDefault="00C95627" w:rsidP="00B32987">
      <w:pPr>
        <w:pStyle w:val="Betarp"/>
        <w:spacing w:line="360" w:lineRule="auto"/>
        <w:ind w:left="567" w:firstLine="0"/>
        <w:rPr>
          <w:b/>
          <w:color w:val="0070C0"/>
        </w:rPr>
      </w:pPr>
    </w:p>
    <w:p w:rsidR="00864797" w:rsidRPr="00F04C8B" w:rsidRDefault="00AD39F7" w:rsidP="00AD39F7">
      <w:pPr>
        <w:pStyle w:val="Betarp"/>
        <w:numPr>
          <w:ilvl w:val="0"/>
          <w:numId w:val="19"/>
        </w:numPr>
        <w:ind w:left="567" w:hanging="567"/>
        <w:rPr>
          <w:b/>
          <w:color w:val="0070C0"/>
        </w:rPr>
      </w:pPr>
      <w:r>
        <w:br w:type="page"/>
      </w:r>
    </w:p>
    <w:p w:rsidR="00445C7E" w:rsidRPr="00C97697" w:rsidRDefault="00445C7E" w:rsidP="00441C1C">
      <w:pPr>
        <w:pStyle w:val="Betarp"/>
        <w:spacing w:line="360" w:lineRule="auto"/>
        <w:ind w:firstLine="567"/>
        <w:rPr>
          <w:b/>
          <w:lang w:val="es-ES"/>
        </w:rPr>
      </w:pPr>
      <w:r w:rsidRPr="00C97697">
        <w:rPr>
          <w:b/>
        </w:rPr>
        <w:lastRenderedPageBreak/>
        <w:t>Jonikaitė I.</w:t>
      </w:r>
      <w:r w:rsidRPr="00C97697">
        <w:t xml:space="preserve"> II pakopos pensijų fondų investavimo teisinis reguliavimas, jo įtaka išmokų dydžiui / Finansų teisės magistro baigiamasis darbas. Vadovas </w:t>
      </w:r>
      <w:r w:rsidR="00453189" w:rsidRPr="00C97697">
        <w:t xml:space="preserve">doc. </w:t>
      </w:r>
      <w:r w:rsidRPr="00C97697">
        <w:t xml:space="preserve">dr. M. Strumskis. – Vilnius: Mykolo Romerio Universitetas, Ekonomikos ir finansų valdymo fakultetas, </w:t>
      </w:r>
      <w:r w:rsidRPr="00C97697">
        <w:rPr>
          <w:lang w:val="es-ES"/>
        </w:rPr>
        <w:t xml:space="preserve">2013. </w:t>
      </w:r>
      <w:r w:rsidR="00AE0C31" w:rsidRPr="00C97697">
        <w:rPr>
          <w:lang w:val="es-ES"/>
        </w:rPr>
        <w:t xml:space="preserve">– </w:t>
      </w:r>
      <w:r w:rsidR="00C959FE" w:rsidRPr="00C97697">
        <w:rPr>
          <w:lang w:val="es-ES"/>
        </w:rPr>
        <w:t>6</w:t>
      </w:r>
      <w:r w:rsidR="0008602A" w:rsidRPr="00C97697">
        <w:rPr>
          <w:lang w:val="es-ES"/>
        </w:rPr>
        <w:t>5</w:t>
      </w:r>
      <w:r w:rsidR="00ED5E11" w:rsidRPr="00C97697">
        <w:rPr>
          <w:lang w:val="es-ES"/>
        </w:rPr>
        <w:t xml:space="preserve"> p.</w:t>
      </w:r>
    </w:p>
    <w:p w:rsidR="00445C7E" w:rsidRPr="00C97697" w:rsidRDefault="00445C7E" w:rsidP="00890970">
      <w:pPr>
        <w:pStyle w:val="Betarp"/>
        <w:spacing w:line="360" w:lineRule="auto"/>
        <w:ind w:firstLine="0"/>
        <w:rPr>
          <w:lang w:val="es-ES"/>
        </w:rPr>
      </w:pPr>
    </w:p>
    <w:p w:rsidR="00FF2EF1" w:rsidRPr="00C97697" w:rsidRDefault="00FF2EF1" w:rsidP="00FF2EF1">
      <w:pPr>
        <w:pStyle w:val="Betarp"/>
        <w:spacing w:line="360" w:lineRule="auto"/>
        <w:ind w:firstLine="0"/>
        <w:jc w:val="center"/>
        <w:rPr>
          <w:b/>
          <w:sz w:val="28"/>
          <w:szCs w:val="28"/>
        </w:rPr>
      </w:pPr>
      <w:r w:rsidRPr="00C97697">
        <w:rPr>
          <w:b/>
          <w:sz w:val="28"/>
          <w:szCs w:val="28"/>
        </w:rPr>
        <w:t>ANOTACIJA</w:t>
      </w:r>
    </w:p>
    <w:p w:rsidR="00FF2EF1" w:rsidRPr="00C97697" w:rsidRDefault="00FF2EF1" w:rsidP="00FF2EF1">
      <w:pPr>
        <w:pStyle w:val="Betarp"/>
        <w:spacing w:line="360" w:lineRule="auto"/>
        <w:ind w:firstLine="0"/>
        <w:jc w:val="center"/>
        <w:rPr>
          <w:b/>
        </w:rPr>
      </w:pPr>
    </w:p>
    <w:p w:rsidR="00FF2EF1" w:rsidRPr="00C97697" w:rsidRDefault="00FF2EF1" w:rsidP="00FF2EF1">
      <w:pPr>
        <w:pStyle w:val="Betarp"/>
        <w:spacing w:line="360" w:lineRule="auto"/>
        <w:ind w:firstLine="567"/>
      </w:pPr>
      <w:r w:rsidRPr="00C97697">
        <w:t>Magistro baigiamajame darbe išanalizuoti ir įvertinti skirtingi pensijų fondų investavimo reguliavimo metodai, iškeltos šių reguliavimo metodų pritaikymo pensijų fondų veikloje galimybių pagrindinės problemos, įvertinamas II pakopos pensijų fondų investavimo reguliavimas Lietuvoje bei pateikiamos grįstos išvados ir tobulinimo kryptys. Pirmajame skyriuje trumpai aptariamos pensijų sistemų pakopos, nurodomos II pakopos pensijų fondų kūrimosi prielaidos, šių pensijų fondų esmė ir svarba. Taip pat pateikiamos pagrindinės su pensijų fondų veikla susijusios rizikos. Antrame skyriuje išskiriami bei analizuojami pasaulyje egzistuojantys skirtingi pensijų fondų investavimo reguliavimo metodai – apdairus ir griežtas pensijų fondų investavimo reguliavimas. Taip pat analizuojami jų pritaikymą pensijų fondų veikloje lemiantys atskiri veiksniai, tokie kaip patikėjimo teisės samprata, senatvės pensijos mokėjimo būdas (apibrėžtų įmokų ir apibrėžtų išmokų schemos), dalyvavimo pensijų fondų veikloje privalomumas (privalomos, savanoriškos sistemos). Trečiame skyriuje nagrinėjamas ir vertinamas II pakopos pensijų fondų investavimo teisinis reguliavimas Lietuvoje bei su įtvirtintu reguliavimu susijusios problemos.</w:t>
      </w:r>
    </w:p>
    <w:p w:rsidR="00FF2EF1" w:rsidRPr="00C97697" w:rsidRDefault="00FF2EF1" w:rsidP="00FF2EF1">
      <w:pPr>
        <w:pStyle w:val="Betarp"/>
        <w:spacing w:line="360" w:lineRule="auto"/>
        <w:ind w:firstLine="567"/>
      </w:pPr>
      <w:r w:rsidRPr="00C97697">
        <w:rPr>
          <w:b/>
        </w:rPr>
        <w:t xml:space="preserve">Pagrindiniai žodžiai: </w:t>
      </w:r>
      <w:r w:rsidRPr="00C97697">
        <w:t>II pakopos pensijų fondai, investavimo reguliavimas, patikėjimo teisė, investavi</w:t>
      </w:r>
      <w:r w:rsidR="0059208E" w:rsidRPr="00C97697">
        <w:t>mo rizika, finansinis švietimas.</w:t>
      </w:r>
      <w:r w:rsidRPr="00C97697">
        <w:t xml:space="preserve"> </w:t>
      </w:r>
    </w:p>
    <w:p w:rsidR="00445C7E" w:rsidRPr="00C97697" w:rsidRDefault="00445C7E" w:rsidP="00827160">
      <w:pPr>
        <w:pStyle w:val="Betarp"/>
        <w:spacing w:line="360" w:lineRule="auto"/>
        <w:ind w:firstLine="567"/>
      </w:pPr>
      <w:r w:rsidRPr="00C97697">
        <w:t>.</w:t>
      </w:r>
    </w:p>
    <w:p w:rsidR="00445C7E" w:rsidRPr="00C97697" w:rsidRDefault="00445C7E" w:rsidP="00C75B6B">
      <w:pPr>
        <w:pStyle w:val="Betarp"/>
        <w:spacing w:line="360" w:lineRule="auto"/>
        <w:ind w:firstLine="567"/>
        <w:rPr>
          <w:b/>
          <w:lang w:val="en-US"/>
        </w:rPr>
      </w:pPr>
      <w:r w:rsidRPr="00C97697">
        <w:rPr>
          <w:b/>
        </w:rPr>
        <w:t>Jonikaitė I.</w:t>
      </w:r>
      <w:r w:rsidRPr="00C97697">
        <w:t xml:space="preserve"> </w:t>
      </w:r>
      <w:r w:rsidR="00D11521" w:rsidRPr="00C97697">
        <w:rPr>
          <w:lang w:val="en-US"/>
        </w:rPr>
        <w:t xml:space="preserve">Legal regulation of the investment of the second pillar pension funds and the effect thereof on the amount of benefits </w:t>
      </w:r>
      <w:r w:rsidRPr="00C97697">
        <w:t xml:space="preserve">/ </w:t>
      </w:r>
      <w:r w:rsidRPr="00C97697">
        <w:rPr>
          <w:lang w:val="en-US"/>
        </w:rPr>
        <w:t xml:space="preserve">Master‘s Thesis in Financial Law. Supervisor doc. </w:t>
      </w:r>
      <w:proofErr w:type="gramStart"/>
      <w:r w:rsidRPr="00C97697">
        <w:rPr>
          <w:lang w:val="en-US"/>
        </w:rPr>
        <w:t>dr</w:t>
      </w:r>
      <w:proofErr w:type="gramEnd"/>
      <w:r w:rsidRPr="00C97697">
        <w:rPr>
          <w:lang w:val="en-US"/>
        </w:rPr>
        <w:t>. M. Strumskis. – Vilnius: Mykolas Romeris University, Faculty of Economics and Finance</w:t>
      </w:r>
      <w:r w:rsidRPr="00C97697">
        <w:t xml:space="preserve"> Management, </w:t>
      </w:r>
      <w:r w:rsidRPr="00C97697">
        <w:rPr>
          <w:lang w:val="en-US"/>
        </w:rPr>
        <w:t xml:space="preserve">2013. – </w:t>
      </w:r>
      <w:r w:rsidR="00256744" w:rsidRPr="00C97697">
        <w:rPr>
          <w:lang w:val="en-US"/>
        </w:rPr>
        <w:t>6</w:t>
      </w:r>
      <w:r w:rsidR="0008602A" w:rsidRPr="00C97697">
        <w:rPr>
          <w:lang w:val="en-US"/>
        </w:rPr>
        <w:t>5</w:t>
      </w:r>
      <w:r w:rsidR="00ED5E11" w:rsidRPr="00C97697">
        <w:rPr>
          <w:lang w:val="en-US"/>
        </w:rPr>
        <w:t xml:space="preserve"> p.</w:t>
      </w:r>
    </w:p>
    <w:p w:rsidR="00445C7E" w:rsidRPr="00C97697" w:rsidRDefault="00445C7E" w:rsidP="00C75B6B">
      <w:pPr>
        <w:pStyle w:val="Betarp"/>
        <w:spacing w:line="360" w:lineRule="auto"/>
        <w:ind w:firstLine="567"/>
        <w:jc w:val="center"/>
        <w:rPr>
          <w:b/>
          <w:lang w:val="en-US"/>
        </w:rPr>
      </w:pPr>
    </w:p>
    <w:p w:rsidR="00445C7E" w:rsidRPr="00C97697" w:rsidRDefault="00445C7E" w:rsidP="00C75B6B">
      <w:pPr>
        <w:pStyle w:val="Betarp"/>
        <w:spacing w:line="360" w:lineRule="auto"/>
        <w:ind w:firstLine="567"/>
        <w:jc w:val="center"/>
        <w:rPr>
          <w:b/>
          <w:sz w:val="28"/>
          <w:szCs w:val="28"/>
        </w:rPr>
      </w:pPr>
      <w:r w:rsidRPr="00C97697">
        <w:rPr>
          <w:b/>
          <w:sz w:val="28"/>
          <w:szCs w:val="28"/>
        </w:rPr>
        <w:t>ANNOTATION</w:t>
      </w:r>
    </w:p>
    <w:p w:rsidR="004F31CC" w:rsidRPr="00C97697" w:rsidRDefault="004F31CC" w:rsidP="00C75B6B">
      <w:pPr>
        <w:pStyle w:val="Betarp"/>
        <w:spacing w:line="360" w:lineRule="auto"/>
        <w:ind w:firstLine="567"/>
        <w:jc w:val="center"/>
        <w:rPr>
          <w:b/>
        </w:rPr>
      </w:pPr>
    </w:p>
    <w:p w:rsidR="0008602A" w:rsidRPr="00C97697" w:rsidRDefault="0008602A" w:rsidP="0008602A">
      <w:pPr>
        <w:pStyle w:val="Betarp"/>
        <w:spacing w:line="360" w:lineRule="auto"/>
        <w:ind w:firstLine="567"/>
        <w:rPr>
          <w:lang w:val="en-US"/>
        </w:rPr>
      </w:pPr>
      <w:r w:rsidRPr="00C97697">
        <w:rPr>
          <w:lang w:val="en-US"/>
        </w:rPr>
        <w:t xml:space="preserve">The Master’s final thesis covers the analysis and the assessment of different methods of regulation of the investment of pension funds, raising of the main problems of the possibilities of application of such regulation methods in the activities of pension funds, the assessment of the regulation of the investment of the second pillar pension funds in Lithuania, as well as the presentation of reasonable findings and improvement trends. Chapter I covers a brief discussion of the pillars of pension systems, the prerequisites for the development of the second pillar pension funds, as well as </w:t>
      </w:r>
      <w:r w:rsidRPr="00C97697">
        <w:rPr>
          <w:lang w:val="en-US"/>
        </w:rPr>
        <w:lastRenderedPageBreak/>
        <w:t>the essence and the importance of such pension funds. It also covers the presentation of the main risks in connection to the activities of pension funds. Different methods of regulation of the investment of pension funds, existing in the world – cautious and strict regulation of the investment of pension funds, are distinguished and analyzed in Chapter II. Individual factors, determining the application thereof in the activities of pension funds, such as the conception of trust, method of payment of superannuation pension (defined contribution and defined benefit schemes), obligation to participate in the activities of pension funds (mandatory and voluntary systems) are analyzed as well. Chapter III covers the research and the assessment of legal regulation of the investment of the second pillar pension funds in Lithuania as well as the problems in connection to such established regulation.</w:t>
      </w:r>
    </w:p>
    <w:p w:rsidR="00445C7E" w:rsidRPr="00C97697" w:rsidRDefault="0008602A" w:rsidP="0008602A">
      <w:pPr>
        <w:pStyle w:val="Betarp"/>
        <w:spacing w:line="360" w:lineRule="auto"/>
        <w:ind w:firstLine="567"/>
      </w:pPr>
      <w:r w:rsidRPr="00C97697">
        <w:rPr>
          <w:b/>
          <w:lang w:val="en-US"/>
        </w:rPr>
        <w:t>Key words:</w:t>
      </w:r>
      <w:r w:rsidRPr="00C97697">
        <w:rPr>
          <w:lang w:val="en-US"/>
        </w:rPr>
        <w:t xml:space="preserve"> second pillar pension funds, regulation of investment, trust, risk of investment, financial education.</w:t>
      </w:r>
    </w:p>
    <w:p w:rsidR="00445C7E" w:rsidRPr="00C97697" w:rsidRDefault="00445C7E">
      <w:r w:rsidRPr="00C97697">
        <w:br w:type="page"/>
      </w:r>
    </w:p>
    <w:p w:rsidR="00FF2EF1" w:rsidRPr="00C97697" w:rsidRDefault="00FF2EF1" w:rsidP="00FF2EF1">
      <w:pPr>
        <w:pStyle w:val="Betarp"/>
        <w:spacing w:line="360" w:lineRule="auto"/>
        <w:ind w:firstLine="0"/>
        <w:jc w:val="center"/>
        <w:rPr>
          <w:b/>
          <w:sz w:val="28"/>
          <w:szCs w:val="28"/>
        </w:rPr>
      </w:pPr>
      <w:r w:rsidRPr="00C97697">
        <w:rPr>
          <w:b/>
          <w:sz w:val="28"/>
          <w:szCs w:val="28"/>
        </w:rPr>
        <w:lastRenderedPageBreak/>
        <w:t>SANTRAUKA</w:t>
      </w:r>
    </w:p>
    <w:p w:rsidR="00FF2EF1" w:rsidRPr="00C97697" w:rsidRDefault="00FF2EF1" w:rsidP="00FF2EF1">
      <w:pPr>
        <w:pStyle w:val="Betarp"/>
        <w:spacing w:line="360" w:lineRule="auto"/>
        <w:ind w:firstLine="0"/>
        <w:jc w:val="center"/>
        <w:rPr>
          <w:b/>
        </w:rPr>
      </w:pPr>
    </w:p>
    <w:p w:rsidR="00FF2EF1" w:rsidRPr="00C97697" w:rsidRDefault="00FF2EF1" w:rsidP="00FF2EF1">
      <w:pPr>
        <w:pStyle w:val="Betarp"/>
        <w:spacing w:line="360" w:lineRule="auto"/>
        <w:ind w:firstLine="567"/>
        <w:rPr>
          <w:lang w:val="es-ES"/>
        </w:rPr>
      </w:pPr>
      <w:r w:rsidRPr="00C97697">
        <w:rPr>
          <w:b/>
        </w:rPr>
        <w:t>Jonikaitė I.</w:t>
      </w:r>
      <w:r w:rsidRPr="00C97697">
        <w:t xml:space="preserve"> II pakopos pensijų fondų investavimo teisinis reguliavimas, jo įtaka išmokų dydžiui / Finansų teisės magistro baigiamasis darbas. Vadovas doc. dr. M. Strumskis. – Vilnius: Mykolo Romerio Universitetas, Ekonomikos ir finansų valdymo fakultetas, </w:t>
      </w:r>
      <w:r w:rsidRPr="00C97697">
        <w:rPr>
          <w:lang w:val="es-ES"/>
        </w:rPr>
        <w:t xml:space="preserve">2013. –  </w:t>
      </w:r>
      <w:r w:rsidR="00256744" w:rsidRPr="00C97697">
        <w:rPr>
          <w:lang w:val="es-ES"/>
        </w:rPr>
        <w:t>6</w:t>
      </w:r>
      <w:r w:rsidR="0008602A" w:rsidRPr="00C97697">
        <w:rPr>
          <w:lang w:val="es-ES"/>
        </w:rPr>
        <w:t>5</w:t>
      </w:r>
      <w:r w:rsidRPr="00C97697">
        <w:rPr>
          <w:lang w:val="es-ES"/>
        </w:rPr>
        <w:t xml:space="preserve"> p.</w:t>
      </w:r>
    </w:p>
    <w:p w:rsidR="00FF2EF1" w:rsidRPr="00C97697" w:rsidRDefault="00FF2EF1" w:rsidP="00FF2EF1">
      <w:pPr>
        <w:pStyle w:val="Betarp"/>
        <w:spacing w:line="360" w:lineRule="auto"/>
        <w:ind w:firstLine="567"/>
      </w:pPr>
    </w:p>
    <w:p w:rsidR="00FF2EF1" w:rsidRPr="00C97697" w:rsidRDefault="00FF2EF1" w:rsidP="00FF2EF1">
      <w:pPr>
        <w:pStyle w:val="Betarp"/>
        <w:spacing w:line="360" w:lineRule="auto"/>
        <w:ind w:firstLine="567"/>
      </w:pPr>
      <w:r w:rsidRPr="00C97697">
        <w:t>Šiame darbe autorė analizuoja II pakopos pensijų fondų investavimo teisinį reguliavimą. Daugelis ES valstybių narių, dėl blogėjančių demografinių ir socialinių veiksnių, ėmėsi veiksmų reformuoti savo pensijų sistemas, įvesdamos ir plėtodamos finansavimo elementus, papildančius tradicines einamųjų finansavimo sistemų struktūras. II pakopos pensijų fondai suteikia žmonėms galimybę taupyti dalį valstybinio socialinio draudimo įmokų ir jas didinti, investuojant kapitalo rinkoje. Tyrimais nustatyta, kad net 80-90 % investicinės grąžos lemia strateginis turto paskirstymas bei rinkų parinkimas. Tačiau pensijų fondai yra priklausomi nuo galimų rizikų, todėl tik tinkamas investavimo reguliavimas sudaro prielaidas efektyviai pensijų fondų veiklai bei didesnių pajamų užtikrinimui asmenims, sulaukus senatvės pensijos amžiaus. Taip pat užtikrina, kad atėjus laikui pensijų fondai bus pajėgūs vykdyti prisiimtus įsipareigojimus.</w:t>
      </w:r>
    </w:p>
    <w:p w:rsidR="00FF2EF1" w:rsidRPr="00C97697" w:rsidRDefault="00FF2EF1" w:rsidP="00FF2EF1">
      <w:pPr>
        <w:pStyle w:val="Betarp"/>
        <w:spacing w:line="360" w:lineRule="auto"/>
        <w:ind w:firstLine="567"/>
      </w:pPr>
      <w:r w:rsidRPr="00C97697">
        <w:t xml:space="preserve">Autorė, analizuodama TEBIPO ir ES tyrimus bei kitus jų dokumentus, taip pat remdamasi atitinkamomis ES ir Lietuvos Respublikos teisės aktų nuostatomis, Lietuvos bei užsienio mokslininkų darbais, siekia nustatyti pensijų fondų veiklos galimas rizikas ir pateikti skirtingų pensijų fondų investavimo reguliavimo metodų - apdairaus ir griežto pensijų fondų investavimo reguliavimo bei konkrečių galimų veiksnių, įtakojančių, kodėl pensijų fondų veikloje taikomas tam tikras reguliavimo metodas, analizę. Taip pat vertinant Lietuvoje veikiančių II pakopos pensijų fondų investavimo reguliavimą ir išskiriant su tuo susijusias problemas, pateikti grįstas išvadas ir tobulinimo kryptis. Tyrime </w:t>
      </w:r>
      <w:r w:rsidRPr="00C97697">
        <w:rPr>
          <w:lang w:val="es-ES"/>
        </w:rPr>
        <w:t>naudojamasi istoriniu, sisteminės analizės, apibendrinimo, analitiniu, lyginimo, dedukcijos ir loginiu metodais.</w:t>
      </w:r>
    </w:p>
    <w:p w:rsidR="00FF2EF1" w:rsidRPr="00C97697" w:rsidRDefault="00FF2EF1" w:rsidP="00FF2EF1">
      <w:pPr>
        <w:pStyle w:val="Betarp"/>
        <w:spacing w:line="360" w:lineRule="auto"/>
        <w:ind w:firstLine="567"/>
      </w:pPr>
      <w:r w:rsidRPr="00C97697">
        <w:t xml:space="preserve">Darbe keliama hipotezė, kad dabartinis II pakopos pensijų fondų investavimo teisinis reguliavimas Lietuvoje neužtikrina sėkmingos pensijų fondų veiklos ir pensijų kaupimo dalyvių interesų saugumo. Darbo pabaigoje autorė prieina išvados, kad ši hipotezė pasitvirtino. Pagrindinės tokios išvados priežastys – griežtas šių pensijų fondų investavimo teisinis reguliavimas, neleidžiantis rinkos dalyviams prisiderinti prie rinkos pokyčių bei pačių pensijų fondų nesuinteresuotumas dirbti pelningai dalyvių naudai, kadangi net ir neigiamos ar nepakankamos investicijų grąžos atveju, kaupimo ir investavimo veiklą vykdančios pensijų kaupimo bendrovės, gauna pajamas, pensijų kaupimo dalyvių sukaupto turto mažėjimo sąskaita. Tuo tarpu visa atsakomybė dėl rizikos bei nuostolingos veiklos tenka dalyviams, o patys pensijų fondai už žmonių patikėtų pinigų praradimą nėra niekam atsakingi. Nei valstybė, nei pensijų fondai negarantuoja būsimos kaupiamosios pensijos </w:t>
      </w:r>
      <w:r w:rsidRPr="00C97697">
        <w:lastRenderedPageBreak/>
        <w:t>dydžio. Pensijų fondų dalyvis gali įtakoti rezultatą – keisti pensijų fondą ar pereiti į kitą pensijų kaupimo bendrovę. Tačiau sąmoningam ir pagrįstam pasirinkimui būtina išmanyti finansinius klausimus. Todėl neabejotinai egzistuoja poreikis tobulinti pensijų fondų veiklos reguliavimą.</w:t>
      </w:r>
    </w:p>
    <w:p w:rsidR="004F31CC" w:rsidRPr="00C97697" w:rsidRDefault="004F31CC" w:rsidP="00186B35">
      <w:pPr>
        <w:pStyle w:val="Betarp"/>
        <w:spacing w:line="360" w:lineRule="auto"/>
        <w:ind w:firstLine="567"/>
      </w:pPr>
    </w:p>
    <w:p w:rsidR="004F31CC" w:rsidRPr="00C97697" w:rsidRDefault="004F31CC" w:rsidP="00186B35">
      <w:pPr>
        <w:pStyle w:val="Betarp"/>
        <w:spacing w:line="360" w:lineRule="auto"/>
        <w:ind w:firstLine="567"/>
      </w:pPr>
    </w:p>
    <w:p w:rsidR="00445C7E" w:rsidRPr="00C97697" w:rsidRDefault="00006B64" w:rsidP="004F31CC">
      <w:pPr>
        <w:spacing w:after="0" w:line="240" w:lineRule="auto"/>
      </w:pPr>
      <w:r w:rsidRPr="00C97697">
        <w:t xml:space="preserve"> </w:t>
      </w:r>
      <w:r w:rsidR="0038697F" w:rsidRPr="00C97697">
        <w:br w:type="page"/>
      </w:r>
    </w:p>
    <w:p w:rsidR="00A54397" w:rsidRPr="00C97697" w:rsidRDefault="00A54397" w:rsidP="00A54397">
      <w:pPr>
        <w:pStyle w:val="Betarp"/>
        <w:spacing w:line="360" w:lineRule="auto"/>
        <w:ind w:firstLine="0"/>
        <w:jc w:val="center"/>
        <w:rPr>
          <w:b/>
          <w:sz w:val="28"/>
          <w:szCs w:val="28"/>
        </w:rPr>
      </w:pPr>
      <w:r w:rsidRPr="00C97697">
        <w:rPr>
          <w:b/>
          <w:sz w:val="28"/>
          <w:szCs w:val="28"/>
        </w:rPr>
        <w:lastRenderedPageBreak/>
        <w:t>SUMMARY</w:t>
      </w:r>
    </w:p>
    <w:p w:rsidR="00A54397" w:rsidRPr="00C97697" w:rsidRDefault="00A54397" w:rsidP="00827160">
      <w:pPr>
        <w:pStyle w:val="Betarp"/>
        <w:spacing w:line="360" w:lineRule="auto"/>
        <w:ind w:firstLine="567"/>
        <w:rPr>
          <w:b/>
        </w:rPr>
      </w:pPr>
    </w:p>
    <w:p w:rsidR="00FF2EF1" w:rsidRPr="00C97697" w:rsidRDefault="00FF2EF1" w:rsidP="00FF2EF1">
      <w:pPr>
        <w:pStyle w:val="Betarp"/>
        <w:spacing w:line="360" w:lineRule="auto"/>
        <w:ind w:firstLine="567"/>
        <w:rPr>
          <w:lang w:val="en-US"/>
        </w:rPr>
      </w:pPr>
      <w:r w:rsidRPr="00C97697">
        <w:rPr>
          <w:b/>
        </w:rPr>
        <w:t>Jonikaitė I.</w:t>
      </w:r>
      <w:r w:rsidRPr="00C97697">
        <w:t xml:space="preserve"> </w:t>
      </w:r>
      <w:r w:rsidR="0008602A" w:rsidRPr="00C97697">
        <w:rPr>
          <w:lang w:val="en-US"/>
        </w:rPr>
        <w:t xml:space="preserve">Legal regulation of the investment of the second pillar pension funds and the effect thereof on the amount of benefits </w:t>
      </w:r>
      <w:r w:rsidRPr="00C97697">
        <w:t xml:space="preserve">/ </w:t>
      </w:r>
      <w:r w:rsidRPr="00C97697">
        <w:rPr>
          <w:lang w:val="en-US"/>
        </w:rPr>
        <w:t xml:space="preserve">Master‘s Thesis in Financial Law. Supervisor doc. </w:t>
      </w:r>
      <w:proofErr w:type="gramStart"/>
      <w:r w:rsidRPr="00C97697">
        <w:rPr>
          <w:lang w:val="en-US"/>
        </w:rPr>
        <w:t>dr</w:t>
      </w:r>
      <w:proofErr w:type="gramEnd"/>
      <w:r w:rsidRPr="00C97697">
        <w:rPr>
          <w:lang w:val="en-US"/>
        </w:rPr>
        <w:t>. M. Strumskis. – Vilnius: Mykolas Romeris University, Faculty of Economics and Finance</w:t>
      </w:r>
      <w:r w:rsidRPr="00C97697">
        <w:t xml:space="preserve"> Management, </w:t>
      </w:r>
      <w:r w:rsidRPr="00C97697">
        <w:rPr>
          <w:lang w:val="en-US"/>
        </w:rPr>
        <w:t xml:space="preserve">2013. – </w:t>
      </w:r>
      <w:r w:rsidR="00256744" w:rsidRPr="00C97697">
        <w:rPr>
          <w:lang w:val="en-US"/>
        </w:rPr>
        <w:t>6</w:t>
      </w:r>
      <w:r w:rsidR="0008602A" w:rsidRPr="00C97697">
        <w:rPr>
          <w:lang w:val="en-US"/>
        </w:rPr>
        <w:t>5</w:t>
      </w:r>
      <w:r w:rsidRPr="00C97697">
        <w:rPr>
          <w:lang w:val="en-US"/>
        </w:rPr>
        <w:t xml:space="preserve"> p.</w:t>
      </w:r>
    </w:p>
    <w:p w:rsidR="0008602A" w:rsidRPr="00C97697" w:rsidRDefault="0008602A" w:rsidP="00FF2EF1">
      <w:pPr>
        <w:pStyle w:val="Betarp"/>
        <w:spacing w:line="360" w:lineRule="auto"/>
        <w:ind w:firstLine="567"/>
        <w:rPr>
          <w:lang w:val="en-US"/>
        </w:rPr>
      </w:pPr>
    </w:p>
    <w:p w:rsidR="0008602A" w:rsidRPr="00C97697" w:rsidRDefault="0008602A" w:rsidP="0008602A">
      <w:pPr>
        <w:pStyle w:val="Betarp"/>
        <w:spacing w:line="360" w:lineRule="auto"/>
        <w:ind w:firstLine="567"/>
        <w:rPr>
          <w:lang w:val="en-US"/>
        </w:rPr>
      </w:pPr>
      <w:r w:rsidRPr="00C97697">
        <w:rPr>
          <w:lang w:val="en-US"/>
        </w:rPr>
        <w:t>The author analyzes the legal regulation of the investment of the second pillar pension funds. Many EU member states, due to deteriorating demographic and social factors, have taken steps to reform their pension systems through introduction and development of financing elements, complementing the traditional structures of current financing systems. The second pillar pension funds enable the people saving a portion of the state social insurance contributions and increasing the same through the investment on the capital market. The surveys demonstrate that 80-90 % of the return on investment is determined by the strategic distribution of the assets as well as selection of the markets. However, the pension funds are dependent on the eventual risks, therefore, only due regulation of investment form the prerequisites for the efficient activities of pension funds as well as security of higher income for the individuals after reaching the superannuation age. It also ensures that, when the time comes, the pension funds will be able to perform the obligations assumed.</w:t>
      </w:r>
    </w:p>
    <w:p w:rsidR="0008602A" w:rsidRPr="00C97697" w:rsidRDefault="0008602A" w:rsidP="0008602A">
      <w:pPr>
        <w:pStyle w:val="Betarp"/>
        <w:spacing w:line="360" w:lineRule="auto"/>
        <w:ind w:firstLine="567"/>
        <w:rPr>
          <w:lang w:val="en-US"/>
        </w:rPr>
      </w:pPr>
      <w:r w:rsidRPr="00C97697">
        <w:rPr>
          <w:lang w:val="en-US"/>
        </w:rPr>
        <w:t xml:space="preserve">The author, analyzing the surveys, carried out by OECD (Organization for Economic Co-operation and Development) and the EU, as well as such other documents, moreover, with reference to respective provisions of legal acts of the EU and the Republic of Lithuania, works of Lithuanian and foreign scholars, aspires after identifying the eventual risks of the activities of pension funds and presenting the analysis of different methods of regulation of the investment of pension funds – cautious and strict regulation of the investment of pension funds, and specific eventual factors, affecting the application of certain method of regulation in the activities of pension funds. Also, in consideration of the regulation of the investment of the second pillar pension funds, operating in </w:t>
      </w:r>
      <w:smartTag w:uri="urn:schemas-microsoft-com:office:smarttags" w:element="place">
        <w:smartTag w:uri="urn:schemas-microsoft-com:office:smarttags" w:element="country-region">
          <w:r w:rsidRPr="00C97697">
            <w:rPr>
              <w:lang w:val="en-US"/>
            </w:rPr>
            <w:t>Lithuania</w:t>
          </w:r>
        </w:smartTag>
      </w:smartTag>
      <w:r w:rsidRPr="00C97697">
        <w:rPr>
          <w:lang w:val="en-US"/>
        </w:rPr>
        <w:t>, and distinguishing relevant problems, to present reasonable findings and improvement trends. The survey was carried out with the help of historical, system analysis, summary, analytical, comparative, deductive, and logical methods.</w:t>
      </w:r>
    </w:p>
    <w:p w:rsidR="0008602A" w:rsidRPr="00C97697" w:rsidRDefault="0008602A" w:rsidP="0008602A">
      <w:pPr>
        <w:pStyle w:val="Betarp"/>
        <w:spacing w:line="360" w:lineRule="auto"/>
        <w:ind w:firstLine="567"/>
        <w:rPr>
          <w:lang w:val="en-US"/>
        </w:rPr>
      </w:pPr>
      <w:r w:rsidRPr="00C97697">
        <w:rPr>
          <w:lang w:val="en-US"/>
        </w:rPr>
        <w:t xml:space="preserve">It is hypothesized that the present-day’s legal regulation of the investment of the second pillar pension funds in Lithuania does not ensure successful activities of pension funds and the security of interests of participants in pension funds. The author arrives at a conclusion that this hypothesis is true. The main reasons to such conclusion are as follows: strict legal regulation of the investment of such funds, preventing the market makers from accommodating to the market changes, as well as disinterest of pension funds in working at a profit on behalf of the participants, since even in case of negative or </w:t>
      </w:r>
      <w:r w:rsidRPr="00C97697">
        <w:rPr>
          <w:lang w:val="en-US"/>
        </w:rPr>
        <w:lastRenderedPageBreak/>
        <w:t>insufficient return on investment, the pension accumulation companies, performing the accumulation and investment activities, earn income at the expense of decrease in the assets, accumulated by the pension accumulation participants. Meanwhile all liability as to the risk as well as detrimental activities is borne by the participants and the pension funds are not accountable for the loss of money, entrusted to them by the people, to nobody. Neither the state nor the pension funds guarantee the amount of future accumulation pension. A participant in the pension funds can affect the result – change the pension fund or go to another pension accumulation company. However, the knowledge of the financial matters is mandatory for a willful and reasonable choice. Therefore, there is no doubt of a need to improve the regulation of the activities of pension funds.</w:t>
      </w:r>
    </w:p>
    <w:p w:rsidR="0008602A" w:rsidRPr="00ED5E11" w:rsidRDefault="0008602A" w:rsidP="00FF2EF1">
      <w:pPr>
        <w:pStyle w:val="Betarp"/>
        <w:spacing w:line="360" w:lineRule="auto"/>
        <w:ind w:firstLine="567"/>
        <w:rPr>
          <w:b/>
          <w:lang w:val="en-US"/>
        </w:rPr>
      </w:pPr>
    </w:p>
    <w:p w:rsidR="002C4292" w:rsidRPr="00FF2EF1" w:rsidRDefault="002C4292" w:rsidP="00827160">
      <w:pPr>
        <w:pStyle w:val="Betarp"/>
        <w:spacing w:line="360" w:lineRule="auto"/>
        <w:ind w:firstLine="567"/>
        <w:rPr>
          <w:b/>
          <w:lang w:val="en-US"/>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827160">
      <w:pPr>
        <w:pStyle w:val="Betarp"/>
        <w:spacing w:line="360" w:lineRule="auto"/>
        <w:ind w:firstLine="567"/>
        <w:rPr>
          <w:b/>
        </w:rPr>
      </w:pPr>
    </w:p>
    <w:p w:rsidR="002C4292" w:rsidRDefault="002C4292" w:rsidP="00490651">
      <w:pPr>
        <w:pStyle w:val="Betarp"/>
        <w:spacing w:line="360" w:lineRule="auto"/>
        <w:ind w:firstLine="567"/>
        <w:jc w:val="left"/>
        <w:rPr>
          <w:b/>
        </w:rPr>
      </w:pPr>
    </w:p>
    <w:p w:rsidR="00D34116" w:rsidRPr="00002340" w:rsidRDefault="00490651" w:rsidP="008F3BAA">
      <w:pPr>
        <w:pStyle w:val="Betarp"/>
        <w:spacing w:line="360" w:lineRule="auto"/>
        <w:ind w:firstLine="567"/>
        <w:jc w:val="left"/>
        <w:rPr>
          <w:color w:val="0070C0"/>
          <w:lang w:val="en-US"/>
        </w:rPr>
      </w:pPr>
      <w:r>
        <w:t xml:space="preserve">                                                                                               </w:t>
      </w:r>
    </w:p>
    <w:p w:rsidR="00445C7E" w:rsidRPr="00791A2B" w:rsidRDefault="00445C7E" w:rsidP="00827160">
      <w:pPr>
        <w:pStyle w:val="Betarp"/>
        <w:spacing w:line="360" w:lineRule="auto"/>
        <w:ind w:firstLine="567"/>
        <w:rPr>
          <w:b/>
        </w:rPr>
      </w:pPr>
    </w:p>
    <w:sectPr w:rsidR="00445C7E" w:rsidRPr="00791A2B" w:rsidSect="006C2926">
      <w:headerReference w:type="default" r:id="rId58"/>
      <w:headerReference w:type="first" r:id="rId59"/>
      <w:pgSz w:w="11906" w:h="16838" w:code="9"/>
      <w:pgMar w:top="1134" w:right="567" w:bottom="1134" w:left="1418" w:header="567" w:footer="567" w:gutter="0"/>
      <w:pgNumType w:start="6"/>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12" w:rsidRDefault="00173912" w:rsidP="00C11C10">
      <w:pPr>
        <w:spacing w:after="0" w:line="240" w:lineRule="auto"/>
      </w:pPr>
      <w:r>
        <w:separator/>
      </w:r>
    </w:p>
  </w:endnote>
  <w:endnote w:type="continuationSeparator" w:id="0">
    <w:p w:rsidR="00173912" w:rsidRDefault="00173912" w:rsidP="00C1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IFCED+TimesNewRoman,Bold">
    <w:altName w:val="Times New Roman"/>
    <w:panose1 w:val="00000000000000000000"/>
    <w:charset w:val="00"/>
    <w:family w:val="roman"/>
    <w:notTrueType/>
    <w:pitch w:val="default"/>
    <w:sig w:usb0="00000003" w:usb1="00000000" w:usb2="00000000" w:usb3="00000000" w:csb0="00000001" w:csb1="00000000"/>
  </w:font>
  <w:font w:name="MSTT31ca07">
    <w:altName w:val="Times New Roman"/>
    <w:panose1 w:val="00000000000000000000"/>
    <w:charset w:val="00"/>
    <w:family w:val="auto"/>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7" w:usb1="08070000" w:usb2="00000010" w:usb3="00000000" w:csb0="00020003" w:csb1="00000000"/>
  </w:font>
  <w:font w:name="Minion Pro">
    <w:altName w:val="Minion Pro"/>
    <w:panose1 w:val="00000000000000000000"/>
    <w:charset w:val="EE"/>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12" w:rsidRDefault="00173912" w:rsidP="00C11C10">
      <w:pPr>
        <w:spacing w:after="0" w:line="240" w:lineRule="auto"/>
      </w:pPr>
      <w:r>
        <w:separator/>
      </w:r>
    </w:p>
  </w:footnote>
  <w:footnote w:type="continuationSeparator" w:id="0">
    <w:p w:rsidR="00173912" w:rsidRDefault="00173912" w:rsidP="00C11C10">
      <w:pPr>
        <w:spacing w:after="0" w:line="240" w:lineRule="auto"/>
      </w:pPr>
      <w:r>
        <w:continuationSeparator/>
      </w:r>
    </w:p>
  </w:footnote>
  <w:footnote w:id="1">
    <w:p w:rsidR="00F5222E" w:rsidRPr="00490651" w:rsidRDefault="00F5222E" w:rsidP="004A643F">
      <w:pPr>
        <w:pStyle w:val="Puslapioinaostekstas"/>
        <w:ind w:firstLine="0"/>
        <w:rPr>
          <w:lang w:val="en-US"/>
        </w:rPr>
      </w:pPr>
      <w:r w:rsidRPr="00490651">
        <w:rPr>
          <w:rStyle w:val="Puslapioinaosnuoroda"/>
        </w:rPr>
        <w:footnoteRef/>
      </w:r>
      <w:r w:rsidRPr="00490651">
        <w:t xml:space="preserve"> Lakštutienė A., Pensijų fondų formavimo problemos // Ekonomika ir vadyba – 99: aktualijos ir metodologija: tarptautinės konferencijos pranešimų medžiaga, [1999 balandžio </w:t>
      </w:r>
      <w:r w:rsidRPr="00490651">
        <w:rPr>
          <w:lang w:val="es-ES"/>
        </w:rPr>
        <w:t>22</w:t>
      </w:r>
      <w:r w:rsidRPr="00490651">
        <w:rPr>
          <w:lang w:val="en-US"/>
        </w:rPr>
        <w:t>-23 d.]. -</w:t>
      </w:r>
      <w:r w:rsidRPr="00490651">
        <w:t xml:space="preserve"> Kaunas: Technologija, </w:t>
      </w:r>
      <w:r w:rsidRPr="00490651">
        <w:rPr>
          <w:lang w:val="es-ES"/>
        </w:rPr>
        <w:t>1999. p. 173</w:t>
      </w:r>
      <w:r w:rsidRPr="00490651">
        <w:rPr>
          <w:lang w:val="en-US"/>
        </w:rPr>
        <w:t>-175.</w:t>
      </w:r>
    </w:p>
  </w:footnote>
  <w:footnote w:id="2">
    <w:p w:rsidR="00F5222E" w:rsidRPr="00490651" w:rsidRDefault="00F5222E" w:rsidP="00C23EA3">
      <w:pPr>
        <w:pStyle w:val="Puslapioinaostekstas"/>
        <w:ind w:firstLine="0"/>
      </w:pPr>
      <w:r w:rsidRPr="00490651">
        <w:rPr>
          <w:rStyle w:val="Puslapioinaosnuoroda"/>
        </w:rPr>
        <w:footnoteRef/>
      </w:r>
      <w:r w:rsidRPr="00490651">
        <w:t xml:space="preserve"> Gudaitis T. Senatvės pensijų sistemos modelių teorinė analizė // Organizacijų vadyba: sisteminiai tyrimai. Vilnius: Vilniaus Universitetas, 2009, Nr. 50. – ISSN 1392-1142,  p. 58 – 59.</w:t>
      </w:r>
    </w:p>
  </w:footnote>
  <w:footnote w:id="3">
    <w:p w:rsidR="00F5222E" w:rsidRPr="00490651" w:rsidRDefault="00F5222E" w:rsidP="009F59D8">
      <w:pPr>
        <w:pStyle w:val="Puslapioinaostekstas"/>
        <w:ind w:firstLine="0"/>
      </w:pPr>
      <w:r w:rsidRPr="00490651">
        <w:rPr>
          <w:rStyle w:val="Puslapioinaosnuoroda"/>
        </w:rPr>
        <w:footnoteRef/>
      </w:r>
      <w:r w:rsidRPr="00490651">
        <w:t xml:space="preserve"> Bitinas A. Lietuvos pensijų sistemos modelis ir pensijų garantijų perspektyvos // Jurisprudencija: mokslo darbai. – Vilnius: Mykolo Romerio Universitetas, 2008, Nr. 8(110), p. 18-26. – ISNN 1392-6195, p. 20.</w:t>
      </w:r>
    </w:p>
  </w:footnote>
  <w:footnote w:id="4">
    <w:p w:rsidR="00F5222E" w:rsidRPr="00490651" w:rsidRDefault="00F5222E" w:rsidP="009F59D8">
      <w:pPr>
        <w:pStyle w:val="Puslapioinaostekstas"/>
        <w:ind w:firstLine="0"/>
      </w:pPr>
      <w:r w:rsidRPr="00490651">
        <w:rPr>
          <w:rStyle w:val="Puslapioinaosnuoroda"/>
        </w:rPr>
        <w:footnoteRef/>
      </w:r>
      <w:r w:rsidRPr="00490651">
        <w:t xml:space="preserve"> Aleknevičienė V. Finansai ir kreditas: vadovėlis. – Vilnius: Enciklopedija, 2005. – 268 p. - ISBN: 9986433355,  p. 50.</w:t>
      </w:r>
    </w:p>
  </w:footnote>
  <w:footnote w:id="5">
    <w:p w:rsidR="00F5222E" w:rsidRPr="00490651" w:rsidRDefault="00F5222E" w:rsidP="008C7EB9">
      <w:pPr>
        <w:pStyle w:val="Puslapioinaostekstas"/>
        <w:ind w:firstLine="0"/>
        <w:rPr>
          <w:lang w:val="en-US"/>
        </w:rPr>
      </w:pPr>
      <w:r w:rsidRPr="00490651">
        <w:rPr>
          <w:rStyle w:val="Puslapioinaosnuoroda"/>
        </w:rPr>
        <w:footnoteRef/>
      </w:r>
      <w:r w:rsidRPr="00490651">
        <w:t xml:space="preserve"> </w:t>
      </w:r>
      <w:proofErr w:type="gramStart"/>
      <w:r w:rsidRPr="00490651">
        <w:rPr>
          <w:lang w:val="en-US"/>
        </w:rPr>
        <w:t>Muralidhar A. Innovations in Pension Fund Management, 2001.</w:t>
      </w:r>
      <w:proofErr w:type="gramEnd"/>
      <w:r w:rsidRPr="00490651">
        <w:rPr>
          <w:lang w:val="en-US"/>
        </w:rPr>
        <w:t xml:space="preserve"> </w:t>
      </w:r>
    </w:p>
    <w:p w:rsidR="00F5222E" w:rsidRPr="00490651" w:rsidRDefault="00173912" w:rsidP="008C7EB9">
      <w:pPr>
        <w:pStyle w:val="Puslapioinaostekstas"/>
        <w:ind w:firstLine="0"/>
        <w:rPr>
          <w:lang w:val="es-ES"/>
        </w:rPr>
      </w:pPr>
      <w:hyperlink r:id="rId1" w:history="1">
        <w:r w:rsidR="00F5222E" w:rsidRPr="00490651">
          <w:rPr>
            <w:rStyle w:val="Hipersaitas"/>
            <w:color w:val="auto"/>
            <w:u w:val="none"/>
            <w:lang w:val="es-ES"/>
          </w:rPr>
          <w:t>http://www.sup.org/html/book_pages/0804745218/Chapter_1.pdf</w:t>
        </w:r>
      </w:hyperlink>
      <w:r w:rsidR="00F5222E" w:rsidRPr="00490651">
        <w:rPr>
          <w:lang w:val="es-ES"/>
        </w:rPr>
        <w:t xml:space="preserve"> [</w:t>
      </w:r>
      <w:r w:rsidR="00F5222E" w:rsidRPr="00490651">
        <w:t xml:space="preserve">žiūrėta </w:t>
      </w:r>
      <w:r w:rsidR="00F5222E" w:rsidRPr="00490651">
        <w:rPr>
          <w:lang w:val="es-ES"/>
        </w:rPr>
        <w:t>2013 01 31]. p. 10.</w:t>
      </w:r>
    </w:p>
  </w:footnote>
  <w:footnote w:id="6">
    <w:p w:rsidR="00F5222E" w:rsidRPr="00490651" w:rsidRDefault="00F5222E" w:rsidP="00220A32">
      <w:pPr>
        <w:pStyle w:val="Puslapioinaostekstas"/>
        <w:ind w:firstLine="0"/>
      </w:pPr>
      <w:r w:rsidRPr="00490651">
        <w:rPr>
          <w:rStyle w:val="Puslapioinaosnuoroda"/>
        </w:rPr>
        <w:footnoteRef/>
      </w:r>
      <w:r w:rsidRPr="00490651">
        <w:t xml:space="preserve"> Bulotaitė E., Slavickienė A. Finansų rinką įtakojantys privačių pensijų fondų veiksniai // Vadybos mokslas ir studijos – kaimo verslų ir jų infrastruktūros plėtrai: mokslo darbai. – Kaunas: Lietuvos žemės ūkio universitetas, 2009, Nr. 16 (1) p. 23-29. -  ISSN 1822-6760, p. 23.</w:t>
      </w:r>
    </w:p>
  </w:footnote>
  <w:footnote w:id="7">
    <w:p w:rsidR="00F5222E" w:rsidRPr="00490651" w:rsidRDefault="00F5222E" w:rsidP="0068798F">
      <w:pPr>
        <w:pStyle w:val="Puslapioinaostekstas"/>
        <w:ind w:firstLine="0"/>
      </w:pPr>
      <w:r w:rsidRPr="00490651">
        <w:rPr>
          <w:rStyle w:val="Puslapioinaosnuoroda"/>
        </w:rPr>
        <w:footnoteRef/>
      </w:r>
      <w:r w:rsidRPr="00490651">
        <w:t xml:space="preserve"> Lazutka R. Pensijų ekonomikos principų taikymas ir Lietuvos pensijų reformos numatomos pasekmės, I ataskaitos dalis. // Atviros Lietuvos fondas, Viešosios politikos projektai. Vilnius, 2002. </w:t>
      </w:r>
    </w:p>
    <w:p w:rsidR="00F5222E" w:rsidRPr="00490651" w:rsidRDefault="00F5222E" w:rsidP="0068798F">
      <w:pPr>
        <w:pStyle w:val="Puslapioinaostekstas"/>
        <w:ind w:firstLine="0"/>
      </w:pPr>
      <w:r w:rsidRPr="00490651">
        <w:t xml:space="preserve"> </w:t>
      </w:r>
      <w:hyperlink r:id="rId2" w:history="1">
        <w:r w:rsidRPr="00490651">
          <w:rPr>
            <w:rStyle w:val="Hipersaitas"/>
            <w:color w:val="auto"/>
            <w:u w:val="none"/>
          </w:rPr>
          <w:t>http://politika.osf.lt/eurointegracija/santraukos/dalyvavimaspensijureformoje.htm</w:t>
        </w:r>
      </w:hyperlink>
      <w:r w:rsidRPr="00490651">
        <w:t xml:space="preserve"> [žiūrėta 2013 02 26]. p. 1.</w:t>
      </w:r>
    </w:p>
  </w:footnote>
  <w:footnote w:id="8">
    <w:p w:rsidR="00F5222E" w:rsidRPr="00490651" w:rsidRDefault="00F5222E" w:rsidP="00A9259E">
      <w:pPr>
        <w:pStyle w:val="Puslapioinaostekstas"/>
        <w:ind w:firstLine="0"/>
      </w:pPr>
      <w:r w:rsidRPr="00490651">
        <w:rPr>
          <w:rStyle w:val="Puslapioinaosnuoroda"/>
        </w:rPr>
        <w:footnoteRef/>
      </w:r>
      <w:r w:rsidRPr="00490651">
        <w:t xml:space="preserve"> Europos Komisijos Žalioji knyga. Adekvačios, tvarios ir saugios Europos pensijų sistemos. - Briuselis, </w:t>
      </w:r>
      <w:r w:rsidRPr="00490651">
        <w:rPr>
          <w:lang w:val="es-ES"/>
        </w:rPr>
        <w:t>2010.7.7, KOM (2010) 365 galutinis.</w:t>
      </w:r>
      <w:r w:rsidRPr="00490651">
        <w:t xml:space="preserve">.  </w:t>
      </w:r>
      <w:hyperlink r:id="rId3" w:history="1">
        <w:r w:rsidRPr="00490651">
          <w:rPr>
            <w:rStyle w:val="Hipersaitas"/>
            <w:color w:val="auto"/>
            <w:u w:val="none"/>
          </w:rPr>
          <w:t>http://www.ldf.lt/get.php?f.3211</w:t>
        </w:r>
      </w:hyperlink>
      <w:r w:rsidRPr="00490651">
        <w:t xml:space="preserve"> [žiūrėta 2013 03 21]. p. 4</w:t>
      </w:r>
    </w:p>
  </w:footnote>
  <w:footnote w:id="9">
    <w:p w:rsidR="00F5222E" w:rsidRPr="00490651" w:rsidRDefault="00F5222E" w:rsidP="00930B0A">
      <w:pPr>
        <w:pStyle w:val="Puslapioinaostekstas"/>
        <w:ind w:firstLine="0"/>
        <w:rPr>
          <w:lang w:val="en-US"/>
        </w:rPr>
      </w:pPr>
      <w:r w:rsidRPr="00490651">
        <w:rPr>
          <w:rStyle w:val="Puslapioinaosnuoroda"/>
        </w:rPr>
        <w:footnoteRef/>
      </w:r>
      <w:r w:rsidRPr="00490651">
        <w:t xml:space="preserve"> </w:t>
      </w:r>
      <w:r w:rsidRPr="00490651">
        <w:rPr>
          <w:lang w:val="en-US"/>
        </w:rPr>
        <w:t>The effect of cross-border investment restrictions on certain pension schemes in the EU.</w:t>
      </w:r>
      <w:r w:rsidRPr="00490651">
        <w:rPr>
          <w:i/>
          <w:lang w:val="en-US"/>
        </w:rPr>
        <w:t xml:space="preserve"> </w:t>
      </w:r>
      <w:r w:rsidRPr="00490651">
        <w:rPr>
          <w:lang w:val="en-US"/>
        </w:rPr>
        <w:t xml:space="preserve">– Belgium, 2007. </w:t>
      </w:r>
    </w:p>
    <w:p w:rsidR="00F5222E" w:rsidRPr="00490651" w:rsidRDefault="00F5222E" w:rsidP="00930B0A">
      <w:pPr>
        <w:pStyle w:val="Puslapioinaostekstas"/>
        <w:ind w:firstLine="0"/>
        <w:rPr>
          <w:lang w:val="es-ES"/>
        </w:rPr>
      </w:pPr>
      <w:r w:rsidRPr="00490651">
        <w:rPr>
          <w:lang w:val="en-US"/>
        </w:rPr>
        <w:t xml:space="preserve"> </w:t>
      </w:r>
      <w:hyperlink r:id="rId4" w:history="1">
        <w:r w:rsidRPr="00490651">
          <w:rPr>
            <w:rStyle w:val="Hipersaitas"/>
            <w:color w:val="auto"/>
            <w:u w:val="none"/>
            <w:lang w:val="es-ES"/>
          </w:rPr>
          <w:t>http://ec.europa.eu/internal_market/capital/docs/oxera_report_en.pdf</w:t>
        </w:r>
      </w:hyperlink>
      <w:r w:rsidRPr="00490651">
        <w:rPr>
          <w:i/>
          <w:lang w:val="es-ES"/>
        </w:rPr>
        <w:t xml:space="preserve"> </w:t>
      </w:r>
      <w:r w:rsidRPr="00490651">
        <w:rPr>
          <w:lang w:val="es-ES"/>
        </w:rPr>
        <w:t>[</w:t>
      </w:r>
      <w:r w:rsidRPr="00490651">
        <w:t xml:space="preserve">žiūrėta </w:t>
      </w:r>
      <w:r w:rsidRPr="00490651">
        <w:rPr>
          <w:lang w:val="es-ES"/>
        </w:rPr>
        <w:t>2013 02 26]. p. 4.</w:t>
      </w:r>
    </w:p>
  </w:footnote>
  <w:footnote w:id="10">
    <w:p w:rsidR="00F5222E" w:rsidRPr="00490651" w:rsidRDefault="00F5222E" w:rsidP="00930B0A">
      <w:pPr>
        <w:pStyle w:val="Puslapioinaostekstas"/>
        <w:ind w:firstLine="0"/>
      </w:pPr>
      <w:r w:rsidRPr="00490651">
        <w:rPr>
          <w:rStyle w:val="Puslapioinaosnuoroda"/>
        </w:rPr>
        <w:footnoteRef/>
      </w:r>
      <w:r w:rsidRPr="00490651">
        <w:t xml:space="preserve"> Lazutka R. </w:t>
      </w:r>
      <w:r w:rsidRPr="00490651">
        <w:rPr>
          <w:i/>
        </w:rPr>
        <w:t>supra</w:t>
      </w:r>
      <w:r w:rsidRPr="00490651">
        <w:t xml:space="preserve"> note 7, p. 1.</w:t>
      </w:r>
    </w:p>
  </w:footnote>
  <w:footnote w:id="11">
    <w:p w:rsidR="00F5222E" w:rsidRPr="00490651" w:rsidRDefault="00F5222E" w:rsidP="00B53CCF">
      <w:pPr>
        <w:pStyle w:val="Puslapioinaostekstas"/>
        <w:ind w:firstLine="0"/>
      </w:pPr>
      <w:r w:rsidRPr="00490651">
        <w:rPr>
          <w:rStyle w:val="Puslapioinaosnuoroda"/>
        </w:rPr>
        <w:footnoteRef/>
      </w:r>
      <w:r w:rsidRPr="00490651">
        <w:t xml:space="preserve"> </w:t>
      </w:r>
      <w:r w:rsidRPr="00490651">
        <w:rPr>
          <w:lang w:val="en-US"/>
        </w:rPr>
        <w:t>The effect of cross-border investment restrictions on certain pension schemes in the EU</w:t>
      </w:r>
      <w:r w:rsidRPr="00490651">
        <w:t xml:space="preserve">. </w:t>
      </w:r>
      <w:r w:rsidRPr="00490651">
        <w:rPr>
          <w:i/>
        </w:rPr>
        <w:t>supra</w:t>
      </w:r>
      <w:r w:rsidRPr="00490651">
        <w:t xml:space="preserve"> note </w:t>
      </w:r>
      <w:r w:rsidRPr="00490651">
        <w:rPr>
          <w:lang w:val="en-US"/>
        </w:rPr>
        <w:t>9</w:t>
      </w:r>
      <w:r w:rsidRPr="00490651">
        <w:t>, p. 1.</w:t>
      </w:r>
    </w:p>
  </w:footnote>
  <w:footnote w:id="12">
    <w:p w:rsidR="00F5222E" w:rsidRPr="00490651" w:rsidRDefault="00F5222E" w:rsidP="00D731EC">
      <w:pPr>
        <w:pStyle w:val="Puslapioinaostekstas"/>
        <w:ind w:firstLine="0"/>
        <w:rPr>
          <w:lang w:val="en-US"/>
        </w:rPr>
      </w:pPr>
      <w:r w:rsidRPr="00490651">
        <w:rPr>
          <w:rStyle w:val="Puslapioinaosnuoroda"/>
        </w:rPr>
        <w:footnoteRef/>
      </w:r>
      <w:r w:rsidRPr="00490651">
        <w:t xml:space="preserve"> </w:t>
      </w:r>
      <w:r w:rsidRPr="00490651">
        <w:rPr>
          <w:lang w:val="en-US"/>
        </w:rPr>
        <w:t xml:space="preserve">European Parliament, Directorate General for Internal Policies. Pension systems in the EU – contingent liabilities and assets in the public and private sector. </w:t>
      </w:r>
    </w:p>
    <w:p w:rsidR="00F5222E" w:rsidRPr="00490651" w:rsidRDefault="00173912" w:rsidP="00D731EC">
      <w:pPr>
        <w:pStyle w:val="Puslapioinaostekstas"/>
        <w:ind w:firstLine="0"/>
      </w:pPr>
      <w:hyperlink r:id="rId5" w:history="1">
        <w:r w:rsidR="00F5222E" w:rsidRPr="00490651">
          <w:rPr>
            <w:rStyle w:val="Hipersaitas"/>
            <w:color w:val="auto"/>
            <w:u w:val="none"/>
            <w:lang w:val="es-ES"/>
          </w:rPr>
          <w:t>http://www.europarl.europa.eu/document/activities/cont/201111/20111121ATT32055/20111121ATT32055EN.pdf</w:t>
        </w:r>
      </w:hyperlink>
      <w:r w:rsidR="00F5222E" w:rsidRPr="00490651">
        <w:rPr>
          <w:lang w:val="es-ES"/>
        </w:rPr>
        <w:t xml:space="preserve"> [</w:t>
      </w:r>
      <w:r w:rsidR="00F5222E" w:rsidRPr="00490651">
        <w:t xml:space="preserve">žiūrėta </w:t>
      </w:r>
      <w:r w:rsidR="00F5222E" w:rsidRPr="00490651">
        <w:rPr>
          <w:lang w:val="es-ES"/>
        </w:rPr>
        <w:t>2013 02 26]</w:t>
      </w:r>
      <w:r w:rsidR="00F5222E" w:rsidRPr="00490651">
        <w:t>. p. 26.</w:t>
      </w:r>
    </w:p>
  </w:footnote>
  <w:footnote w:id="13">
    <w:p w:rsidR="00F5222E" w:rsidRPr="00490651" w:rsidRDefault="00F5222E" w:rsidP="0021249B">
      <w:pPr>
        <w:pStyle w:val="Puslapioinaostekstas"/>
        <w:ind w:firstLine="0"/>
      </w:pPr>
      <w:r w:rsidRPr="00490651">
        <w:rPr>
          <w:rStyle w:val="Puslapioinaosnuoroda"/>
        </w:rPr>
        <w:footnoteRef/>
      </w:r>
      <w:r w:rsidRPr="00490651">
        <w:t xml:space="preserve"> </w:t>
      </w:r>
      <w:r w:rsidRPr="00490651">
        <w:rPr>
          <w:lang w:val="en-US"/>
        </w:rPr>
        <w:t>The effect of cross-border investment restrictions on certain pension schemes in the EU</w:t>
      </w:r>
      <w:r w:rsidRPr="00490651">
        <w:t xml:space="preserve">. </w:t>
      </w:r>
      <w:r w:rsidRPr="00490651">
        <w:rPr>
          <w:i/>
        </w:rPr>
        <w:t>supra</w:t>
      </w:r>
      <w:r w:rsidRPr="00490651">
        <w:t xml:space="preserve"> note 9, p. </w:t>
      </w:r>
      <w:r w:rsidRPr="00490651">
        <w:rPr>
          <w:lang w:val="en-US"/>
        </w:rPr>
        <w:t>5.</w:t>
      </w:r>
    </w:p>
  </w:footnote>
  <w:footnote w:id="14">
    <w:p w:rsidR="00F5222E" w:rsidRPr="00490651" w:rsidRDefault="00F5222E" w:rsidP="006132BB">
      <w:pPr>
        <w:pStyle w:val="Puslapioinaostekstas"/>
        <w:ind w:firstLine="0"/>
      </w:pPr>
      <w:r w:rsidRPr="00490651">
        <w:rPr>
          <w:rStyle w:val="Puslapioinaosnuoroda"/>
        </w:rPr>
        <w:footnoteRef/>
      </w:r>
      <w:r w:rsidRPr="00490651">
        <w:t xml:space="preserve"> Lazutka R., </w:t>
      </w:r>
      <w:r w:rsidRPr="00490651">
        <w:rPr>
          <w:i/>
        </w:rPr>
        <w:t>supra</w:t>
      </w:r>
      <w:r w:rsidRPr="00490651">
        <w:t xml:space="preserve"> note 7, p. </w:t>
      </w:r>
      <w:r w:rsidRPr="00490651">
        <w:rPr>
          <w:lang w:val="es-ES"/>
        </w:rPr>
        <w:t>2-3.</w:t>
      </w:r>
    </w:p>
  </w:footnote>
  <w:footnote w:id="15">
    <w:p w:rsidR="00F5222E" w:rsidRPr="00490651" w:rsidRDefault="00F5222E" w:rsidP="00624909">
      <w:pPr>
        <w:pStyle w:val="Puslapioinaostekstas"/>
        <w:ind w:firstLine="0"/>
      </w:pPr>
      <w:r w:rsidRPr="00490651">
        <w:rPr>
          <w:rStyle w:val="Puslapioinaosnuoroda"/>
        </w:rPr>
        <w:footnoteRef/>
      </w:r>
      <w:r w:rsidRPr="00490651">
        <w:t xml:space="preserve"> </w:t>
      </w:r>
      <w:r w:rsidRPr="00B90D03">
        <w:t>European Parliament, Directorate General for Internal Policies</w:t>
      </w:r>
      <w:r w:rsidRPr="00490651">
        <w:t xml:space="preserve">. </w:t>
      </w:r>
      <w:r w:rsidRPr="00490651">
        <w:rPr>
          <w:i/>
        </w:rPr>
        <w:t>op. cit.</w:t>
      </w:r>
      <w:r w:rsidRPr="00490651">
        <w:t>, p.28.</w:t>
      </w:r>
    </w:p>
  </w:footnote>
  <w:footnote w:id="16">
    <w:p w:rsidR="00F5222E" w:rsidRPr="00490651" w:rsidRDefault="00F5222E" w:rsidP="006132BB">
      <w:pPr>
        <w:pStyle w:val="Puslapioinaostekstas"/>
        <w:ind w:firstLine="0"/>
      </w:pPr>
      <w:r w:rsidRPr="00490651">
        <w:rPr>
          <w:rStyle w:val="Puslapioinaosnuoroda"/>
        </w:rPr>
        <w:footnoteRef/>
      </w:r>
      <w:r w:rsidRPr="00490651">
        <w:t xml:space="preserve"> Socialinės apsaugos ir darbo ministerijos Socialinis pranešimas. – Vilnius, 1999. </w:t>
      </w:r>
      <w:hyperlink r:id="rId6" w:history="1">
        <w:r w:rsidRPr="00490651">
          <w:rPr>
            <w:rStyle w:val="Hipersaitas"/>
            <w:color w:val="auto"/>
            <w:u w:val="none"/>
          </w:rPr>
          <w:t>http://www.socmin.lt/index.php?-1351634479</w:t>
        </w:r>
      </w:hyperlink>
      <w:r w:rsidRPr="00490651">
        <w:t xml:space="preserve"> [žiūrėta 2013 02 05]. p. 67.</w:t>
      </w:r>
    </w:p>
  </w:footnote>
  <w:footnote w:id="17">
    <w:p w:rsidR="00F5222E" w:rsidRPr="00490651" w:rsidRDefault="00F5222E" w:rsidP="00B44EC4">
      <w:pPr>
        <w:pStyle w:val="Puslapioinaostekstas"/>
        <w:ind w:firstLine="0"/>
      </w:pPr>
      <w:r w:rsidRPr="00490651">
        <w:rPr>
          <w:rStyle w:val="Puslapioinaosnuoroda"/>
        </w:rPr>
        <w:footnoteRef/>
      </w:r>
      <w:r w:rsidRPr="00490651">
        <w:t xml:space="preserve"> Bitinas A., </w:t>
      </w:r>
      <w:r w:rsidRPr="00490651">
        <w:rPr>
          <w:i/>
        </w:rPr>
        <w:t>supra</w:t>
      </w:r>
      <w:r w:rsidRPr="00490651">
        <w:t xml:space="preserve"> note 3, p. 20.</w:t>
      </w:r>
    </w:p>
  </w:footnote>
  <w:footnote w:id="18">
    <w:p w:rsidR="00F5222E" w:rsidRPr="00490651" w:rsidRDefault="00F5222E" w:rsidP="00B44EC4">
      <w:pPr>
        <w:pStyle w:val="Puslapioinaostekstas"/>
        <w:ind w:firstLine="0"/>
      </w:pPr>
      <w:r w:rsidRPr="00490651">
        <w:rPr>
          <w:rStyle w:val="Puslapioinaosnuoroda"/>
        </w:rPr>
        <w:footnoteRef/>
      </w:r>
      <w:r w:rsidRPr="00490651">
        <w:t xml:space="preserve"> Gudaitis T., </w:t>
      </w:r>
      <w:r w:rsidRPr="00490651">
        <w:rPr>
          <w:i/>
        </w:rPr>
        <w:t>supra</w:t>
      </w:r>
      <w:r w:rsidRPr="00490651">
        <w:t xml:space="preserve"> note 2, p. 53-58.</w:t>
      </w:r>
    </w:p>
  </w:footnote>
  <w:footnote w:id="19">
    <w:p w:rsidR="00F5222E" w:rsidRPr="00490651" w:rsidRDefault="00F5222E" w:rsidP="003D00F5">
      <w:pPr>
        <w:pStyle w:val="Betarp"/>
        <w:ind w:firstLine="0"/>
        <w:rPr>
          <w:sz w:val="20"/>
          <w:szCs w:val="20"/>
          <w:lang w:val="es-ES"/>
        </w:rPr>
      </w:pPr>
      <w:r w:rsidRPr="00490651">
        <w:rPr>
          <w:rStyle w:val="Puslapioinaosnuoroda"/>
          <w:sz w:val="20"/>
          <w:szCs w:val="20"/>
        </w:rPr>
        <w:footnoteRef/>
      </w:r>
      <w:r w:rsidRPr="00490651">
        <w:rPr>
          <w:sz w:val="20"/>
          <w:szCs w:val="20"/>
        </w:rPr>
        <w:t xml:space="preserve"> Aleknevičienė V.,</w:t>
      </w:r>
      <w:r w:rsidRPr="00490651">
        <w:rPr>
          <w:i/>
          <w:sz w:val="20"/>
          <w:szCs w:val="20"/>
        </w:rPr>
        <w:t xml:space="preserve"> supra</w:t>
      </w:r>
      <w:r w:rsidRPr="00490651">
        <w:rPr>
          <w:sz w:val="20"/>
          <w:szCs w:val="20"/>
        </w:rPr>
        <w:t xml:space="preserve"> note 4,  p. 50-</w:t>
      </w:r>
      <w:r w:rsidRPr="00490651">
        <w:rPr>
          <w:sz w:val="20"/>
          <w:szCs w:val="20"/>
          <w:lang w:val="es-ES"/>
        </w:rPr>
        <w:t>51.</w:t>
      </w:r>
    </w:p>
  </w:footnote>
  <w:footnote w:id="20">
    <w:p w:rsidR="00576036" w:rsidRPr="00490651" w:rsidRDefault="00576036" w:rsidP="00576036">
      <w:pPr>
        <w:pStyle w:val="Betarp"/>
        <w:ind w:firstLine="0"/>
        <w:rPr>
          <w:sz w:val="20"/>
          <w:szCs w:val="20"/>
          <w:lang w:val="es-ES"/>
        </w:rPr>
      </w:pPr>
      <w:r w:rsidRPr="00490651">
        <w:rPr>
          <w:rStyle w:val="Puslapioinaosnuoroda"/>
          <w:sz w:val="20"/>
          <w:szCs w:val="20"/>
        </w:rPr>
        <w:footnoteRef/>
      </w:r>
      <w:r w:rsidRPr="00490651">
        <w:rPr>
          <w:sz w:val="20"/>
          <w:szCs w:val="20"/>
        </w:rPr>
        <w:t xml:space="preserve"> Gudaitis T., Pensijų sistemos reformos rezultatų vertinimas (Lietuvos atvejis): daktaro disertacija: socialiniai mokslai, ekonomika (0</w:t>
      </w:r>
      <w:r w:rsidRPr="00490651">
        <w:rPr>
          <w:sz w:val="20"/>
          <w:szCs w:val="20"/>
          <w:lang w:val="es-ES"/>
        </w:rPr>
        <w:t>4 S). Vilnius: Vilniaus Universitetas, 2010. – 144 p.</w:t>
      </w:r>
      <w:r w:rsidRPr="00490651">
        <w:rPr>
          <w:sz w:val="20"/>
          <w:szCs w:val="20"/>
        </w:rPr>
        <w:t xml:space="preserve"> </w:t>
      </w:r>
      <w:hyperlink r:id="rId7" w:history="1">
        <w:r w:rsidRPr="00490651">
          <w:rPr>
            <w:rStyle w:val="Hipersaitas"/>
            <w:color w:val="auto"/>
            <w:sz w:val="20"/>
            <w:szCs w:val="20"/>
            <w:u w:val="none"/>
          </w:rPr>
          <w:t>http://vddb.library.lt/fedora/get/LT-eLABa-0001:E.02~2010~D_20100507_093219-29272/DS.005.0.01.ETD</w:t>
        </w:r>
      </w:hyperlink>
      <w:r w:rsidRPr="00490651">
        <w:rPr>
          <w:sz w:val="20"/>
          <w:szCs w:val="20"/>
        </w:rPr>
        <w:t xml:space="preserve"> [žiūrėta </w:t>
      </w:r>
      <w:r w:rsidRPr="00490651">
        <w:rPr>
          <w:sz w:val="20"/>
          <w:szCs w:val="20"/>
          <w:lang w:val="es-ES"/>
        </w:rPr>
        <w:t xml:space="preserve">2012 03 15]. </w:t>
      </w:r>
      <w:r w:rsidRPr="00490651">
        <w:rPr>
          <w:sz w:val="20"/>
          <w:szCs w:val="20"/>
        </w:rPr>
        <w:t>p. 6-8.</w:t>
      </w:r>
    </w:p>
  </w:footnote>
  <w:footnote w:id="21">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Bitinas A., </w:t>
      </w:r>
      <w:r w:rsidRPr="00490651">
        <w:rPr>
          <w:i/>
          <w:iCs/>
          <w:sz w:val="20"/>
          <w:szCs w:val="20"/>
        </w:rPr>
        <w:t xml:space="preserve">supra </w:t>
      </w:r>
      <w:r w:rsidRPr="00490651">
        <w:rPr>
          <w:sz w:val="20"/>
          <w:szCs w:val="20"/>
        </w:rPr>
        <w:t>note 3, p. 19.</w:t>
      </w:r>
    </w:p>
  </w:footnote>
  <w:footnote w:id="22">
    <w:p w:rsidR="00F5222E" w:rsidRPr="00490651" w:rsidRDefault="00F5222E" w:rsidP="00B44EC4">
      <w:pPr>
        <w:pStyle w:val="Puslapioinaostekstas"/>
        <w:ind w:firstLine="0"/>
      </w:pPr>
      <w:r w:rsidRPr="00490651">
        <w:rPr>
          <w:rStyle w:val="Puslapioinaosnuoroda"/>
        </w:rPr>
        <w:footnoteRef/>
      </w:r>
      <w:r w:rsidRPr="00490651">
        <w:t xml:space="preserve"> Socialinės apsaugos ir darbo ministerijos socialinis pranešimas., </w:t>
      </w:r>
      <w:r w:rsidRPr="00490651">
        <w:rPr>
          <w:i/>
          <w:iCs/>
        </w:rPr>
        <w:t xml:space="preserve">supra </w:t>
      </w:r>
      <w:r w:rsidRPr="00490651">
        <w:t>note 16, p. 68.</w:t>
      </w:r>
    </w:p>
  </w:footnote>
  <w:footnote w:id="23">
    <w:p w:rsidR="00F5222E" w:rsidRPr="00490651" w:rsidRDefault="00F5222E" w:rsidP="00B44EC4">
      <w:pPr>
        <w:pStyle w:val="Puslapioinaostekstas"/>
        <w:ind w:firstLine="0"/>
      </w:pPr>
      <w:r w:rsidRPr="00490651">
        <w:rPr>
          <w:rStyle w:val="Puslapioinaosnuoroda"/>
        </w:rPr>
        <w:footnoteRef/>
      </w:r>
      <w:r w:rsidRPr="00490651">
        <w:t xml:space="preserve"> Liutvinavičius M., Sakalauskas V.,  Veiksnių, turinčių įtakos kaupimo privačiuose pensijų fonduose efektyvumui tyrimas // Socialinės technologijos. – Vilnius: Vilniaus Universitetas, 2011, Nr. 1(2), p. 328–343. - ISSN 2029-7564. – URL:  </w:t>
      </w:r>
      <w:hyperlink r:id="rId8" w:history="1">
        <w:r w:rsidRPr="00490651">
          <w:rPr>
            <w:rStyle w:val="Hipersaitas"/>
            <w:color w:val="auto"/>
            <w:u w:val="none"/>
          </w:rPr>
          <w:t>www.mruni.eu/lt/mokslo_darbai/st/archyvas/dwn.php?id=307479</w:t>
        </w:r>
      </w:hyperlink>
      <w:r w:rsidRPr="00490651">
        <w:t>, p. 329.</w:t>
      </w:r>
    </w:p>
  </w:footnote>
  <w:footnote w:id="24">
    <w:p w:rsidR="00F5222E" w:rsidRPr="00490651" w:rsidRDefault="00F5222E" w:rsidP="00B44EC4">
      <w:pPr>
        <w:pStyle w:val="Puslapioinaostekstas"/>
        <w:ind w:firstLine="0"/>
      </w:pPr>
      <w:r w:rsidRPr="00490651">
        <w:rPr>
          <w:rStyle w:val="Puslapioinaosnuoroda"/>
        </w:rPr>
        <w:footnoteRef/>
      </w:r>
      <w:r w:rsidRPr="00490651">
        <w:t xml:space="preserve"> Bitinas A., </w:t>
      </w:r>
      <w:r w:rsidRPr="00490651">
        <w:rPr>
          <w:i/>
          <w:iCs/>
        </w:rPr>
        <w:t xml:space="preserve">supra </w:t>
      </w:r>
      <w:r w:rsidRPr="00490651">
        <w:t>note 3, p. 19.</w:t>
      </w:r>
    </w:p>
  </w:footnote>
  <w:footnote w:id="25">
    <w:p w:rsidR="00F5222E" w:rsidRPr="00490651" w:rsidRDefault="00F5222E" w:rsidP="00B44EC4">
      <w:pPr>
        <w:pStyle w:val="Puslapioinaostekstas"/>
        <w:ind w:firstLine="0"/>
      </w:pPr>
      <w:r w:rsidRPr="00490651">
        <w:rPr>
          <w:rStyle w:val="Puslapioinaosnuoroda"/>
        </w:rPr>
        <w:footnoteRef/>
      </w:r>
      <w:r w:rsidRPr="00490651">
        <w:t xml:space="preserve"> Aleknevičienė V., </w:t>
      </w:r>
      <w:r w:rsidRPr="00490651">
        <w:rPr>
          <w:i/>
          <w:iCs/>
        </w:rPr>
        <w:t xml:space="preserve">supra </w:t>
      </w:r>
      <w:r w:rsidRPr="00490651">
        <w:t>note 4, p. 50.</w:t>
      </w:r>
    </w:p>
  </w:footnote>
  <w:footnote w:id="26">
    <w:p w:rsidR="00F5222E" w:rsidRPr="00490651" w:rsidRDefault="00F5222E" w:rsidP="00267A4E">
      <w:pPr>
        <w:pStyle w:val="Puslapioinaostekstas"/>
        <w:ind w:firstLine="0"/>
      </w:pPr>
      <w:r w:rsidRPr="00490651">
        <w:rPr>
          <w:rStyle w:val="Puslapioinaosnuoroda"/>
        </w:rPr>
        <w:footnoteRef/>
      </w:r>
      <w:r w:rsidRPr="00490651">
        <w:t xml:space="preserve"> Lazutka R.,</w:t>
      </w:r>
      <w:r w:rsidRPr="00490651">
        <w:rPr>
          <w:i/>
        </w:rPr>
        <w:t xml:space="preserve"> supra</w:t>
      </w:r>
      <w:r w:rsidRPr="00490651">
        <w:t xml:space="preserve"> note 7, p. </w:t>
      </w:r>
      <w:r w:rsidRPr="00490651">
        <w:rPr>
          <w:lang w:val="es-ES"/>
        </w:rPr>
        <w:t xml:space="preserve">19 – 42. </w:t>
      </w:r>
    </w:p>
  </w:footnote>
  <w:footnote w:id="27">
    <w:p w:rsidR="00F5222E" w:rsidRPr="00490651" w:rsidRDefault="00F5222E" w:rsidP="00223F74">
      <w:pPr>
        <w:pStyle w:val="Puslapioinaostekstas"/>
        <w:ind w:firstLine="0"/>
      </w:pPr>
      <w:r w:rsidRPr="00490651">
        <w:rPr>
          <w:rStyle w:val="Puslapioinaosnuoroda"/>
        </w:rPr>
        <w:footnoteRef/>
      </w:r>
      <w:r w:rsidRPr="00490651">
        <w:t xml:space="preserve"> Europos Komisijos Žalioji knyga., </w:t>
      </w:r>
      <w:r w:rsidRPr="00490651">
        <w:rPr>
          <w:i/>
        </w:rPr>
        <w:t>supra</w:t>
      </w:r>
      <w:r w:rsidRPr="00490651">
        <w:t xml:space="preserve"> note 8, p. 4.</w:t>
      </w:r>
    </w:p>
  </w:footnote>
  <w:footnote w:id="28">
    <w:p w:rsidR="00F5222E" w:rsidRPr="00490651" w:rsidRDefault="00F5222E" w:rsidP="00267A4E">
      <w:pPr>
        <w:pStyle w:val="Puslapioinaostekstas"/>
        <w:ind w:firstLine="0"/>
      </w:pPr>
      <w:r w:rsidRPr="00490651">
        <w:rPr>
          <w:rStyle w:val="Puslapioinaosnuoroda"/>
        </w:rPr>
        <w:footnoteRef/>
      </w:r>
      <w:r w:rsidRPr="00490651">
        <w:t xml:space="preserve"> Europos Komisijos Baltoji knyga., Adekvačių, saugių ir tvarių pensijų darbotvarkė. - Briuselis, 2012 02 16, COM (2012) 55 galutinis. </w:t>
      </w:r>
      <w:hyperlink r:id="rId9" w:history="1">
        <w:r w:rsidRPr="00490651">
          <w:rPr>
            <w:rStyle w:val="Hipersaitas"/>
            <w:color w:val="auto"/>
            <w:u w:val="none"/>
          </w:rPr>
          <w:t>http://ec.europa.eu/social/BlobServlet?docId=7341&amp;langId=lt</w:t>
        </w:r>
      </w:hyperlink>
      <w:r w:rsidRPr="00490651">
        <w:t xml:space="preserve"> [žiūrėta 2013 03 21]. p. 3.</w:t>
      </w:r>
    </w:p>
  </w:footnote>
  <w:footnote w:id="29">
    <w:p w:rsidR="00F5222E" w:rsidRPr="00490651" w:rsidRDefault="00F5222E" w:rsidP="00581AFF">
      <w:pPr>
        <w:pStyle w:val="Puslapioinaostekstas"/>
        <w:ind w:firstLine="0"/>
      </w:pPr>
      <w:r w:rsidRPr="00490651">
        <w:rPr>
          <w:rStyle w:val="Puslapioinaosnuoroda"/>
        </w:rPr>
        <w:footnoteRef/>
      </w:r>
      <w:r w:rsidRPr="00490651">
        <w:t xml:space="preserve"> Lazutka R., </w:t>
      </w:r>
      <w:r w:rsidRPr="00490651">
        <w:rPr>
          <w:i/>
        </w:rPr>
        <w:t>supra</w:t>
      </w:r>
      <w:r w:rsidRPr="00490651">
        <w:t xml:space="preserve"> note 7, p. 19-20.</w:t>
      </w:r>
    </w:p>
  </w:footnote>
  <w:footnote w:id="30">
    <w:p w:rsidR="00F5222E" w:rsidRPr="00490651" w:rsidRDefault="00F5222E" w:rsidP="000E0EF9">
      <w:pPr>
        <w:pStyle w:val="Puslapioinaostekstas"/>
        <w:ind w:firstLine="0"/>
      </w:pPr>
      <w:r w:rsidRPr="00490651">
        <w:rPr>
          <w:rStyle w:val="Puslapioinaosnuoroda"/>
        </w:rPr>
        <w:footnoteRef/>
      </w:r>
      <w:r w:rsidRPr="00490651">
        <w:t xml:space="preserve"> Steponavičienė G., Pensijų sistema – pokyčiai neišvengiami. – 2007 04 02.</w:t>
      </w:r>
    </w:p>
    <w:p w:rsidR="00F5222E" w:rsidRPr="00490651" w:rsidRDefault="00173912" w:rsidP="000E0EF9">
      <w:pPr>
        <w:pStyle w:val="Puslapioinaostekstas"/>
        <w:ind w:firstLine="0"/>
      </w:pPr>
      <w:hyperlink r:id="rId10" w:history="1">
        <w:r w:rsidR="00F5222E" w:rsidRPr="00490651">
          <w:rPr>
            <w:rStyle w:val="Hipersaitas"/>
            <w:color w:val="auto"/>
            <w:u w:val="none"/>
          </w:rPr>
          <w:t>http://www.lrinka.lt/index.php/meniu/ziniasklaidai/straipsniai_ir_komentarai/pensiju_sistema_pokyciai_neisvengiami/4167;from_topic_id;19</w:t>
        </w:r>
      </w:hyperlink>
      <w:r w:rsidR="00F5222E" w:rsidRPr="00490651">
        <w:t xml:space="preserve"> [žiūrėta 2013 03 21].</w:t>
      </w:r>
    </w:p>
  </w:footnote>
  <w:footnote w:id="31">
    <w:p w:rsidR="00F5222E" w:rsidRPr="00490651" w:rsidRDefault="00F5222E" w:rsidP="000E50D7">
      <w:pPr>
        <w:pStyle w:val="Puslapioinaostekstas"/>
        <w:ind w:firstLine="0"/>
      </w:pPr>
      <w:r w:rsidRPr="00490651">
        <w:rPr>
          <w:rStyle w:val="Puslapioinaosnuoroda"/>
        </w:rPr>
        <w:footnoteRef/>
      </w:r>
      <w:r w:rsidRPr="00490651">
        <w:t xml:space="preserve"> Bulotaitė E., Slavickienė A., </w:t>
      </w:r>
      <w:r w:rsidRPr="00490651">
        <w:rPr>
          <w:i/>
        </w:rPr>
        <w:t>supra</w:t>
      </w:r>
      <w:r w:rsidRPr="00490651">
        <w:t xml:space="preserve"> note 6, p. 23.</w:t>
      </w:r>
    </w:p>
  </w:footnote>
  <w:footnote w:id="32">
    <w:p w:rsidR="00F5222E" w:rsidRPr="00490651" w:rsidRDefault="00F5222E" w:rsidP="007146CA">
      <w:pPr>
        <w:pStyle w:val="Puslapioinaostekstas"/>
        <w:ind w:firstLine="0"/>
      </w:pPr>
      <w:r w:rsidRPr="00490651">
        <w:rPr>
          <w:rStyle w:val="Puslapioinaosnuoroda"/>
        </w:rPr>
        <w:footnoteRef/>
      </w:r>
      <w:r w:rsidRPr="00490651">
        <w:t xml:space="preserve"> Lietuvos Bankas, Lietuvos II ir III pakopos pensijų fondų bei KIS rinkos apžvalga, 2012 m. IV ketv. ir 2012 metai, </w:t>
      </w:r>
    </w:p>
    <w:p w:rsidR="00F5222E" w:rsidRPr="00490651" w:rsidRDefault="00173912" w:rsidP="007146CA">
      <w:pPr>
        <w:pStyle w:val="Puslapioinaostekstas"/>
        <w:ind w:firstLine="0"/>
      </w:pPr>
      <w:hyperlink r:id="rId11" w:history="1">
        <w:r w:rsidR="00F5222E" w:rsidRPr="00490651">
          <w:rPr>
            <w:rStyle w:val="Hipersaitas"/>
            <w:color w:val="auto"/>
            <w:u w:val="none"/>
          </w:rPr>
          <w:t>http://www.lb.lt/ii_ir_iii_pakopos_pensiju_fondu_bei_kolektyvinio_investavimo_subjektu_rinkos_apzvalga_2012_m_iv_ketv_ir_2012_m</w:t>
        </w:r>
      </w:hyperlink>
      <w:r w:rsidR="00F5222E" w:rsidRPr="00490651">
        <w:t xml:space="preserve">  [žiūrėta 2013 03 21]. p. 7.</w:t>
      </w:r>
    </w:p>
  </w:footnote>
  <w:footnote w:id="33">
    <w:p w:rsidR="00F5222E" w:rsidRPr="00490651" w:rsidRDefault="00F5222E" w:rsidP="00F314DC">
      <w:pPr>
        <w:pStyle w:val="Puslapioinaostekstas"/>
        <w:ind w:firstLine="0"/>
      </w:pPr>
      <w:r w:rsidRPr="00490651">
        <w:rPr>
          <w:rStyle w:val="Puslapioinaosnuoroda"/>
        </w:rPr>
        <w:footnoteRef/>
      </w:r>
      <w:r w:rsidRPr="00490651">
        <w:t xml:space="preserve"> </w:t>
      </w:r>
      <w:proofErr w:type="gramStart"/>
      <w:r w:rsidRPr="00490651">
        <w:rPr>
          <w:lang w:val="en-US"/>
        </w:rPr>
        <w:t>Survey of investment regulation of pension funds</w:t>
      </w:r>
      <w:r w:rsidRPr="00490651">
        <w:t>.</w:t>
      </w:r>
      <w:proofErr w:type="gramEnd"/>
      <w:r w:rsidRPr="00490651">
        <w:t xml:space="preserve"> - OECD, 2012. </w:t>
      </w:r>
    </w:p>
    <w:p w:rsidR="00F5222E" w:rsidRPr="00490651" w:rsidRDefault="00173912" w:rsidP="00F314DC">
      <w:pPr>
        <w:pStyle w:val="Puslapioinaostekstas"/>
        <w:ind w:firstLine="0"/>
        <w:rPr>
          <w:lang w:val="es-ES"/>
        </w:rPr>
      </w:pPr>
      <w:hyperlink r:id="rId12" w:history="1">
        <w:r w:rsidR="00F5222E" w:rsidRPr="00490651">
          <w:rPr>
            <w:rStyle w:val="Hipersaitas"/>
            <w:color w:val="auto"/>
            <w:u w:val="none"/>
          </w:rPr>
          <w:t>http://www.oecd.org/daf/fin/private-pensions/2011SurveyOfInvestmentRegulationsOfPensionFunds.pdf</w:t>
        </w:r>
      </w:hyperlink>
      <w:r w:rsidR="00F5222E" w:rsidRPr="00490651">
        <w:t xml:space="preserve"> [žiūrėta </w:t>
      </w:r>
      <w:r w:rsidR="00F5222E" w:rsidRPr="00490651">
        <w:rPr>
          <w:lang w:val="es-ES"/>
        </w:rPr>
        <w:t>2013 03 24]</w:t>
      </w:r>
    </w:p>
  </w:footnote>
  <w:footnote w:id="34">
    <w:p w:rsidR="00F5222E" w:rsidRPr="00490651" w:rsidRDefault="00F5222E" w:rsidP="00B44EC4">
      <w:pPr>
        <w:pStyle w:val="Puslapioinaostekstas"/>
        <w:ind w:firstLine="0"/>
      </w:pPr>
      <w:r w:rsidRPr="00490651">
        <w:rPr>
          <w:rStyle w:val="Puslapioinaosnuoroda"/>
          <w:lang w:val="en-US"/>
        </w:rPr>
        <w:footnoteRef/>
      </w:r>
      <w:r w:rsidRPr="00490651">
        <w:t xml:space="preserve"> Varfolomyeyev S., </w:t>
      </w:r>
      <w:r w:rsidRPr="00490651">
        <w:rPr>
          <w:bCs/>
          <w:lang w:val="en-US"/>
        </w:rPr>
        <w:t>Pension Investment</w:t>
      </w:r>
      <w:r w:rsidRPr="00490651">
        <w:rPr>
          <w:bCs/>
        </w:rPr>
        <w:t xml:space="preserve"> </w:t>
      </w:r>
      <w:r w:rsidRPr="00490651">
        <w:rPr>
          <w:bCs/>
          <w:lang w:val="en-US"/>
        </w:rPr>
        <w:t xml:space="preserve">Regulation: collection of data and recommendations. – Kyiv, 2003. </w:t>
      </w:r>
      <w:hyperlink r:id="rId13" w:history="1">
        <w:r w:rsidRPr="00490651">
          <w:rPr>
            <w:rStyle w:val="Hipersaitas"/>
            <w:bCs/>
            <w:color w:val="auto"/>
            <w:u w:val="none"/>
            <w:lang w:val="es-ES"/>
          </w:rPr>
          <w:t>http://www.pension.kiev.ua/files/Pension_Investment_Regulation_EN.pdf</w:t>
        </w:r>
      </w:hyperlink>
      <w:r w:rsidRPr="00490651">
        <w:rPr>
          <w:bCs/>
          <w:lang w:val="es-ES"/>
        </w:rPr>
        <w:t xml:space="preserve"> [žiūrėta 2013 01 31]. p. 4.</w:t>
      </w:r>
    </w:p>
  </w:footnote>
  <w:footnote w:id="35">
    <w:p w:rsidR="00F5222E" w:rsidRPr="00490651" w:rsidRDefault="00F5222E" w:rsidP="00AF6349">
      <w:pPr>
        <w:pStyle w:val="Puslapioinaostekstas"/>
        <w:ind w:firstLine="0"/>
      </w:pPr>
      <w:r w:rsidRPr="00490651">
        <w:rPr>
          <w:rStyle w:val="Puslapioinaosnuoroda"/>
        </w:rPr>
        <w:footnoteRef/>
      </w:r>
      <w:r w:rsidRPr="00490651">
        <w:t xml:space="preserve"> Gudaitis T., </w:t>
      </w:r>
      <w:r w:rsidRPr="00490651">
        <w:rPr>
          <w:i/>
          <w:iCs/>
        </w:rPr>
        <w:t xml:space="preserve">supra </w:t>
      </w:r>
      <w:r w:rsidRPr="00490651">
        <w:t xml:space="preserve">note </w:t>
      </w:r>
      <w:r w:rsidRPr="00490651">
        <w:rPr>
          <w:lang w:val="es-ES"/>
        </w:rPr>
        <w:t>2</w:t>
      </w:r>
      <w:r w:rsidRPr="00490651">
        <w:t>, p. 58.</w:t>
      </w:r>
    </w:p>
  </w:footnote>
  <w:footnote w:id="36">
    <w:p w:rsidR="00F5222E" w:rsidRPr="00490651" w:rsidRDefault="00F5222E" w:rsidP="00F2302D">
      <w:pPr>
        <w:pStyle w:val="Puslapioinaostekstas"/>
        <w:ind w:firstLine="0"/>
        <w:rPr>
          <w:lang w:val="en-US"/>
        </w:rPr>
      </w:pPr>
      <w:r w:rsidRPr="00490651">
        <w:rPr>
          <w:rStyle w:val="Puslapioinaosnuoroda"/>
        </w:rPr>
        <w:footnoteRef/>
      </w:r>
      <w:r w:rsidRPr="00490651">
        <w:t xml:space="preserve"> </w:t>
      </w:r>
      <w:r w:rsidRPr="00490651">
        <w:rPr>
          <w:lang w:val="en-US"/>
        </w:rPr>
        <w:t>Nunen A. Fiduciary Management: Blueprint for Pension Fund Excellence. – New Jersey, 2008. – 274 p. ISBN 978 0 470 17103 5. p. 40-51.</w:t>
      </w:r>
    </w:p>
  </w:footnote>
  <w:footnote w:id="37">
    <w:p w:rsidR="00F5222E" w:rsidRPr="00490651" w:rsidRDefault="00F5222E" w:rsidP="00242D56">
      <w:pPr>
        <w:pStyle w:val="Puslapioinaostekstas"/>
        <w:ind w:firstLine="0"/>
        <w:rPr>
          <w:color w:val="0070C0"/>
        </w:rPr>
      </w:pPr>
      <w:r w:rsidRPr="00490651">
        <w:rPr>
          <w:rStyle w:val="Puslapioinaosnuoroda"/>
        </w:rPr>
        <w:footnoteRef/>
      </w:r>
      <w:r w:rsidRPr="00490651">
        <w:t xml:space="preserve"> Azguridienė G., Pensijų sistemos tvarumas ir jos dalyvių interesai. // Politologija: Vilniaus Universitetas, 2010, Nr. 4. – p. 142 – 172. – ISSN 1392-1681. </w:t>
      </w:r>
      <w:hyperlink r:id="rId14" w:history="1">
        <w:r w:rsidRPr="00490651">
          <w:rPr>
            <w:rStyle w:val="Hipersaitas"/>
            <w:color w:val="auto"/>
            <w:u w:val="none"/>
          </w:rPr>
          <w:t>http://www.leidykla.eu/fileadmin/Politologija/60/142-172.pdf</w:t>
        </w:r>
      </w:hyperlink>
      <w:r w:rsidRPr="00490651">
        <w:t xml:space="preserve"> [žiūrėta 2013 03 21]. p. </w:t>
      </w:r>
      <w:r w:rsidRPr="00490651">
        <w:rPr>
          <w:lang w:val="es-ES"/>
        </w:rPr>
        <w:t>156.</w:t>
      </w:r>
    </w:p>
  </w:footnote>
  <w:footnote w:id="38">
    <w:p w:rsidR="00F5222E" w:rsidRPr="00490651" w:rsidRDefault="00F5222E" w:rsidP="00F2302D">
      <w:pPr>
        <w:pStyle w:val="Puslapioinaostekstas"/>
        <w:ind w:firstLine="0"/>
      </w:pPr>
      <w:r w:rsidRPr="00490651">
        <w:rPr>
          <w:rStyle w:val="Puslapioinaosnuoroda"/>
        </w:rPr>
        <w:footnoteRef/>
      </w:r>
      <w:r w:rsidRPr="00490651">
        <w:t xml:space="preserve"> Gudaitis T., </w:t>
      </w:r>
      <w:r w:rsidRPr="00490651">
        <w:rPr>
          <w:i/>
          <w:iCs/>
        </w:rPr>
        <w:t xml:space="preserve">supra </w:t>
      </w:r>
      <w:r w:rsidRPr="00490651">
        <w:rPr>
          <w:iCs/>
        </w:rPr>
        <w:t>note</w:t>
      </w:r>
      <w:r w:rsidRPr="00490651">
        <w:t xml:space="preserve"> 2, p. 59.</w:t>
      </w:r>
    </w:p>
  </w:footnote>
  <w:footnote w:id="39">
    <w:p w:rsidR="00F5222E" w:rsidRPr="00490651" w:rsidRDefault="00F5222E" w:rsidP="00F2302D">
      <w:pPr>
        <w:pStyle w:val="Puslapioinaostekstas"/>
        <w:ind w:firstLine="0"/>
      </w:pPr>
      <w:r w:rsidRPr="00490651">
        <w:rPr>
          <w:rStyle w:val="Puslapioinaosnuoroda"/>
        </w:rPr>
        <w:footnoteRef/>
      </w:r>
      <w:r w:rsidRPr="00490651">
        <w:t xml:space="preserve"> </w:t>
      </w:r>
      <w:r w:rsidRPr="00490651">
        <w:rPr>
          <w:lang w:val="es-ES"/>
        </w:rPr>
        <w:t xml:space="preserve">Muralidhar A., </w:t>
      </w:r>
      <w:r w:rsidRPr="00490651">
        <w:rPr>
          <w:i/>
          <w:lang w:val="es-ES"/>
        </w:rPr>
        <w:t>supra</w:t>
      </w:r>
      <w:r w:rsidRPr="00490651">
        <w:rPr>
          <w:lang w:val="es-ES"/>
        </w:rPr>
        <w:t xml:space="preserve"> note 5, p. 10. </w:t>
      </w:r>
    </w:p>
  </w:footnote>
  <w:footnote w:id="40">
    <w:p w:rsidR="00F5222E" w:rsidRPr="00490651" w:rsidRDefault="00F5222E" w:rsidP="00B44EC4">
      <w:pPr>
        <w:pStyle w:val="Puslapioinaostekstas"/>
        <w:ind w:firstLine="0"/>
      </w:pPr>
      <w:r w:rsidRPr="00490651">
        <w:rPr>
          <w:rStyle w:val="Puslapioinaosnuoroda"/>
        </w:rPr>
        <w:footnoteRef/>
      </w:r>
      <w:r w:rsidRPr="00490651">
        <w:t xml:space="preserve"> </w:t>
      </w:r>
      <w:r w:rsidRPr="00490651">
        <w:rPr>
          <w:lang w:val="es-ES"/>
        </w:rPr>
        <w:t xml:space="preserve">Varfolomyeyev S.,  </w:t>
      </w:r>
      <w:r w:rsidRPr="00490651">
        <w:rPr>
          <w:i/>
          <w:iCs/>
          <w:lang w:eastAsia="lt-LT"/>
        </w:rPr>
        <w:t xml:space="preserve">supra </w:t>
      </w:r>
      <w:r w:rsidRPr="00490651">
        <w:rPr>
          <w:lang w:eastAsia="lt-LT"/>
        </w:rPr>
        <w:t>note 34, p. 5.</w:t>
      </w:r>
    </w:p>
  </w:footnote>
  <w:footnote w:id="41">
    <w:p w:rsidR="00F5222E" w:rsidRPr="00490651" w:rsidRDefault="00F5222E" w:rsidP="00B44EC4">
      <w:pPr>
        <w:pStyle w:val="Puslapioinaostekstas"/>
        <w:widowControl w:val="0"/>
        <w:ind w:firstLine="0"/>
      </w:pPr>
      <w:r w:rsidRPr="00490651">
        <w:rPr>
          <w:rStyle w:val="Puslapioinaosnuoroda"/>
        </w:rPr>
        <w:footnoteRef/>
      </w:r>
      <w:r w:rsidRPr="00490651">
        <w:t xml:space="preserve"> Kodėl svarbu diversifikuoti savo lėšas, 2010 10 03</w:t>
      </w:r>
    </w:p>
    <w:p w:rsidR="00F5222E" w:rsidRPr="00490651" w:rsidRDefault="00F5222E" w:rsidP="00B44EC4">
      <w:pPr>
        <w:pStyle w:val="Puslapioinaostekstas"/>
        <w:widowControl w:val="0"/>
        <w:ind w:firstLine="0"/>
      </w:pPr>
      <w:r w:rsidRPr="00490651">
        <w:t xml:space="preserve"> </w:t>
      </w:r>
      <w:hyperlink r:id="rId15" w:history="1">
        <w:r w:rsidRPr="00490651">
          <w:rPr>
            <w:rStyle w:val="Hipersaitas"/>
            <w:color w:val="auto"/>
            <w:u w:val="none"/>
          </w:rPr>
          <w:t>http://www.marketnews.lt/naujiena/kodel_svarbu_diversifikuoti_savo_lesas_2010-10-03;itemid=20496</w:t>
        </w:r>
      </w:hyperlink>
      <w:r w:rsidRPr="00490651">
        <w:t xml:space="preserve"> [žiūrėta </w:t>
      </w:r>
      <w:r w:rsidRPr="00490651">
        <w:rPr>
          <w:lang w:val="es-ES"/>
        </w:rPr>
        <w:t>2013 02 17].</w:t>
      </w:r>
    </w:p>
  </w:footnote>
  <w:footnote w:id="42">
    <w:p w:rsidR="00F5222E" w:rsidRPr="00490651" w:rsidRDefault="00F5222E" w:rsidP="00A203B5">
      <w:pPr>
        <w:pStyle w:val="Puslapioinaostekstas"/>
        <w:ind w:firstLine="0"/>
      </w:pPr>
      <w:r w:rsidRPr="00490651">
        <w:rPr>
          <w:rStyle w:val="Puslapioinaosnuoroda"/>
          <w:lang w:val="en-US"/>
        </w:rPr>
        <w:footnoteRef/>
      </w:r>
      <w:r w:rsidRPr="00490651">
        <w:rPr>
          <w:lang w:val="es-ES"/>
        </w:rPr>
        <w:t xml:space="preserve"> Varfolomyeyev S., </w:t>
      </w:r>
      <w:r w:rsidRPr="00490651">
        <w:rPr>
          <w:i/>
          <w:iCs/>
          <w:lang w:eastAsia="lt-LT"/>
        </w:rPr>
        <w:t xml:space="preserve">supra </w:t>
      </w:r>
      <w:r w:rsidRPr="00490651">
        <w:rPr>
          <w:lang w:eastAsia="lt-LT"/>
        </w:rPr>
        <w:t>note 34, p. 5-6.</w:t>
      </w:r>
    </w:p>
  </w:footnote>
  <w:footnote w:id="43">
    <w:p w:rsidR="00F5222E" w:rsidRPr="00490651" w:rsidRDefault="00F5222E" w:rsidP="00BC242F">
      <w:pPr>
        <w:pStyle w:val="Puslapioinaostekstas"/>
        <w:ind w:firstLine="0"/>
      </w:pPr>
      <w:r w:rsidRPr="00490651">
        <w:rPr>
          <w:rStyle w:val="Puslapioinaosnuoroda"/>
        </w:rPr>
        <w:footnoteRef/>
      </w:r>
      <w:r w:rsidRPr="00490651">
        <w:t xml:space="preserve"> Lietuvos Respublikos Finansinių priemonių rinkų įstatymas. </w:t>
      </w:r>
      <w:r w:rsidRPr="00490651">
        <w:rPr>
          <w:i/>
        </w:rPr>
        <w:t>Valstybės žinios</w:t>
      </w:r>
      <w:r w:rsidRPr="00490651">
        <w:t>. 2007, Nr. 17-62</w:t>
      </w:r>
      <w:r w:rsidRPr="00490651">
        <w:rPr>
          <w:lang w:val="en-US"/>
        </w:rPr>
        <w:t>7, 3 straipsnis, 38 dalis.</w:t>
      </w:r>
    </w:p>
  </w:footnote>
  <w:footnote w:id="44">
    <w:p w:rsidR="00F5222E" w:rsidRPr="00490651" w:rsidRDefault="00F5222E" w:rsidP="00B44EC4">
      <w:pPr>
        <w:pStyle w:val="Puslapioinaostekstas"/>
        <w:ind w:firstLine="0"/>
      </w:pPr>
      <w:r w:rsidRPr="00490651">
        <w:rPr>
          <w:rStyle w:val="Puslapioinaosnuoroda"/>
        </w:rPr>
        <w:footnoteRef/>
      </w:r>
      <w:r w:rsidRPr="00490651">
        <w:t xml:space="preserve"> </w:t>
      </w:r>
      <w:r w:rsidRPr="00490651">
        <w:rPr>
          <w:lang w:val="es-ES"/>
        </w:rPr>
        <w:t xml:space="preserve">Varfolomyeyev S., </w:t>
      </w:r>
      <w:r w:rsidRPr="00490651">
        <w:rPr>
          <w:i/>
          <w:iCs/>
        </w:rPr>
        <w:t xml:space="preserve">supra </w:t>
      </w:r>
      <w:r w:rsidRPr="00490651">
        <w:t>note 34</w:t>
      </w:r>
      <w:r w:rsidRPr="00490651">
        <w:rPr>
          <w:lang w:val="es-ES"/>
        </w:rPr>
        <w:t>, p. 6.</w:t>
      </w:r>
    </w:p>
  </w:footnote>
  <w:footnote w:id="45">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Gudaitis T.,  </w:t>
      </w:r>
      <w:r w:rsidRPr="00490651">
        <w:rPr>
          <w:i/>
          <w:iCs/>
          <w:sz w:val="20"/>
          <w:szCs w:val="20"/>
          <w:lang w:eastAsia="lt-LT"/>
        </w:rPr>
        <w:t xml:space="preserve">supra </w:t>
      </w:r>
      <w:r w:rsidRPr="00490651">
        <w:rPr>
          <w:sz w:val="20"/>
          <w:szCs w:val="20"/>
          <w:lang w:eastAsia="lt-LT"/>
        </w:rPr>
        <w:t>note 20,</w:t>
      </w:r>
      <w:r w:rsidRPr="00490651">
        <w:rPr>
          <w:sz w:val="20"/>
          <w:szCs w:val="20"/>
        </w:rPr>
        <w:t xml:space="preserve"> p. 101</w:t>
      </w:r>
    </w:p>
  </w:footnote>
  <w:footnote w:id="46">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Gylys P.,</w:t>
      </w:r>
      <w:r w:rsidRPr="00490651">
        <w:rPr>
          <w:b/>
          <w:bCs/>
          <w:sz w:val="20"/>
          <w:szCs w:val="20"/>
          <w:lang w:eastAsia="lt-LT"/>
        </w:rPr>
        <w:t xml:space="preserve"> </w:t>
      </w:r>
      <w:r w:rsidRPr="00490651">
        <w:rPr>
          <w:bCs/>
          <w:sz w:val="20"/>
          <w:szCs w:val="20"/>
        </w:rPr>
        <w:t xml:space="preserve">Pensijų sistema Lietuvoje: dilemos ir kontroversijos // Viešoji politika ir administravimas. – Vilnius: Lietuvos teisės universitetas, </w:t>
      </w:r>
      <w:r w:rsidRPr="00490651">
        <w:rPr>
          <w:bCs/>
          <w:sz w:val="20"/>
          <w:szCs w:val="20"/>
          <w:lang w:val="es-ES"/>
        </w:rPr>
        <w:t xml:space="preserve">2002. Nr. 2, </w:t>
      </w:r>
      <w:r w:rsidRPr="00490651">
        <w:rPr>
          <w:sz w:val="20"/>
          <w:szCs w:val="20"/>
        </w:rPr>
        <w:t xml:space="preserve"> p. 2.</w:t>
      </w:r>
    </w:p>
  </w:footnote>
  <w:footnote w:id="47">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Gudaitis T., </w:t>
      </w:r>
      <w:r w:rsidRPr="00490651">
        <w:rPr>
          <w:i/>
          <w:sz w:val="20"/>
          <w:szCs w:val="20"/>
        </w:rPr>
        <w:t>supra</w:t>
      </w:r>
      <w:r w:rsidRPr="00490651">
        <w:rPr>
          <w:sz w:val="20"/>
          <w:szCs w:val="20"/>
        </w:rPr>
        <w:t xml:space="preserve"> note 20, p. 101.</w:t>
      </w:r>
    </w:p>
  </w:footnote>
  <w:footnote w:id="48">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w:t>
      </w:r>
      <w:r w:rsidRPr="00490651">
        <w:rPr>
          <w:bCs/>
          <w:sz w:val="20"/>
          <w:szCs w:val="20"/>
          <w:lang w:val="es-ES"/>
        </w:rPr>
        <w:t xml:space="preserve">Varfolomyeyev S.,  </w:t>
      </w:r>
      <w:r w:rsidRPr="00490651">
        <w:rPr>
          <w:bCs/>
          <w:i/>
          <w:iCs/>
          <w:sz w:val="20"/>
          <w:szCs w:val="20"/>
        </w:rPr>
        <w:t xml:space="preserve">supra </w:t>
      </w:r>
      <w:r w:rsidRPr="00490651">
        <w:rPr>
          <w:bCs/>
          <w:sz w:val="20"/>
          <w:szCs w:val="20"/>
        </w:rPr>
        <w:t>note 34</w:t>
      </w:r>
      <w:r w:rsidRPr="00490651">
        <w:rPr>
          <w:bCs/>
          <w:sz w:val="20"/>
          <w:szCs w:val="20"/>
          <w:lang w:val="es-ES"/>
        </w:rPr>
        <w:t>, p. 7.</w:t>
      </w:r>
    </w:p>
  </w:footnote>
  <w:footnote w:id="49">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Bulotaitė E., Slavickienė A., </w:t>
      </w:r>
      <w:r w:rsidRPr="00490651">
        <w:rPr>
          <w:i/>
          <w:iCs/>
          <w:sz w:val="20"/>
          <w:szCs w:val="20"/>
        </w:rPr>
        <w:t xml:space="preserve">supra </w:t>
      </w:r>
      <w:r w:rsidRPr="00490651">
        <w:rPr>
          <w:sz w:val="20"/>
          <w:szCs w:val="20"/>
        </w:rPr>
        <w:t>note 6, p. 24.</w:t>
      </w:r>
    </w:p>
  </w:footnote>
  <w:footnote w:id="50">
    <w:p w:rsidR="00F5222E" w:rsidRPr="00490651" w:rsidRDefault="00F5222E" w:rsidP="00B44EC4">
      <w:pPr>
        <w:pStyle w:val="Puslapioinaostekstas"/>
        <w:ind w:firstLine="0"/>
        <w:rPr>
          <w:lang w:val="en-US"/>
        </w:rPr>
      </w:pPr>
      <w:r w:rsidRPr="00490651">
        <w:rPr>
          <w:rStyle w:val="Puslapioinaosnuoroda"/>
        </w:rPr>
        <w:footnoteRef/>
      </w:r>
      <w:r w:rsidRPr="00490651">
        <w:t xml:space="preserve"> Galer R., “</w:t>
      </w:r>
      <w:r w:rsidRPr="00490651">
        <w:rPr>
          <w:lang w:val="en-US"/>
        </w:rPr>
        <w:t>Prudent person rule” standard for the investment of pension fund assets</w:t>
      </w:r>
      <w:r w:rsidRPr="00490651">
        <w:t xml:space="preserve">, OECD, 2002. </w:t>
      </w:r>
    </w:p>
    <w:p w:rsidR="00F5222E" w:rsidRPr="00490651" w:rsidRDefault="00F5222E" w:rsidP="00B44EC4">
      <w:pPr>
        <w:pStyle w:val="Puslapioinaostekstas"/>
        <w:ind w:firstLine="0"/>
        <w:rPr>
          <w:lang w:val="es-ES"/>
        </w:rPr>
      </w:pPr>
      <w:r w:rsidRPr="00490651">
        <w:t xml:space="preserve"> </w:t>
      </w:r>
      <w:hyperlink r:id="rId16" w:history="1">
        <w:r w:rsidRPr="00490651">
          <w:rPr>
            <w:rStyle w:val="Hipersaitas"/>
            <w:color w:val="auto"/>
            <w:u w:val="none"/>
          </w:rPr>
          <w:t>http://www.oecd.org/finance/privatepensions/2488700.pdf</w:t>
        </w:r>
      </w:hyperlink>
      <w:r w:rsidRPr="00490651">
        <w:t xml:space="preserve">  [žiūrėta 2013 02 09]. p. 43</w:t>
      </w:r>
      <w:r w:rsidRPr="00490651">
        <w:rPr>
          <w:lang w:val="es-ES"/>
        </w:rPr>
        <w:t>-45.</w:t>
      </w:r>
    </w:p>
  </w:footnote>
  <w:footnote w:id="51">
    <w:p w:rsidR="00F5222E" w:rsidRPr="00490651" w:rsidRDefault="00F5222E" w:rsidP="00B44EC4">
      <w:pPr>
        <w:pStyle w:val="Puslapioinaostekstas"/>
        <w:ind w:firstLine="0"/>
      </w:pPr>
      <w:r w:rsidRPr="00490651">
        <w:rPr>
          <w:rStyle w:val="Puslapioinaosnuoroda"/>
        </w:rPr>
        <w:footnoteRef/>
      </w:r>
      <w:r w:rsidRPr="00490651">
        <w:t xml:space="preserve"> Bulotaitė, E., Slavickienė, A., </w:t>
      </w:r>
      <w:r w:rsidRPr="00490651">
        <w:rPr>
          <w:i/>
          <w:iCs/>
        </w:rPr>
        <w:t xml:space="preserve">supra </w:t>
      </w:r>
      <w:r w:rsidRPr="00490651">
        <w:t>note 6, p. 3.</w:t>
      </w:r>
    </w:p>
  </w:footnote>
  <w:footnote w:id="52">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Konceptualios nuostatos dėl pensijų fondų priežiūros. </w:t>
      </w:r>
      <w:r w:rsidRPr="00490651">
        <w:rPr>
          <w:sz w:val="20"/>
          <w:szCs w:val="20"/>
          <w:lang w:val="es-ES"/>
        </w:rPr>
        <w:t>-</w:t>
      </w:r>
      <w:r w:rsidRPr="00490651">
        <w:rPr>
          <w:sz w:val="20"/>
          <w:szCs w:val="20"/>
        </w:rPr>
        <w:t xml:space="preserve"> Lietuvos laisvosios rinkos institutas.</w:t>
      </w:r>
    </w:p>
    <w:p w:rsidR="00F5222E" w:rsidRPr="00490651" w:rsidRDefault="00173912" w:rsidP="00B44EC4">
      <w:pPr>
        <w:pStyle w:val="Betarp"/>
        <w:ind w:firstLine="0"/>
        <w:rPr>
          <w:sz w:val="20"/>
          <w:szCs w:val="20"/>
        </w:rPr>
      </w:pPr>
      <w:hyperlink r:id="rId17" w:history="1">
        <w:r w:rsidR="00F5222E" w:rsidRPr="00490651">
          <w:rPr>
            <w:rStyle w:val="Hipersaitas"/>
            <w:iCs/>
            <w:color w:val="auto"/>
            <w:sz w:val="20"/>
            <w:szCs w:val="20"/>
            <w:u w:val="none"/>
          </w:rPr>
          <w:t>www.lrinka.lt/uploads/files/dir2/9_0.php</w:t>
        </w:r>
      </w:hyperlink>
      <w:r w:rsidR="00F5222E" w:rsidRPr="00490651">
        <w:rPr>
          <w:sz w:val="20"/>
          <w:szCs w:val="20"/>
        </w:rPr>
        <w:t xml:space="preserve"> [žiūrėta </w:t>
      </w:r>
      <w:r w:rsidR="00F5222E" w:rsidRPr="00490651">
        <w:rPr>
          <w:sz w:val="20"/>
          <w:szCs w:val="20"/>
          <w:lang w:val="es-ES"/>
        </w:rPr>
        <w:t xml:space="preserve">2012 03 20]. </w:t>
      </w:r>
      <w:r w:rsidR="00F5222E" w:rsidRPr="00490651">
        <w:rPr>
          <w:sz w:val="20"/>
          <w:szCs w:val="20"/>
        </w:rPr>
        <w:t>p. 15-16.</w:t>
      </w:r>
    </w:p>
  </w:footnote>
  <w:footnote w:id="53">
    <w:p w:rsidR="00F5222E" w:rsidRPr="00490651" w:rsidRDefault="00F5222E" w:rsidP="00B44EC4">
      <w:pPr>
        <w:pStyle w:val="Puslapioinaostekstas"/>
        <w:ind w:firstLine="0"/>
      </w:pPr>
      <w:r w:rsidRPr="00490651">
        <w:rPr>
          <w:rStyle w:val="Puslapioinaosnuoroda"/>
        </w:rPr>
        <w:footnoteRef/>
      </w:r>
      <w:r w:rsidRPr="00490651">
        <w:t xml:space="preserve"> </w:t>
      </w:r>
      <w:r w:rsidRPr="00490651">
        <w:rPr>
          <w:lang w:val="es-ES"/>
        </w:rPr>
        <w:t xml:space="preserve">Galer R., </w:t>
      </w:r>
      <w:r w:rsidRPr="00490651">
        <w:rPr>
          <w:i/>
          <w:iCs/>
        </w:rPr>
        <w:t xml:space="preserve">supra </w:t>
      </w:r>
      <w:r w:rsidRPr="00490651">
        <w:t>note 50, p. 47-48.</w:t>
      </w:r>
    </w:p>
  </w:footnote>
  <w:footnote w:id="54">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Bulotaitė, E., Slavickienė, </w:t>
      </w:r>
      <w:r w:rsidRPr="00490651">
        <w:rPr>
          <w:i/>
          <w:iCs/>
          <w:sz w:val="20"/>
          <w:szCs w:val="20"/>
        </w:rPr>
        <w:t xml:space="preserve">supra </w:t>
      </w:r>
      <w:r w:rsidRPr="00490651">
        <w:rPr>
          <w:sz w:val="20"/>
          <w:szCs w:val="20"/>
        </w:rPr>
        <w:t xml:space="preserve">note 6, p. 24-25.  </w:t>
      </w:r>
    </w:p>
  </w:footnote>
  <w:footnote w:id="55">
    <w:p w:rsidR="00F5222E" w:rsidRPr="00490651" w:rsidRDefault="00F5222E" w:rsidP="00B44EC4">
      <w:pPr>
        <w:pStyle w:val="Puslapioinaostekstas"/>
        <w:ind w:firstLine="0"/>
      </w:pPr>
      <w:r w:rsidRPr="00490651">
        <w:rPr>
          <w:rStyle w:val="Puslapioinaosnuoroda"/>
        </w:rPr>
        <w:footnoteRef/>
      </w:r>
      <w:r w:rsidRPr="00490651">
        <w:t xml:space="preserve"> </w:t>
      </w:r>
      <w:r w:rsidRPr="00490651">
        <w:rPr>
          <w:lang w:val="es-ES"/>
        </w:rPr>
        <w:t xml:space="preserve">Galer R., </w:t>
      </w:r>
      <w:r w:rsidRPr="00490651">
        <w:rPr>
          <w:i/>
          <w:iCs/>
        </w:rPr>
        <w:t xml:space="preserve">supra </w:t>
      </w:r>
      <w:r w:rsidRPr="00490651">
        <w:t>note 50, p. 53-54.</w:t>
      </w:r>
    </w:p>
  </w:footnote>
  <w:footnote w:id="56">
    <w:p w:rsidR="00F5222E" w:rsidRPr="00490651" w:rsidRDefault="00F5222E" w:rsidP="00B44EC4">
      <w:pPr>
        <w:pStyle w:val="Puslapioinaostekstas"/>
        <w:ind w:firstLine="0"/>
      </w:pPr>
      <w:r w:rsidRPr="00490651">
        <w:rPr>
          <w:rStyle w:val="Puslapioinaosnuoroda"/>
        </w:rPr>
        <w:footnoteRef/>
      </w:r>
      <w:r w:rsidRPr="00490651">
        <w:t xml:space="preserve"> </w:t>
      </w:r>
      <w:r w:rsidRPr="00490651">
        <w:rPr>
          <w:lang w:val="en-US" w:eastAsia="lt-LT"/>
        </w:rPr>
        <w:t>Investment Principles for Occupational Retirement Schemes // Supplementary Paper to the Final Report of the Pensions Working</w:t>
      </w:r>
      <w:r w:rsidRPr="00490651">
        <w:rPr>
          <w:lang w:eastAsia="lt-LT"/>
        </w:rPr>
        <w:t xml:space="preserve"> Group. N. 6., 2005. </w:t>
      </w:r>
      <w:hyperlink r:id="rId18" w:history="1">
        <w:r w:rsidRPr="00490651">
          <w:rPr>
            <w:lang w:eastAsia="lt-LT"/>
          </w:rPr>
          <w:t>https://secure3.gov.mt/socialpolicy/download.aspx?id=1035</w:t>
        </w:r>
      </w:hyperlink>
      <w:r w:rsidRPr="00490651">
        <w:rPr>
          <w:lang w:eastAsia="lt-LT"/>
        </w:rPr>
        <w:t xml:space="preserve"> [žiūrėta 2013 02 09]. p. 9.</w:t>
      </w:r>
    </w:p>
  </w:footnote>
  <w:footnote w:id="57">
    <w:p w:rsidR="00F5222E" w:rsidRPr="00490651" w:rsidRDefault="00F5222E" w:rsidP="00B44EC4">
      <w:pPr>
        <w:pStyle w:val="Puslapioinaostekstas"/>
        <w:ind w:firstLine="0"/>
      </w:pPr>
      <w:r w:rsidRPr="00490651">
        <w:rPr>
          <w:rStyle w:val="Puslapioinaosnuoroda"/>
        </w:rPr>
        <w:footnoteRef/>
      </w:r>
      <w:r w:rsidRPr="00490651">
        <w:t xml:space="preserve"> Konceptualios nuostatos dėl pensijų fondų priežiūros, </w:t>
      </w:r>
      <w:r w:rsidRPr="00490651">
        <w:rPr>
          <w:i/>
        </w:rPr>
        <w:t xml:space="preserve">supra </w:t>
      </w:r>
      <w:r w:rsidRPr="00490651">
        <w:t>note 52, p. 15-16.</w:t>
      </w:r>
    </w:p>
  </w:footnote>
  <w:footnote w:id="58">
    <w:p w:rsidR="00F5222E" w:rsidRPr="00490651" w:rsidRDefault="00F5222E" w:rsidP="00B44EC4">
      <w:pPr>
        <w:pStyle w:val="Puslapioinaostekstas"/>
        <w:ind w:firstLine="0"/>
      </w:pPr>
      <w:r w:rsidRPr="00490651">
        <w:rPr>
          <w:rStyle w:val="Puslapioinaosnuoroda"/>
        </w:rPr>
        <w:footnoteRef/>
      </w:r>
      <w:r w:rsidRPr="00490651">
        <w:t xml:space="preserve"> Katkus V., Martinaitytė E. Pensijų reforma: pensijų fondų sistemos Lietuvoje kūrimo problemos, III ataskaitos dalis.// Atviros Lietuvos fondas, Viešosios politikos projektai. Vilnius, 2002. </w:t>
      </w:r>
    </w:p>
    <w:p w:rsidR="00F5222E" w:rsidRPr="00490651" w:rsidRDefault="00173912" w:rsidP="00B44EC4">
      <w:pPr>
        <w:pStyle w:val="Puslapioinaostekstas"/>
        <w:ind w:firstLine="0"/>
      </w:pPr>
      <w:hyperlink r:id="rId19" w:history="1">
        <w:r w:rsidR="00F5222E" w:rsidRPr="00490651">
          <w:rPr>
            <w:rStyle w:val="Hipersaitas"/>
            <w:color w:val="auto"/>
            <w:u w:val="none"/>
          </w:rPr>
          <w:t>http://politika.osf.lt/eurointegracija/santraukos/dalyvavimaspensijureformoje.htm</w:t>
        </w:r>
      </w:hyperlink>
      <w:r w:rsidR="00F5222E" w:rsidRPr="00490651">
        <w:t xml:space="preserve"> [žiūrėta 2012 04 15]. p. 22 </w:t>
      </w:r>
      <w:r w:rsidR="00F5222E" w:rsidRPr="00490651">
        <w:rPr>
          <w:lang w:val="es-ES"/>
        </w:rPr>
        <w:t>-</w:t>
      </w:r>
      <w:r w:rsidR="00F5222E" w:rsidRPr="00490651">
        <w:t xml:space="preserve"> 23.</w:t>
      </w:r>
    </w:p>
  </w:footnote>
  <w:footnote w:id="59">
    <w:p w:rsidR="00F5222E" w:rsidRPr="00490651" w:rsidRDefault="00F5222E" w:rsidP="00B44EC4">
      <w:pPr>
        <w:pStyle w:val="Puslapioinaostekstas"/>
        <w:ind w:firstLine="0"/>
      </w:pPr>
      <w:r w:rsidRPr="00490651">
        <w:rPr>
          <w:rStyle w:val="Puslapioinaosnuoroda"/>
        </w:rPr>
        <w:footnoteRef/>
      </w:r>
      <w:r w:rsidRPr="00490651">
        <w:t xml:space="preserve"> </w:t>
      </w:r>
      <w:r w:rsidRPr="00490651">
        <w:rPr>
          <w:lang w:val="en-US"/>
        </w:rPr>
        <w:t xml:space="preserve">Investment Principles for Occupational Retirement Schemes, </w:t>
      </w:r>
      <w:r w:rsidRPr="00490651">
        <w:rPr>
          <w:i/>
          <w:lang w:val="en-US"/>
        </w:rPr>
        <w:t>op. cit.</w:t>
      </w:r>
      <w:r w:rsidRPr="00490651">
        <w:rPr>
          <w:lang w:val="en-US"/>
        </w:rPr>
        <w:t>, p. 9.</w:t>
      </w:r>
    </w:p>
  </w:footnote>
  <w:footnote w:id="60">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Konceptualios nuostatos dėl pensijų fondų priežiūros, </w:t>
      </w:r>
      <w:r w:rsidRPr="00490651">
        <w:rPr>
          <w:i/>
          <w:sz w:val="20"/>
          <w:szCs w:val="20"/>
        </w:rPr>
        <w:t>supra</w:t>
      </w:r>
      <w:r w:rsidRPr="00490651">
        <w:rPr>
          <w:sz w:val="20"/>
          <w:szCs w:val="20"/>
        </w:rPr>
        <w:t xml:space="preserve"> note 52, p. 15-16.</w:t>
      </w:r>
    </w:p>
  </w:footnote>
  <w:footnote w:id="61">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Galer R., </w:t>
      </w:r>
      <w:r w:rsidRPr="00490651">
        <w:rPr>
          <w:i/>
          <w:sz w:val="20"/>
          <w:szCs w:val="20"/>
        </w:rPr>
        <w:t>supra</w:t>
      </w:r>
      <w:r w:rsidRPr="00490651">
        <w:rPr>
          <w:sz w:val="20"/>
          <w:szCs w:val="20"/>
        </w:rPr>
        <w:t xml:space="preserve"> note 50, p. 55–56.</w:t>
      </w:r>
    </w:p>
  </w:footnote>
  <w:footnote w:id="62">
    <w:p w:rsidR="00F5222E" w:rsidRPr="00490651" w:rsidRDefault="00F5222E" w:rsidP="00CE512A">
      <w:pPr>
        <w:pStyle w:val="Puslapioinaostekstas"/>
        <w:ind w:firstLine="0"/>
      </w:pPr>
      <w:r w:rsidRPr="00490651">
        <w:rPr>
          <w:rStyle w:val="Puslapioinaosnuoroda"/>
        </w:rPr>
        <w:footnoteRef/>
      </w:r>
      <w:r w:rsidRPr="00490651">
        <w:t xml:space="preserve"> </w:t>
      </w:r>
      <w:r w:rsidRPr="00490651">
        <w:rPr>
          <w:lang w:val="en-US"/>
        </w:rPr>
        <w:t xml:space="preserve">Investment Principles for Occupational Retirement Schemes, </w:t>
      </w:r>
      <w:r w:rsidRPr="00490651">
        <w:rPr>
          <w:i/>
          <w:lang w:val="en-US"/>
        </w:rPr>
        <w:t>supra</w:t>
      </w:r>
      <w:r w:rsidRPr="00490651">
        <w:rPr>
          <w:lang w:val="en-US"/>
        </w:rPr>
        <w:t xml:space="preserve"> note 56, p. 2–3.</w:t>
      </w:r>
    </w:p>
  </w:footnote>
  <w:footnote w:id="63">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Konceptualios nuostatos dėl pensijų fondų priežiūros,</w:t>
      </w:r>
      <w:r w:rsidRPr="00490651">
        <w:rPr>
          <w:i/>
          <w:sz w:val="20"/>
          <w:szCs w:val="20"/>
        </w:rPr>
        <w:t xml:space="preserve"> supra</w:t>
      </w:r>
      <w:r w:rsidRPr="00490651">
        <w:rPr>
          <w:sz w:val="20"/>
          <w:szCs w:val="20"/>
        </w:rPr>
        <w:t xml:space="preserve"> note 52, p. 15-16. </w:t>
      </w:r>
    </w:p>
  </w:footnote>
  <w:footnote w:id="64">
    <w:p w:rsidR="00F5222E" w:rsidRPr="00490651" w:rsidRDefault="00F5222E" w:rsidP="000465CE">
      <w:pPr>
        <w:pStyle w:val="Betarp"/>
        <w:ind w:firstLine="0"/>
        <w:rPr>
          <w:bCs/>
          <w:sz w:val="20"/>
          <w:szCs w:val="20"/>
          <w:lang w:val="en-US"/>
        </w:rPr>
      </w:pPr>
      <w:r w:rsidRPr="00490651">
        <w:rPr>
          <w:rStyle w:val="Puslapioinaosnuoroda"/>
          <w:sz w:val="20"/>
          <w:szCs w:val="20"/>
        </w:rPr>
        <w:footnoteRef/>
      </w:r>
      <w:r w:rsidRPr="00490651">
        <w:rPr>
          <w:sz w:val="20"/>
          <w:szCs w:val="20"/>
        </w:rPr>
        <w:t xml:space="preserve"> </w:t>
      </w:r>
      <w:proofErr w:type="gramStart"/>
      <w:r w:rsidRPr="00490651">
        <w:rPr>
          <w:sz w:val="20"/>
          <w:szCs w:val="20"/>
          <w:lang w:val="en-US"/>
        </w:rPr>
        <w:t xml:space="preserve">“Survey of investment regulation of Pension Funds“, </w:t>
      </w:r>
      <w:r w:rsidRPr="00490651">
        <w:rPr>
          <w:bCs/>
          <w:sz w:val="20"/>
          <w:szCs w:val="20"/>
          <w:lang w:val="en-US"/>
        </w:rPr>
        <w:t>OECD Secretariat, 2001.</w:t>
      </w:r>
      <w:proofErr w:type="gramEnd"/>
      <w:r w:rsidRPr="00490651">
        <w:rPr>
          <w:bCs/>
          <w:sz w:val="20"/>
          <w:szCs w:val="20"/>
          <w:lang w:val="en-US"/>
        </w:rPr>
        <w:t xml:space="preserve"> </w:t>
      </w:r>
    </w:p>
    <w:p w:rsidR="00F5222E" w:rsidRPr="00490651" w:rsidRDefault="00173912" w:rsidP="000465CE">
      <w:pPr>
        <w:pStyle w:val="Betarp"/>
        <w:ind w:firstLine="0"/>
        <w:rPr>
          <w:bCs/>
          <w:sz w:val="20"/>
          <w:szCs w:val="20"/>
          <w:lang w:val="es-ES"/>
        </w:rPr>
      </w:pPr>
      <w:hyperlink r:id="rId20" w:history="1">
        <w:r w:rsidR="00F5222E" w:rsidRPr="00490651">
          <w:rPr>
            <w:rStyle w:val="Hipersaitas"/>
            <w:color w:val="auto"/>
            <w:sz w:val="20"/>
            <w:szCs w:val="20"/>
            <w:u w:val="none"/>
          </w:rPr>
          <w:t>http://www.oecd.org/finance/privatepensions/2401405.pdf</w:t>
        </w:r>
      </w:hyperlink>
      <w:r w:rsidR="00F5222E" w:rsidRPr="00490651">
        <w:rPr>
          <w:sz w:val="20"/>
          <w:szCs w:val="20"/>
        </w:rPr>
        <w:t xml:space="preserve"> [žiūrėta </w:t>
      </w:r>
      <w:r w:rsidR="00F5222E" w:rsidRPr="00490651">
        <w:rPr>
          <w:sz w:val="20"/>
          <w:szCs w:val="20"/>
          <w:lang w:val="es-ES"/>
        </w:rPr>
        <w:t>2013 01 17].</w:t>
      </w:r>
      <w:r w:rsidR="00F5222E" w:rsidRPr="00490651">
        <w:rPr>
          <w:bCs/>
          <w:sz w:val="20"/>
          <w:szCs w:val="20"/>
          <w:lang w:val="es-ES"/>
        </w:rPr>
        <w:t xml:space="preserve"> p. 2.</w:t>
      </w:r>
    </w:p>
  </w:footnote>
  <w:footnote w:id="65">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w:t>
      </w:r>
      <w:proofErr w:type="gramStart"/>
      <w:r w:rsidRPr="00490651">
        <w:rPr>
          <w:sz w:val="20"/>
          <w:szCs w:val="20"/>
          <w:lang w:val="en-US"/>
        </w:rPr>
        <w:t>Pension fund governance, investment strategies, and their</w:t>
      </w:r>
      <w:r w:rsidRPr="00490651">
        <w:rPr>
          <w:sz w:val="20"/>
          <w:szCs w:val="20"/>
        </w:rPr>
        <w:t xml:space="preserve"> role </w:t>
      </w:r>
      <w:r w:rsidRPr="00490651">
        <w:rPr>
          <w:sz w:val="20"/>
          <w:szCs w:val="20"/>
          <w:lang w:val="en-US"/>
        </w:rPr>
        <w:t xml:space="preserve">in corporate </w:t>
      </w:r>
      <w:r w:rsidRPr="00490651">
        <w:rPr>
          <w:sz w:val="20"/>
          <w:szCs w:val="20"/>
        </w:rPr>
        <w:t>governance.</w:t>
      </w:r>
      <w:proofErr w:type="gramEnd"/>
      <w:r w:rsidRPr="00490651">
        <w:rPr>
          <w:sz w:val="20"/>
          <w:szCs w:val="20"/>
        </w:rPr>
        <w:t xml:space="preserve"> </w:t>
      </w:r>
      <w:r w:rsidRPr="00490651">
        <w:rPr>
          <w:bCs/>
          <w:sz w:val="20"/>
          <w:szCs w:val="20"/>
        </w:rPr>
        <w:t xml:space="preserve">OECD </w:t>
      </w:r>
      <w:proofErr w:type="spellStart"/>
      <w:r w:rsidRPr="00490651">
        <w:rPr>
          <w:bCs/>
          <w:sz w:val="20"/>
          <w:szCs w:val="20"/>
        </w:rPr>
        <w:t>Secretariat</w:t>
      </w:r>
      <w:proofErr w:type="spellEnd"/>
      <w:r w:rsidRPr="00490651">
        <w:rPr>
          <w:bCs/>
          <w:sz w:val="20"/>
          <w:szCs w:val="20"/>
        </w:rPr>
        <w:t xml:space="preserve">, 2000. </w:t>
      </w:r>
    </w:p>
    <w:p w:rsidR="00F5222E" w:rsidRPr="00490651" w:rsidRDefault="00173912" w:rsidP="00B44EC4">
      <w:pPr>
        <w:pStyle w:val="Betarp"/>
        <w:ind w:firstLine="0"/>
        <w:rPr>
          <w:sz w:val="20"/>
          <w:szCs w:val="20"/>
        </w:rPr>
      </w:pPr>
      <w:hyperlink r:id="rId21" w:history="1">
        <w:r w:rsidR="00F5222E" w:rsidRPr="00490651">
          <w:rPr>
            <w:rStyle w:val="Hipersaitas"/>
            <w:color w:val="auto"/>
            <w:sz w:val="20"/>
            <w:szCs w:val="20"/>
            <w:u w:val="none"/>
          </w:rPr>
          <w:t>http://www.fiap.cl/prontus_fiap/site/artic/20070611/asocfile/20070611102152/pension_fund_investment_and_its_role_on_corporate_governance__oecd_.pdf</w:t>
        </w:r>
      </w:hyperlink>
      <w:r w:rsidR="00F5222E" w:rsidRPr="00490651">
        <w:rPr>
          <w:sz w:val="20"/>
          <w:szCs w:val="20"/>
        </w:rPr>
        <w:t xml:space="preserve"> [žiūrėta 2013 01 15]. p. 2.</w:t>
      </w:r>
    </w:p>
  </w:footnote>
  <w:footnote w:id="66">
    <w:p w:rsidR="00F5222E" w:rsidRPr="00490651" w:rsidRDefault="00F5222E" w:rsidP="00B44EC4">
      <w:pPr>
        <w:pStyle w:val="Betarp"/>
        <w:ind w:firstLine="0"/>
        <w:rPr>
          <w:sz w:val="20"/>
          <w:szCs w:val="20"/>
          <w:lang w:val="es-ES"/>
        </w:rPr>
      </w:pPr>
      <w:r w:rsidRPr="00490651">
        <w:rPr>
          <w:rStyle w:val="Puslapioinaosnuoroda"/>
          <w:sz w:val="20"/>
          <w:szCs w:val="20"/>
        </w:rPr>
        <w:footnoteRef/>
      </w:r>
      <w:r w:rsidRPr="00490651">
        <w:rPr>
          <w:sz w:val="20"/>
          <w:szCs w:val="20"/>
        </w:rPr>
        <w:t xml:space="preserve"> Stewart F., Yermo J., </w:t>
      </w:r>
      <w:r w:rsidRPr="00490651">
        <w:rPr>
          <w:sz w:val="20"/>
          <w:szCs w:val="20"/>
          <w:lang w:val="en-US"/>
        </w:rPr>
        <w:t xml:space="preserve">Pension Fund Governance: Challenges and Potential Solutions, OECD Working Papers on Insurance and Private Pensions, No. 18, OECD publishing. – France, 2008. </w:t>
      </w:r>
      <w:hyperlink r:id="rId22" w:history="1">
        <w:r w:rsidRPr="00490651">
          <w:rPr>
            <w:rStyle w:val="Hipersaitas"/>
            <w:color w:val="auto"/>
            <w:sz w:val="20"/>
            <w:szCs w:val="20"/>
            <w:u w:val="none"/>
          </w:rPr>
          <w:t>http://www.oecd.org/insurance/private-pensions/41013956.pdf</w:t>
        </w:r>
      </w:hyperlink>
      <w:r w:rsidRPr="00490651">
        <w:rPr>
          <w:sz w:val="20"/>
          <w:szCs w:val="20"/>
        </w:rPr>
        <w:t xml:space="preserve"> [žiūrėta 2013 01 15]. </w:t>
      </w:r>
      <w:r w:rsidRPr="00490651">
        <w:rPr>
          <w:sz w:val="20"/>
          <w:szCs w:val="20"/>
          <w:lang w:val="es-ES"/>
        </w:rPr>
        <w:t>p. 6.</w:t>
      </w:r>
    </w:p>
  </w:footnote>
  <w:footnote w:id="67">
    <w:p w:rsidR="00F5222E" w:rsidRPr="00490651" w:rsidRDefault="00F5222E" w:rsidP="000465CE">
      <w:pPr>
        <w:pStyle w:val="Betarp"/>
        <w:ind w:firstLine="0"/>
        <w:rPr>
          <w:sz w:val="20"/>
          <w:szCs w:val="20"/>
        </w:rPr>
      </w:pPr>
      <w:r w:rsidRPr="00490651">
        <w:rPr>
          <w:rStyle w:val="Puslapioinaosnuoroda"/>
          <w:sz w:val="20"/>
          <w:szCs w:val="20"/>
        </w:rPr>
        <w:footnoteRef/>
      </w:r>
      <w:r w:rsidRPr="00490651">
        <w:rPr>
          <w:sz w:val="20"/>
          <w:szCs w:val="20"/>
        </w:rPr>
        <w:t xml:space="preserve"> Morkūnienė A. Pasaulinė pensijų fondų praktika ir patirtis. – Vilnius, 1997.</w:t>
      </w:r>
    </w:p>
    <w:p w:rsidR="00F5222E" w:rsidRPr="00490651" w:rsidRDefault="00173912" w:rsidP="000465CE">
      <w:pPr>
        <w:pStyle w:val="Betarp"/>
        <w:ind w:firstLine="0"/>
        <w:rPr>
          <w:sz w:val="20"/>
          <w:szCs w:val="20"/>
          <w:lang w:val="es-ES"/>
        </w:rPr>
      </w:pPr>
      <w:hyperlink r:id="rId23" w:history="1">
        <w:r w:rsidR="00F5222E" w:rsidRPr="00490651">
          <w:rPr>
            <w:rStyle w:val="Hipersaitas"/>
            <w:color w:val="auto"/>
            <w:sz w:val="20"/>
            <w:szCs w:val="20"/>
            <w:u w:val="none"/>
            <w:lang w:val="es-ES"/>
          </w:rPr>
          <w:t>http://www.lrinka.lt/index.php/pranesimai_prezentacijos/pasauline_pensiju_fondu_praktika_ir_patirtis/2140</w:t>
        </w:r>
      </w:hyperlink>
      <w:r w:rsidR="00F5222E" w:rsidRPr="00490651">
        <w:rPr>
          <w:sz w:val="20"/>
          <w:szCs w:val="20"/>
          <w:lang w:val="es-ES"/>
        </w:rPr>
        <w:t xml:space="preserve"> [žiūrėta 2013 01 15].</w:t>
      </w:r>
    </w:p>
  </w:footnote>
  <w:footnote w:id="68">
    <w:p w:rsidR="00F5222E" w:rsidRPr="00490651" w:rsidRDefault="00F5222E" w:rsidP="0074400E">
      <w:pPr>
        <w:pStyle w:val="Puslapioinaostekstas"/>
        <w:ind w:firstLine="0"/>
      </w:pPr>
      <w:r w:rsidRPr="00490651">
        <w:rPr>
          <w:rStyle w:val="Puslapioinaosnuoroda"/>
        </w:rPr>
        <w:footnoteRef/>
      </w:r>
      <w:r w:rsidRPr="00490651">
        <w:t xml:space="preserve"> Stanislovaitis R., Komercinė teisė. – Vilnius: Eugrimas, 2005. – 283 p. ISBN 9955-682-11-6. p. </w:t>
      </w:r>
      <w:r>
        <w:rPr>
          <w:lang w:val="es-ES"/>
        </w:rPr>
        <w:t>107</w:t>
      </w:r>
      <w:r w:rsidRPr="0074400E">
        <w:rPr>
          <w:lang w:val="es-ES"/>
        </w:rPr>
        <w:t>-</w:t>
      </w:r>
      <w:r w:rsidRPr="00490651">
        <w:t>108.</w:t>
      </w:r>
      <w:r w:rsidRPr="00490651">
        <w:rPr>
          <w:lang w:val="es-ES"/>
        </w:rPr>
        <w:t xml:space="preserve"> </w:t>
      </w:r>
    </w:p>
  </w:footnote>
  <w:footnote w:id="69">
    <w:p w:rsidR="00F5222E" w:rsidRPr="00490651" w:rsidRDefault="00F5222E" w:rsidP="00D55C91">
      <w:pPr>
        <w:pStyle w:val="Betarp"/>
        <w:ind w:firstLine="0"/>
        <w:rPr>
          <w:sz w:val="20"/>
          <w:szCs w:val="20"/>
        </w:rPr>
      </w:pPr>
      <w:r w:rsidRPr="00490651">
        <w:rPr>
          <w:rStyle w:val="Puslapioinaosnuoroda"/>
          <w:sz w:val="20"/>
          <w:szCs w:val="20"/>
        </w:rPr>
        <w:footnoteRef/>
      </w:r>
      <w:r w:rsidRPr="00490651">
        <w:rPr>
          <w:sz w:val="20"/>
          <w:szCs w:val="20"/>
        </w:rPr>
        <w:t xml:space="preserve"> Sakavičius J., Turto patikėjimo teisė ir jos ypatumai Lietuvos civilinėje teisėje // Socialinių mokslų studijos. – Vilnius: Mykolo Romerio Universitetas, 2011, Nr. 3(3), p. 1095–1110. – ISNN 2029-2236, p. 1097-1098.</w:t>
      </w:r>
    </w:p>
  </w:footnote>
  <w:footnote w:id="70">
    <w:p w:rsidR="00F5222E" w:rsidRPr="00490651" w:rsidRDefault="00F5222E" w:rsidP="00C50045">
      <w:pPr>
        <w:pStyle w:val="Puslapioinaostekstas"/>
        <w:ind w:firstLine="0"/>
      </w:pPr>
      <w:r w:rsidRPr="00490651">
        <w:rPr>
          <w:rStyle w:val="Puslapioinaosnuoroda"/>
        </w:rPr>
        <w:footnoteRef/>
      </w:r>
      <w:r w:rsidRPr="00490651">
        <w:t xml:space="preserve"> Lietuvos Respublikos Civilinis kodeksas. </w:t>
      </w:r>
      <w:r w:rsidRPr="00490651">
        <w:rPr>
          <w:i/>
          <w:iCs/>
        </w:rPr>
        <w:t>Valstybės žinios</w:t>
      </w:r>
      <w:r w:rsidRPr="00490651">
        <w:t>. 2000, Nr. 74-2262.</w:t>
      </w:r>
    </w:p>
  </w:footnote>
  <w:footnote w:id="71">
    <w:p w:rsidR="00F5222E" w:rsidRPr="00490651" w:rsidRDefault="00F5222E" w:rsidP="004B74F4">
      <w:pPr>
        <w:pStyle w:val="Puslapioinaostekstas"/>
        <w:ind w:firstLine="0"/>
      </w:pPr>
      <w:r w:rsidRPr="00490651">
        <w:rPr>
          <w:rStyle w:val="Puslapioinaosnuoroda"/>
        </w:rPr>
        <w:footnoteRef/>
      </w:r>
      <w:r w:rsidRPr="00490651">
        <w:t xml:space="preserve"> Lietuvos Respublikos Pensijų kaupimo įstatymas. </w:t>
      </w:r>
      <w:r w:rsidRPr="00490651">
        <w:rPr>
          <w:i/>
        </w:rPr>
        <w:t>Valstybės žinios</w:t>
      </w:r>
      <w:r w:rsidRPr="00490651">
        <w:t>. 2003, Nr. 75-3472.</w:t>
      </w:r>
    </w:p>
  </w:footnote>
  <w:footnote w:id="72">
    <w:p w:rsidR="00F5222E" w:rsidRPr="00490651" w:rsidRDefault="00F5222E" w:rsidP="00C95627">
      <w:pPr>
        <w:pStyle w:val="Puslapioinaostekstas"/>
        <w:ind w:firstLine="0"/>
      </w:pPr>
      <w:r w:rsidRPr="00490651">
        <w:rPr>
          <w:rStyle w:val="Puslapioinaosnuoroda"/>
        </w:rPr>
        <w:footnoteRef/>
      </w:r>
      <w:r w:rsidRPr="00490651">
        <w:t xml:space="preserve"> Sakavičius J., </w:t>
      </w:r>
      <w:r w:rsidRPr="00490651">
        <w:rPr>
          <w:i/>
        </w:rPr>
        <w:t>supra</w:t>
      </w:r>
      <w:r w:rsidRPr="00490651">
        <w:t xml:space="preserve"> note </w:t>
      </w:r>
      <w:r w:rsidRPr="00490651">
        <w:rPr>
          <w:lang w:val="es-ES"/>
        </w:rPr>
        <w:t>69, p. 1096.</w:t>
      </w:r>
    </w:p>
  </w:footnote>
  <w:footnote w:id="73">
    <w:p w:rsidR="00F5222E" w:rsidRPr="00490651" w:rsidRDefault="00F5222E" w:rsidP="00C95627">
      <w:pPr>
        <w:pStyle w:val="Puslapioinaostekstas"/>
        <w:ind w:firstLine="0"/>
      </w:pPr>
      <w:r w:rsidRPr="00490651">
        <w:rPr>
          <w:rStyle w:val="Puslapioinaosnuoroda"/>
        </w:rPr>
        <w:footnoteRef/>
      </w:r>
      <w:r w:rsidRPr="00490651">
        <w:t xml:space="preserve"> Socialinės apsaugos ir darbo ministerijos socialinis pranešimas</w:t>
      </w:r>
      <w:r w:rsidRPr="00490651">
        <w:rPr>
          <w:i/>
        </w:rPr>
        <w:t xml:space="preserve">, supra </w:t>
      </w:r>
      <w:r w:rsidRPr="00490651">
        <w:t xml:space="preserve">note </w:t>
      </w:r>
      <w:r w:rsidRPr="00490651">
        <w:rPr>
          <w:lang w:val="es-ES"/>
        </w:rPr>
        <w:t>16</w:t>
      </w:r>
      <w:r w:rsidRPr="00490651">
        <w:t>, p. 67.</w:t>
      </w:r>
    </w:p>
  </w:footnote>
  <w:footnote w:id="74">
    <w:p w:rsidR="00F5222E" w:rsidRPr="0083629F" w:rsidRDefault="00F5222E" w:rsidP="00C95627">
      <w:pPr>
        <w:pStyle w:val="Puslapioinaostekstas"/>
        <w:ind w:firstLine="0"/>
      </w:pPr>
      <w:r w:rsidRPr="00490651">
        <w:rPr>
          <w:rStyle w:val="Puslapioinaosnuoroda"/>
        </w:rPr>
        <w:footnoteRef/>
      </w:r>
      <w:r w:rsidRPr="00490651">
        <w:t xml:space="preserve"> </w:t>
      </w:r>
      <w:r>
        <w:t xml:space="preserve">Pakalniškis V., Nuosavybės tesiės doktrina ir Lietuvos Respublikos Civilinis kodeksas. // Jurisprudencija: mokslo darbai. Vilnius: Lietuvos teisės universitetas, </w:t>
      </w:r>
      <w:r>
        <w:rPr>
          <w:lang w:val="es-ES"/>
        </w:rPr>
        <w:t xml:space="preserve">2002, Nr. 28 (20), </w:t>
      </w:r>
      <w:r w:rsidRPr="003807B4">
        <w:rPr>
          <w:lang w:val="es-ES"/>
        </w:rPr>
        <w:t xml:space="preserve"> </w:t>
      </w:r>
      <w:r w:rsidRPr="0083629F">
        <w:t>p. 79.</w:t>
      </w:r>
    </w:p>
  </w:footnote>
  <w:footnote w:id="75">
    <w:p w:rsidR="00F5222E" w:rsidRPr="0083629F" w:rsidRDefault="00F5222E" w:rsidP="00C95627">
      <w:pPr>
        <w:pStyle w:val="Betarp"/>
        <w:ind w:firstLine="0"/>
        <w:rPr>
          <w:sz w:val="20"/>
          <w:szCs w:val="20"/>
        </w:rPr>
      </w:pPr>
      <w:r w:rsidRPr="00490651">
        <w:rPr>
          <w:rStyle w:val="Puslapioinaosnuoroda"/>
          <w:sz w:val="20"/>
          <w:szCs w:val="20"/>
        </w:rPr>
        <w:footnoteRef/>
      </w:r>
      <w:r w:rsidRPr="00490651">
        <w:rPr>
          <w:sz w:val="20"/>
          <w:szCs w:val="20"/>
        </w:rPr>
        <w:t xml:space="preserve"> Lietuvos Respublikos Civilinis kodeksas, </w:t>
      </w:r>
      <w:r w:rsidRPr="00490651">
        <w:rPr>
          <w:i/>
          <w:sz w:val="20"/>
          <w:szCs w:val="20"/>
        </w:rPr>
        <w:t>supra</w:t>
      </w:r>
      <w:r w:rsidRPr="00490651">
        <w:rPr>
          <w:sz w:val="20"/>
          <w:szCs w:val="20"/>
        </w:rPr>
        <w:t xml:space="preserve"> note </w:t>
      </w:r>
      <w:r w:rsidRPr="0083629F">
        <w:rPr>
          <w:sz w:val="20"/>
          <w:szCs w:val="20"/>
        </w:rPr>
        <w:t>70, 6.953 straipsnio 2 dalis.</w:t>
      </w:r>
    </w:p>
  </w:footnote>
  <w:footnote w:id="76">
    <w:p w:rsidR="00F5222E" w:rsidRPr="00490651" w:rsidRDefault="00F5222E" w:rsidP="00C95627">
      <w:pPr>
        <w:autoSpaceDE w:val="0"/>
        <w:autoSpaceDN w:val="0"/>
        <w:adjustRightInd w:val="0"/>
        <w:spacing w:after="0" w:line="240" w:lineRule="auto"/>
        <w:jc w:val="both"/>
        <w:rPr>
          <w:sz w:val="20"/>
          <w:szCs w:val="20"/>
        </w:rPr>
      </w:pPr>
      <w:r w:rsidRPr="00490651">
        <w:rPr>
          <w:rStyle w:val="Puslapioinaosnuoroda"/>
          <w:sz w:val="20"/>
          <w:szCs w:val="20"/>
        </w:rPr>
        <w:footnoteRef/>
      </w:r>
      <w:r w:rsidRPr="00490651">
        <w:rPr>
          <w:sz w:val="20"/>
          <w:szCs w:val="20"/>
        </w:rPr>
        <w:t xml:space="preserve"> </w:t>
      </w:r>
      <w:r w:rsidRPr="00490651">
        <w:rPr>
          <w:sz w:val="20"/>
          <w:szCs w:val="20"/>
          <w:lang w:eastAsia="lt-LT"/>
        </w:rPr>
        <w:t>Mikelėnas V., Civilinė teisė. Bendroji dalis. - Vadovėlis. Vilnius: Justitia, 2009., 83-149 p,. ISBN 978-9955-616-40-5., p. 106-107.</w:t>
      </w:r>
    </w:p>
  </w:footnote>
  <w:footnote w:id="77">
    <w:p w:rsidR="00F5222E" w:rsidRPr="00490651" w:rsidRDefault="00F5222E" w:rsidP="00C95627">
      <w:pPr>
        <w:pStyle w:val="Betarp"/>
        <w:ind w:firstLine="0"/>
        <w:rPr>
          <w:sz w:val="20"/>
          <w:szCs w:val="20"/>
        </w:rPr>
      </w:pPr>
      <w:r w:rsidRPr="00490651">
        <w:rPr>
          <w:rStyle w:val="Puslapioinaosnuoroda"/>
          <w:sz w:val="20"/>
          <w:szCs w:val="20"/>
        </w:rPr>
        <w:footnoteRef/>
      </w:r>
      <w:r w:rsidRPr="00490651">
        <w:rPr>
          <w:sz w:val="20"/>
          <w:szCs w:val="20"/>
        </w:rPr>
        <w:t xml:space="preserve"> Sakavičius J., </w:t>
      </w:r>
      <w:r w:rsidRPr="00490651">
        <w:rPr>
          <w:i/>
          <w:sz w:val="20"/>
          <w:szCs w:val="20"/>
        </w:rPr>
        <w:t>supra</w:t>
      </w:r>
      <w:r w:rsidRPr="00490651">
        <w:rPr>
          <w:sz w:val="20"/>
          <w:szCs w:val="20"/>
        </w:rPr>
        <w:t xml:space="preserve"> note 69,  p. 1098.</w:t>
      </w:r>
    </w:p>
  </w:footnote>
  <w:footnote w:id="78">
    <w:p w:rsidR="00F5222E" w:rsidRPr="00490651" w:rsidRDefault="00F5222E" w:rsidP="00F307C4">
      <w:pPr>
        <w:pStyle w:val="Puslapioinaostekstas"/>
        <w:ind w:firstLine="0"/>
        <w:rPr>
          <w:lang w:val="es-ES"/>
        </w:rPr>
      </w:pPr>
      <w:r w:rsidRPr="00490651">
        <w:rPr>
          <w:rStyle w:val="Puslapioinaosnuoroda"/>
        </w:rPr>
        <w:footnoteRef/>
      </w:r>
      <w:r w:rsidRPr="00490651">
        <w:t xml:space="preserve"> </w:t>
      </w:r>
      <w:r w:rsidRPr="00490651">
        <w:rPr>
          <w:lang w:eastAsia="lt-LT"/>
        </w:rPr>
        <w:t xml:space="preserve">Mikelėnas V., </w:t>
      </w:r>
      <w:r w:rsidRPr="00490651">
        <w:rPr>
          <w:i/>
          <w:lang w:eastAsia="lt-LT"/>
        </w:rPr>
        <w:t xml:space="preserve">supra </w:t>
      </w:r>
      <w:r w:rsidRPr="00490651">
        <w:rPr>
          <w:lang w:eastAsia="lt-LT"/>
        </w:rPr>
        <w:t xml:space="preserve">note </w:t>
      </w:r>
      <w:r w:rsidRPr="00490651">
        <w:rPr>
          <w:lang w:val="es-ES" w:eastAsia="lt-LT"/>
        </w:rPr>
        <w:t>76, p. 107.</w:t>
      </w:r>
    </w:p>
  </w:footnote>
  <w:footnote w:id="79">
    <w:p w:rsidR="00F5222E" w:rsidRPr="00490651" w:rsidRDefault="00F5222E" w:rsidP="00CB60E1">
      <w:pPr>
        <w:pStyle w:val="Puslapioinaostekstas"/>
        <w:ind w:firstLine="0"/>
      </w:pPr>
      <w:r w:rsidRPr="00490651">
        <w:rPr>
          <w:rStyle w:val="Puslapioinaosnuoroda"/>
        </w:rPr>
        <w:footnoteRef/>
      </w:r>
      <w:r w:rsidRPr="00490651">
        <w:t xml:space="preserve"> Sakavičius J., </w:t>
      </w:r>
      <w:r w:rsidRPr="00490651">
        <w:rPr>
          <w:i/>
        </w:rPr>
        <w:t>supra</w:t>
      </w:r>
      <w:r w:rsidRPr="00490651">
        <w:t xml:space="preserve"> note 69, p. 1098.</w:t>
      </w:r>
    </w:p>
  </w:footnote>
  <w:footnote w:id="80">
    <w:p w:rsidR="00F5222E" w:rsidRPr="00490651" w:rsidRDefault="00F5222E" w:rsidP="00666396">
      <w:pPr>
        <w:pStyle w:val="Puslapioinaostekstas"/>
        <w:ind w:firstLine="0"/>
      </w:pPr>
      <w:r w:rsidRPr="00490651">
        <w:rPr>
          <w:rStyle w:val="Puslapioinaosnuoroda"/>
        </w:rPr>
        <w:footnoteRef/>
      </w:r>
      <w:r w:rsidRPr="00490651">
        <w:rPr>
          <w:iCs/>
        </w:rPr>
        <w:t xml:space="preserve"> Papirtis L.V., ir kt. Civilinė teisė. Bendroji dalis, II tomas</w:t>
      </w:r>
      <w:r w:rsidRPr="00490651">
        <w:t>. – Vadovėlis. Vilnius: Mykolo Romerio Universiteto Leidybos centras, 2005.- 250 p. ISBN 9955-19-019-1. p  115.</w:t>
      </w:r>
    </w:p>
  </w:footnote>
  <w:footnote w:id="81">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Lietuvos Respublikos Civilinis Kodeksas, </w:t>
      </w:r>
      <w:r w:rsidRPr="00490651">
        <w:rPr>
          <w:i/>
          <w:sz w:val="20"/>
          <w:szCs w:val="20"/>
        </w:rPr>
        <w:t>supra</w:t>
      </w:r>
      <w:r w:rsidRPr="00490651">
        <w:rPr>
          <w:sz w:val="20"/>
          <w:szCs w:val="20"/>
        </w:rPr>
        <w:t xml:space="preserve"> note 70,  4.37 straipsnio 1 dalis ir 4.106 straipsnio 1 dalis.</w:t>
      </w:r>
    </w:p>
  </w:footnote>
  <w:footnote w:id="82">
    <w:p w:rsidR="00F5222E" w:rsidRPr="00490651" w:rsidRDefault="00F5222E" w:rsidP="004238F4">
      <w:pPr>
        <w:pStyle w:val="Puslapioinaostekstas"/>
        <w:ind w:firstLine="0"/>
        <w:rPr>
          <w:lang w:val="es-ES"/>
        </w:rPr>
      </w:pPr>
      <w:r w:rsidRPr="00490651">
        <w:rPr>
          <w:rStyle w:val="Puslapioinaosnuoroda"/>
        </w:rPr>
        <w:footnoteRef/>
      </w:r>
      <w:r w:rsidRPr="00490651">
        <w:t xml:space="preserve"> Baranauskas E., Laurinavičius K. ir kt. Daiktinė teisė. – Vadovėlis. Vilnius: Mykolo Romerio Universiteto Leidybos centras, </w:t>
      </w:r>
      <w:r w:rsidRPr="00490651">
        <w:rPr>
          <w:lang w:val="es-ES"/>
        </w:rPr>
        <w:t>2010. – 308 p. ISBN 978-9955-19-190-2., p. 196-197.</w:t>
      </w:r>
    </w:p>
  </w:footnote>
  <w:footnote w:id="83">
    <w:p w:rsidR="00F5222E" w:rsidRPr="00490651" w:rsidRDefault="00F5222E" w:rsidP="00E07D57">
      <w:pPr>
        <w:pStyle w:val="Puslapioinaostekstas"/>
        <w:ind w:firstLine="0"/>
      </w:pPr>
      <w:r w:rsidRPr="00490651">
        <w:rPr>
          <w:rStyle w:val="Puslapioinaosnuoroda"/>
        </w:rPr>
        <w:footnoteRef/>
      </w:r>
      <w:r w:rsidRPr="00490651">
        <w:t xml:space="preserve"> Stanislovaitis R. </w:t>
      </w:r>
      <w:r w:rsidRPr="00490651">
        <w:rPr>
          <w:i/>
        </w:rPr>
        <w:t>supra</w:t>
      </w:r>
      <w:r w:rsidRPr="00490651">
        <w:t xml:space="preserve"> note 68, p. 108.</w:t>
      </w:r>
    </w:p>
  </w:footnote>
  <w:footnote w:id="84">
    <w:p w:rsidR="00F5222E" w:rsidRPr="00490651" w:rsidRDefault="00F5222E" w:rsidP="00666396">
      <w:pPr>
        <w:pStyle w:val="Puslapioinaostekstas"/>
        <w:ind w:firstLine="0"/>
      </w:pPr>
      <w:r w:rsidRPr="00490651">
        <w:rPr>
          <w:rStyle w:val="Puslapioinaosnuoroda"/>
        </w:rPr>
        <w:footnoteRef/>
      </w:r>
      <w:r w:rsidRPr="00490651">
        <w:t xml:space="preserve"> Lietuvos Respublikos Civilinis Kodeksas, </w:t>
      </w:r>
      <w:r w:rsidRPr="00490651">
        <w:rPr>
          <w:i/>
        </w:rPr>
        <w:t>supra</w:t>
      </w:r>
      <w:r w:rsidRPr="00490651">
        <w:t xml:space="preserve"> note 70,  4.110 straipsnis.</w:t>
      </w:r>
    </w:p>
  </w:footnote>
  <w:footnote w:id="85">
    <w:p w:rsidR="00F5222E" w:rsidRPr="00490651" w:rsidRDefault="00F5222E" w:rsidP="007B3D74">
      <w:pPr>
        <w:pStyle w:val="Puslapioinaostekstas"/>
        <w:ind w:firstLine="0"/>
        <w:rPr>
          <w:lang w:val="es-ES"/>
        </w:rPr>
      </w:pPr>
      <w:r w:rsidRPr="00490651">
        <w:rPr>
          <w:rStyle w:val="Puslapioinaosnuoroda"/>
        </w:rPr>
        <w:footnoteRef/>
      </w:r>
      <w:r w:rsidRPr="00490651">
        <w:t xml:space="preserve"> Baranauskas E., Laurinavičius K. ir kt., </w:t>
      </w:r>
      <w:r w:rsidRPr="00490651">
        <w:rPr>
          <w:i/>
        </w:rPr>
        <w:t>opt. cit</w:t>
      </w:r>
      <w:r w:rsidRPr="00490651">
        <w:t xml:space="preserve">., </w:t>
      </w:r>
      <w:r w:rsidRPr="00490651">
        <w:rPr>
          <w:lang w:val="es-ES"/>
        </w:rPr>
        <w:t>p. 196-197.</w:t>
      </w:r>
    </w:p>
  </w:footnote>
  <w:footnote w:id="86">
    <w:p w:rsidR="00F5222E" w:rsidRPr="00490651" w:rsidRDefault="00F5222E" w:rsidP="00385415">
      <w:pPr>
        <w:pStyle w:val="Puslapioinaostekstas"/>
        <w:ind w:firstLine="0"/>
      </w:pPr>
      <w:r w:rsidRPr="00490651">
        <w:rPr>
          <w:rStyle w:val="Puslapioinaosnuoroda"/>
        </w:rPr>
        <w:footnoteRef/>
      </w:r>
      <w:r w:rsidRPr="00490651">
        <w:t xml:space="preserve"> Lakštutienė A., </w:t>
      </w:r>
      <w:r w:rsidRPr="00490651">
        <w:rPr>
          <w:i/>
        </w:rPr>
        <w:t>supra</w:t>
      </w:r>
      <w:r w:rsidRPr="00490651">
        <w:t xml:space="preserve"> note 1, p. 173-175.</w:t>
      </w:r>
    </w:p>
  </w:footnote>
  <w:footnote w:id="87">
    <w:p w:rsidR="00F5222E" w:rsidRPr="00490651" w:rsidRDefault="00F5222E" w:rsidP="00B44EC4">
      <w:pPr>
        <w:pStyle w:val="Puslapioinaostekstas"/>
        <w:ind w:firstLine="0"/>
      </w:pPr>
      <w:r w:rsidRPr="00490651">
        <w:rPr>
          <w:rStyle w:val="Puslapioinaosnuoroda"/>
        </w:rPr>
        <w:footnoteRef/>
      </w:r>
      <w:r w:rsidRPr="00490651">
        <w:t xml:space="preserve"> Steponavičienė G. Apie pensijų fondu ir mitus. - 2004. </w:t>
      </w:r>
      <w:hyperlink r:id="rId24" w:history="1">
        <w:r w:rsidRPr="00490651">
          <w:rPr>
            <w:rStyle w:val="Hipersaitas"/>
            <w:color w:val="auto"/>
            <w:u w:val="none"/>
          </w:rPr>
          <w:t>http://www.lrinka.lt/index.php//1480</w:t>
        </w:r>
      </w:hyperlink>
      <w:r w:rsidRPr="00490651">
        <w:t xml:space="preserve"> [žiūrėta 2012 02 26]</w:t>
      </w:r>
    </w:p>
  </w:footnote>
  <w:footnote w:id="88">
    <w:p w:rsidR="00F5222E" w:rsidRPr="00490651" w:rsidRDefault="00F5222E" w:rsidP="00385415">
      <w:pPr>
        <w:pStyle w:val="Puslapioinaostekstas"/>
        <w:ind w:firstLine="0"/>
      </w:pPr>
      <w:r w:rsidRPr="00490651">
        <w:rPr>
          <w:rStyle w:val="Puslapioinaosnuoroda"/>
        </w:rPr>
        <w:footnoteRef/>
      </w:r>
      <w:r w:rsidRPr="00490651">
        <w:t xml:space="preserve"> Lietuvos Respublikos Papildomo savanoriško pensijų kaupimo įstatymas. </w:t>
      </w:r>
      <w:r w:rsidRPr="00490651">
        <w:rPr>
          <w:i/>
        </w:rPr>
        <w:t>Valstybės žinios</w:t>
      </w:r>
      <w:r w:rsidRPr="00490651">
        <w:t>. 1999, Nr. 55-1765., 2 straipsnis, 12 dalis.</w:t>
      </w:r>
    </w:p>
  </w:footnote>
  <w:footnote w:id="89">
    <w:p w:rsidR="00F5222E" w:rsidRPr="00490651" w:rsidRDefault="00F5222E" w:rsidP="009A36C4">
      <w:pPr>
        <w:pStyle w:val="Puslapioinaostekstas"/>
        <w:ind w:firstLine="0"/>
      </w:pPr>
      <w:r w:rsidRPr="00490651">
        <w:rPr>
          <w:rStyle w:val="Puslapioinaosnuoroda"/>
        </w:rPr>
        <w:footnoteRef/>
      </w:r>
      <w:r w:rsidRPr="00490651">
        <w:t xml:space="preserve"> Lietuvos Respublikos Pensijų kaupimo įstatymas, </w:t>
      </w:r>
      <w:r w:rsidRPr="008F7FE6">
        <w:rPr>
          <w:i/>
        </w:rPr>
        <w:t>supra</w:t>
      </w:r>
      <w:r w:rsidRPr="00490651">
        <w:t xml:space="preserve"> note 71, 9 straipsnis, 2 dalis.</w:t>
      </w:r>
    </w:p>
  </w:footnote>
  <w:footnote w:id="90">
    <w:p w:rsidR="00F5222E" w:rsidRPr="00490651" w:rsidRDefault="00F5222E" w:rsidP="00B44EC4">
      <w:pPr>
        <w:pStyle w:val="Puslapioinaostekstas"/>
        <w:ind w:firstLine="0"/>
      </w:pPr>
      <w:r w:rsidRPr="00490651">
        <w:rPr>
          <w:rStyle w:val="Puslapioinaosnuoroda"/>
        </w:rPr>
        <w:footnoteRef/>
      </w:r>
      <w:r w:rsidRPr="00490651">
        <w:t xml:space="preserve"> Konceptualios nuostatos dėl pensijų fondų priežiūros, </w:t>
      </w:r>
      <w:r w:rsidRPr="00490651">
        <w:rPr>
          <w:i/>
        </w:rPr>
        <w:t>supra</w:t>
      </w:r>
      <w:r w:rsidRPr="00490651">
        <w:t xml:space="preserve"> note 52, p. 15-16.</w:t>
      </w:r>
    </w:p>
  </w:footnote>
  <w:footnote w:id="91">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Antolin P. </w:t>
      </w:r>
      <w:r w:rsidRPr="00490651">
        <w:rPr>
          <w:sz w:val="20"/>
          <w:szCs w:val="20"/>
          <w:lang w:val="en-US"/>
        </w:rPr>
        <w:t>Pension Fund Performance, OECD Working Papers on Insurance and Private Pensions, No. 20. OECD publishing,</w:t>
      </w:r>
      <w:r w:rsidRPr="00490651">
        <w:rPr>
          <w:sz w:val="20"/>
          <w:szCs w:val="20"/>
        </w:rPr>
        <w:t xml:space="preserve"> 2008. </w:t>
      </w:r>
      <w:hyperlink r:id="rId25" w:history="1">
        <w:r w:rsidRPr="00490651">
          <w:rPr>
            <w:rStyle w:val="Hipersaitas"/>
            <w:color w:val="auto"/>
            <w:sz w:val="20"/>
            <w:szCs w:val="20"/>
            <w:u w:val="none"/>
          </w:rPr>
          <w:t>http://www.oecd.org/finance/private-pensions/41218144.pdf</w:t>
        </w:r>
      </w:hyperlink>
      <w:r w:rsidRPr="00490651">
        <w:rPr>
          <w:sz w:val="20"/>
          <w:szCs w:val="20"/>
        </w:rPr>
        <w:t xml:space="preserve"> [žiūrėta 2013 01 15]. p. 5</w:t>
      </w:r>
      <w:r w:rsidRPr="00490651">
        <w:rPr>
          <w:sz w:val="20"/>
          <w:szCs w:val="20"/>
          <w:lang w:val="en-US"/>
        </w:rPr>
        <w:t xml:space="preserve">-6. </w:t>
      </w:r>
      <w:r w:rsidRPr="00490651">
        <w:rPr>
          <w:sz w:val="20"/>
          <w:szCs w:val="20"/>
        </w:rPr>
        <w:t xml:space="preserve"> </w:t>
      </w:r>
    </w:p>
  </w:footnote>
  <w:footnote w:id="92">
    <w:p w:rsidR="00F5222E" w:rsidRPr="00490651" w:rsidRDefault="00F5222E" w:rsidP="00980DFD">
      <w:pPr>
        <w:pStyle w:val="Puslapioinaostekstas"/>
        <w:ind w:firstLine="0"/>
      </w:pPr>
      <w:r w:rsidRPr="00490651">
        <w:rPr>
          <w:rStyle w:val="Puslapioinaosnuoroda"/>
        </w:rPr>
        <w:footnoteRef/>
      </w:r>
      <w:r w:rsidRPr="00490651">
        <w:t xml:space="preserve"> Morkūnienė A., </w:t>
      </w:r>
      <w:r w:rsidRPr="00490651">
        <w:rPr>
          <w:i/>
        </w:rPr>
        <w:t>supra</w:t>
      </w:r>
      <w:r w:rsidRPr="00490651">
        <w:t xml:space="preserve"> note 67.</w:t>
      </w:r>
    </w:p>
  </w:footnote>
  <w:footnote w:id="93">
    <w:p w:rsidR="00F5222E" w:rsidRPr="00490651" w:rsidRDefault="00F5222E" w:rsidP="00B44EC4">
      <w:pPr>
        <w:pStyle w:val="Betarp"/>
        <w:ind w:firstLine="0"/>
        <w:rPr>
          <w:sz w:val="20"/>
          <w:szCs w:val="20"/>
        </w:rPr>
      </w:pPr>
      <w:r w:rsidRPr="00490651">
        <w:rPr>
          <w:rStyle w:val="Puslapioinaosnuoroda"/>
          <w:sz w:val="20"/>
          <w:szCs w:val="20"/>
        </w:rPr>
        <w:footnoteRef/>
      </w:r>
      <w:r w:rsidRPr="00490651">
        <w:rPr>
          <w:sz w:val="20"/>
          <w:szCs w:val="20"/>
        </w:rPr>
        <w:t xml:space="preserve"> Gudaitis, T., </w:t>
      </w:r>
      <w:r w:rsidRPr="00490651">
        <w:rPr>
          <w:i/>
          <w:sz w:val="20"/>
          <w:szCs w:val="20"/>
        </w:rPr>
        <w:t>supra</w:t>
      </w:r>
      <w:r w:rsidRPr="00490651">
        <w:rPr>
          <w:sz w:val="20"/>
          <w:szCs w:val="20"/>
        </w:rPr>
        <w:t xml:space="preserve"> note 2, p. 57-60.</w:t>
      </w:r>
    </w:p>
  </w:footnote>
  <w:footnote w:id="94">
    <w:p w:rsidR="00F5222E" w:rsidRPr="00490651" w:rsidRDefault="00F5222E" w:rsidP="000249C5">
      <w:pPr>
        <w:pStyle w:val="Betarp"/>
        <w:ind w:firstLine="0"/>
        <w:rPr>
          <w:sz w:val="20"/>
          <w:szCs w:val="20"/>
        </w:rPr>
      </w:pPr>
      <w:r w:rsidRPr="00490651">
        <w:rPr>
          <w:rStyle w:val="Puslapioinaosnuoroda"/>
          <w:sz w:val="20"/>
          <w:szCs w:val="20"/>
        </w:rPr>
        <w:footnoteRef/>
      </w:r>
      <w:r w:rsidRPr="00490651">
        <w:rPr>
          <w:sz w:val="20"/>
          <w:szCs w:val="20"/>
        </w:rPr>
        <w:t xml:space="preserve"> Levišauskaitė K., Ruškys G. Valstybės finansai: vadovėlis. Kaunas: Vytauto Didžiojo universiteto leidykla, 2003. – 179 p. </w:t>
      </w:r>
      <w:r w:rsidRPr="00490651">
        <w:rPr>
          <w:sz w:val="20"/>
          <w:szCs w:val="20"/>
          <w:lang w:val="es-ES"/>
        </w:rPr>
        <w:t xml:space="preserve">– ISBN 9955-530-91-X , </w:t>
      </w:r>
      <w:r w:rsidRPr="00490651">
        <w:rPr>
          <w:sz w:val="20"/>
          <w:szCs w:val="20"/>
        </w:rPr>
        <w:t>p. 108-109.</w:t>
      </w:r>
    </w:p>
  </w:footnote>
  <w:footnote w:id="95">
    <w:p w:rsidR="00F5222E" w:rsidRPr="00490651" w:rsidRDefault="00F5222E" w:rsidP="00980DFD">
      <w:pPr>
        <w:pStyle w:val="Puslapioinaostekstas"/>
        <w:ind w:firstLine="0"/>
        <w:rPr>
          <w:lang w:val="es-ES"/>
        </w:rPr>
      </w:pPr>
      <w:r w:rsidRPr="00490651">
        <w:rPr>
          <w:rStyle w:val="Puslapioinaosnuoroda"/>
        </w:rPr>
        <w:footnoteRef/>
      </w:r>
      <w:r w:rsidRPr="00490651">
        <w:t xml:space="preserve"> Gudaitis T., </w:t>
      </w:r>
      <w:r w:rsidRPr="00490651">
        <w:rPr>
          <w:i/>
        </w:rPr>
        <w:t>supra</w:t>
      </w:r>
      <w:r w:rsidRPr="00490651">
        <w:t xml:space="preserve"> note 2, p. </w:t>
      </w:r>
      <w:r w:rsidRPr="00490651">
        <w:rPr>
          <w:lang w:val="es-ES"/>
        </w:rPr>
        <w:t>59.</w:t>
      </w:r>
    </w:p>
  </w:footnote>
  <w:footnote w:id="96">
    <w:p w:rsidR="00F5222E" w:rsidRPr="00490651" w:rsidRDefault="00F5222E" w:rsidP="0018129E">
      <w:pPr>
        <w:pStyle w:val="Puslapioinaostekstas"/>
        <w:ind w:firstLine="0"/>
      </w:pPr>
      <w:r w:rsidRPr="00490651">
        <w:rPr>
          <w:rStyle w:val="Puslapioinaosnuoroda"/>
        </w:rPr>
        <w:footnoteRef/>
      </w:r>
      <w:r w:rsidRPr="00490651">
        <w:t xml:space="preserve"> Europos Komisijos Užimtumo, socialinių reikalų ir lygių galimybių generalinis direktoratas. Privačių pensijų programos - jų įtaka tinkamoms ir tvarioms pensijoms. – Liuksemburgas: Europos Sąjungos leidinių biuras, 2009. ISBN 978-92-79-15191-0. </w:t>
      </w:r>
      <w:hyperlink r:id="rId26" w:history="1">
        <w:r w:rsidRPr="00490651">
          <w:rPr>
            <w:rStyle w:val="Hipersaitas"/>
            <w:color w:val="auto"/>
            <w:u w:val="none"/>
          </w:rPr>
          <w:t>http://ec.europa.eu/social/main.jsp?catId=738&amp;langId=lt&amp;pubId=494&amp;type=2&amp;furtherPubs=yes</w:t>
        </w:r>
      </w:hyperlink>
      <w:r w:rsidRPr="00490651">
        <w:t xml:space="preserve"> [žiūrėta 2013 01 15]. p. 12.</w:t>
      </w:r>
    </w:p>
  </w:footnote>
  <w:footnote w:id="97">
    <w:p w:rsidR="00F5222E" w:rsidRPr="00490651" w:rsidRDefault="00F5222E" w:rsidP="00672302">
      <w:pPr>
        <w:pStyle w:val="Puslapioinaostekstas"/>
        <w:ind w:firstLine="0"/>
        <w:rPr>
          <w:lang w:val="es-ES"/>
        </w:rPr>
      </w:pPr>
      <w:r w:rsidRPr="00490651">
        <w:rPr>
          <w:rStyle w:val="Puslapioinaosnuoroda"/>
        </w:rPr>
        <w:footnoteRef/>
      </w:r>
      <w:r w:rsidRPr="00490651">
        <w:t xml:space="preserve"> Gudaitis T., </w:t>
      </w:r>
      <w:r w:rsidRPr="00490651">
        <w:rPr>
          <w:i/>
        </w:rPr>
        <w:t>supra</w:t>
      </w:r>
      <w:r w:rsidRPr="00490651">
        <w:t xml:space="preserve"> note </w:t>
      </w:r>
      <w:r w:rsidRPr="00490651">
        <w:rPr>
          <w:lang w:val="es-ES"/>
        </w:rPr>
        <w:t xml:space="preserve">2, </w:t>
      </w:r>
      <w:r w:rsidRPr="00490651">
        <w:t>p.</w:t>
      </w:r>
      <w:r w:rsidRPr="00490651">
        <w:rPr>
          <w:lang w:val="es-ES"/>
        </w:rPr>
        <w:t xml:space="preserve"> 60.</w:t>
      </w:r>
    </w:p>
  </w:footnote>
  <w:footnote w:id="98">
    <w:p w:rsidR="00F5222E" w:rsidRPr="00490651" w:rsidRDefault="00F5222E" w:rsidP="00992708">
      <w:pPr>
        <w:pStyle w:val="Puslapioinaostekstas"/>
        <w:ind w:firstLine="0"/>
        <w:rPr>
          <w:lang w:val="es-ES"/>
        </w:rPr>
      </w:pPr>
      <w:r w:rsidRPr="00490651">
        <w:rPr>
          <w:rStyle w:val="Puslapioinaosnuoroda"/>
        </w:rPr>
        <w:footnoteRef/>
      </w:r>
      <w:r w:rsidRPr="00490651">
        <w:t xml:space="preserve"> Levišauskaitė K., Ruškys G., </w:t>
      </w:r>
      <w:r w:rsidRPr="00490651">
        <w:rPr>
          <w:i/>
        </w:rPr>
        <w:t>supra</w:t>
      </w:r>
      <w:r w:rsidRPr="00490651">
        <w:t xml:space="preserve"> note 94, p. 108</w:t>
      </w:r>
      <w:r w:rsidRPr="00490651">
        <w:rPr>
          <w:lang w:val="es-ES"/>
        </w:rPr>
        <w:t>-110.</w:t>
      </w:r>
    </w:p>
  </w:footnote>
  <w:footnote w:id="99">
    <w:p w:rsidR="00F5222E" w:rsidRPr="00490651" w:rsidRDefault="00F5222E" w:rsidP="00946251">
      <w:pPr>
        <w:pStyle w:val="Puslapioinaostekstas"/>
        <w:ind w:firstLine="0"/>
      </w:pPr>
      <w:r w:rsidRPr="00490651">
        <w:rPr>
          <w:rStyle w:val="Puslapioinaosnuoroda"/>
        </w:rPr>
        <w:footnoteRef/>
      </w:r>
      <w:r w:rsidRPr="00490651">
        <w:t xml:space="preserve"> Konceptualios nuostatos dėl pensijų fondų priežiūros, </w:t>
      </w:r>
      <w:r w:rsidRPr="00490651">
        <w:rPr>
          <w:i/>
        </w:rPr>
        <w:t>supra</w:t>
      </w:r>
      <w:r w:rsidRPr="00490651">
        <w:t xml:space="preserve"> note 52, p. </w:t>
      </w:r>
      <w:r w:rsidRPr="00490651">
        <w:rPr>
          <w:lang w:val="es-ES"/>
        </w:rPr>
        <w:t>10.</w:t>
      </w:r>
    </w:p>
  </w:footnote>
  <w:footnote w:id="100">
    <w:p w:rsidR="00F5222E" w:rsidRPr="00490651" w:rsidRDefault="00F5222E" w:rsidP="00946251">
      <w:pPr>
        <w:pStyle w:val="Puslapioinaostekstas"/>
        <w:ind w:firstLine="0"/>
      </w:pPr>
      <w:r w:rsidRPr="00490651">
        <w:rPr>
          <w:rStyle w:val="Puslapioinaosnuoroda"/>
        </w:rPr>
        <w:footnoteRef/>
      </w:r>
      <w:r w:rsidRPr="00490651">
        <w:t xml:space="preserve"> Lietuvos Respublikos Pensijų sistemos reformos įstatymas. </w:t>
      </w:r>
      <w:r w:rsidRPr="00490651">
        <w:rPr>
          <w:i/>
        </w:rPr>
        <w:t>Valstybės žinios</w:t>
      </w:r>
      <w:r w:rsidRPr="00490651">
        <w:t xml:space="preserve">,  2002, Nr. </w:t>
      </w:r>
      <w:hyperlink r:id="rId27" w:history="1">
        <w:r w:rsidRPr="00490651">
          <w:rPr>
            <w:rStyle w:val="Hipersaitas"/>
            <w:color w:val="auto"/>
            <w:u w:val="none"/>
          </w:rPr>
          <w:t>123- 5511</w:t>
        </w:r>
      </w:hyperlink>
      <w:r w:rsidRPr="00490651">
        <w:rPr>
          <w:rStyle w:val="Hipersaitas"/>
          <w:color w:val="auto"/>
          <w:u w:val="none"/>
        </w:rPr>
        <w:t>.</w:t>
      </w:r>
    </w:p>
  </w:footnote>
  <w:footnote w:id="101">
    <w:p w:rsidR="00F5222E" w:rsidRPr="00490651" w:rsidRDefault="00F5222E" w:rsidP="00946251">
      <w:pPr>
        <w:pStyle w:val="Puslapioinaostekstas"/>
        <w:ind w:firstLine="0"/>
      </w:pPr>
      <w:r w:rsidRPr="00490651">
        <w:rPr>
          <w:rStyle w:val="Puslapioinaosnuoroda"/>
        </w:rPr>
        <w:footnoteRef/>
      </w:r>
      <w:r w:rsidRPr="00490651">
        <w:t xml:space="preserve"> Gudatis T., </w:t>
      </w:r>
      <w:r w:rsidRPr="00490651">
        <w:rPr>
          <w:i/>
        </w:rPr>
        <w:t>supra</w:t>
      </w:r>
      <w:r w:rsidRPr="00490651">
        <w:t xml:space="preserve"> note </w:t>
      </w:r>
      <w:r w:rsidRPr="009544CE">
        <w:rPr>
          <w:lang w:val="es-ES"/>
        </w:rPr>
        <w:t>2,</w:t>
      </w:r>
      <w:r w:rsidRPr="00490651">
        <w:t xml:space="preserve"> p. 56.</w:t>
      </w:r>
    </w:p>
  </w:footnote>
  <w:footnote w:id="102">
    <w:p w:rsidR="00F5222E" w:rsidRPr="00490651" w:rsidRDefault="00F5222E" w:rsidP="00946251">
      <w:pPr>
        <w:pStyle w:val="Puslapioinaostekstas"/>
        <w:ind w:firstLine="0"/>
      </w:pPr>
      <w:r w:rsidRPr="00490651">
        <w:rPr>
          <w:rStyle w:val="Puslapioinaosnuoroda"/>
        </w:rPr>
        <w:footnoteRef/>
      </w:r>
      <w:r w:rsidRPr="00490651">
        <w:t xml:space="preserve"> </w:t>
      </w:r>
      <w:proofErr w:type="gramStart"/>
      <w:r w:rsidRPr="00490651">
        <w:rPr>
          <w:lang w:val="en-US"/>
        </w:rPr>
        <w:t>Social Protection Committee.</w:t>
      </w:r>
      <w:proofErr w:type="gramEnd"/>
      <w:r w:rsidRPr="00490651">
        <w:rPr>
          <w:lang w:val="en-US"/>
        </w:rPr>
        <w:t xml:space="preserve"> Privately managed funded pensions provisions and their contribution to adequate and sustainable pensions</w:t>
      </w:r>
      <w:r w:rsidRPr="00490651">
        <w:t xml:space="preserve">. 2008. </w:t>
      </w:r>
      <w:hyperlink r:id="rId28" w:history="1">
        <w:r w:rsidRPr="00490651">
          <w:rPr>
            <w:rStyle w:val="Hipersaitas"/>
            <w:color w:val="auto"/>
            <w:u w:val="none"/>
          </w:rPr>
          <w:t>http://ec.europa.eu/social/main.jsp?catId=752&amp;langId=en&amp;moreDocuments=yes</w:t>
        </w:r>
      </w:hyperlink>
      <w:r w:rsidRPr="00490651">
        <w:t xml:space="preserve"> [žiūrėta </w:t>
      </w:r>
      <w:r w:rsidRPr="00490651">
        <w:rPr>
          <w:lang w:val="es-ES"/>
        </w:rPr>
        <w:t xml:space="preserve">2013 02 26]. </w:t>
      </w:r>
      <w:r w:rsidRPr="00490651">
        <w:t>p. 21.</w:t>
      </w:r>
    </w:p>
  </w:footnote>
  <w:footnote w:id="103">
    <w:p w:rsidR="00F5222E" w:rsidRPr="00490651" w:rsidRDefault="00F5222E" w:rsidP="00946251">
      <w:pPr>
        <w:pStyle w:val="Puslapioinaostekstas"/>
        <w:ind w:firstLine="0"/>
      </w:pPr>
      <w:r w:rsidRPr="00490651">
        <w:rPr>
          <w:rStyle w:val="Puslapioinaosnuoroda"/>
        </w:rPr>
        <w:footnoteRef/>
      </w:r>
      <w:r w:rsidRPr="00490651">
        <w:t xml:space="preserve"> Lietuvos Respublikos Pensijų kaupimo įstatymas, </w:t>
      </w:r>
      <w:r w:rsidRPr="00490651">
        <w:rPr>
          <w:i/>
        </w:rPr>
        <w:t>supra</w:t>
      </w:r>
      <w:r w:rsidRPr="00490651">
        <w:t xml:space="preserve"> note  71, 6 straipsnis.</w:t>
      </w:r>
    </w:p>
  </w:footnote>
  <w:footnote w:id="104">
    <w:p w:rsidR="00F5222E" w:rsidRPr="00490651" w:rsidRDefault="00F5222E" w:rsidP="001A29BD">
      <w:pPr>
        <w:pStyle w:val="Puslapioinaostekstas"/>
        <w:ind w:firstLine="0"/>
      </w:pPr>
      <w:r w:rsidRPr="00490651">
        <w:rPr>
          <w:rStyle w:val="Puslapioinaosnuoroda"/>
        </w:rPr>
        <w:footnoteRef/>
      </w:r>
      <w:r w:rsidRPr="00490651">
        <w:t xml:space="preserve"> Alternatyvūs pensijų reformos modeliai. – 2001. </w:t>
      </w:r>
      <w:hyperlink r:id="rId29" w:history="1">
        <w:r w:rsidRPr="00490651">
          <w:rPr>
            <w:rStyle w:val="Hipersaitas"/>
            <w:color w:val="auto"/>
            <w:u w:val="none"/>
          </w:rPr>
          <w:t>http://ukiuva.wordpress.com/2001/10/12/alternatyvus-pensiju-reformos-modeliai/</w:t>
        </w:r>
      </w:hyperlink>
      <w:r w:rsidRPr="00490651">
        <w:t xml:space="preserve"> [žiūrėta 2013 02 26].</w:t>
      </w:r>
    </w:p>
  </w:footnote>
  <w:footnote w:id="105">
    <w:p w:rsidR="00F5222E" w:rsidRPr="00490651" w:rsidRDefault="00F5222E" w:rsidP="00B01CBF">
      <w:pPr>
        <w:pStyle w:val="Betarp"/>
        <w:ind w:firstLine="0"/>
        <w:rPr>
          <w:sz w:val="20"/>
          <w:szCs w:val="20"/>
        </w:rPr>
      </w:pPr>
      <w:r w:rsidRPr="00490651">
        <w:rPr>
          <w:rStyle w:val="Puslapioinaosnuoroda"/>
          <w:sz w:val="20"/>
          <w:szCs w:val="20"/>
        </w:rPr>
        <w:footnoteRef/>
      </w:r>
      <w:r w:rsidRPr="00490651">
        <w:rPr>
          <w:sz w:val="20"/>
          <w:szCs w:val="20"/>
        </w:rPr>
        <w:t xml:space="preserve"> Vitkus G., Europos Sąjunga: Enciklopedinis žinynas. – Vilnius: Eugrimas, 2002. – 343 p., ISBN 9955-501-00-6, - p. 280.</w:t>
      </w:r>
    </w:p>
  </w:footnote>
  <w:footnote w:id="106">
    <w:p w:rsidR="00F5222E" w:rsidRPr="00490651" w:rsidRDefault="00F5222E" w:rsidP="00253A6C">
      <w:pPr>
        <w:pStyle w:val="Puslapioinaostekstas"/>
        <w:ind w:firstLine="0"/>
      </w:pPr>
      <w:r w:rsidRPr="00490651">
        <w:rPr>
          <w:rStyle w:val="Puslapioinaosnuoroda"/>
        </w:rPr>
        <w:footnoteRef/>
      </w:r>
      <w:r w:rsidRPr="00490651">
        <w:t xml:space="preserve"> Social Protection Committee., supra note </w:t>
      </w:r>
      <w:r w:rsidRPr="00490651">
        <w:rPr>
          <w:lang w:val="en-US"/>
        </w:rPr>
        <w:t>102</w:t>
      </w:r>
      <w:r w:rsidRPr="00490651">
        <w:t xml:space="preserve">, p. 50. </w:t>
      </w:r>
    </w:p>
  </w:footnote>
  <w:footnote w:id="107">
    <w:p w:rsidR="00F5222E" w:rsidRPr="00490651" w:rsidRDefault="00F5222E" w:rsidP="00B01CBF">
      <w:pPr>
        <w:pStyle w:val="Betarp"/>
        <w:ind w:firstLine="0"/>
        <w:rPr>
          <w:sz w:val="20"/>
          <w:szCs w:val="20"/>
        </w:rPr>
      </w:pPr>
      <w:r w:rsidRPr="00490651">
        <w:rPr>
          <w:rStyle w:val="Puslapioinaosnuoroda"/>
          <w:sz w:val="20"/>
          <w:szCs w:val="20"/>
        </w:rPr>
        <w:footnoteRef/>
      </w:r>
      <w:r w:rsidRPr="00490651">
        <w:rPr>
          <w:sz w:val="20"/>
          <w:szCs w:val="20"/>
        </w:rPr>
        <w:t xml:space="preserve"> 1957 m. kovo 25 d. Europos Bendrijos Steigimo Sutartis. </w:t>
      </w:r>
      <w:r w:rsidRPr="00490651">
        <w:rPr>
          <w:i/>
          <w:sz w:val="20"/>
          <w:szCs w:val="20"/>
        </w:rPr>
        <w:t>Valstybės žinios</w:t>
      </w:r>
      <w:r w:rsidRPr="00490651">
        <w:rPr>
          <w:sz w:val="20"/>
          <w:szCs w:val="20"/>
        </w:rPr>
        <w:t>, 2004, Nr. 2-2. 56 straipsnis, 1 dalis.</w:t>
      </w:r>
    </w:p>
  </w:footnote>
  <w:footnote w:id="108">
    <w:p w:rsidR="00F5222E" w:rsidRPr="00490651" w:rsidRDefault="00F5222E" w:rsidP="00283960">
      <w:pPr>
        <w:pStyle w:val="Betarp"/>
        <w:ind w:firstLine="0"/>
        <w:rPr>
          <w:sz w:val="20"/>
          <w:szCs w:val="20"/>
        </w:rPr>
      </w:pPr>
      <w:r w:rsidRPr="00490651">
        <w:rPr>
          <w:rStyle w:val="Puslapioinaosnuoroda"/>
          <w:sz w:val="20"/>
          <w:szCs w:val="20"/>
        </w:rPr>
        <w:footnoteRef/>
      </w:r>
      <w:r w:rsidRPr="00490651">
        <w:rPr>
          <w:sz w:val="20"/>
          <w:szCs w:val="20"/>
        </w:rPr>
        <w:t xml:space="preserve"> 1988 m. birželio 24 d. Tarybos Direktyva 88/361/EEB dėl Sutarties 67 straipsnio įgyvendinimo, OL L 178, 1988 07 08, 1 priedas.</w:t>
      </w:r>
    </w:p>
  </w:footnote>
  <w:footnote w:id="109">
    <w:p w:rsidR="00F5222E" w:rsidRPr="00490651" w:rsidRDefault="00F5222E" w:rsidP="008F7B00">
      <w:pPr>
        <w:pStyle w:val="Betarp"/>
        <w:ind w:firstLine="0"/>
        <w:rPr>
          <w:sz w:val="20"/>
          <w:szCs w:val="20"/>
          <w:lang w:val="en-US"/>
        </w:rPr>
      </w:pPr>
      <w:r w:rsidRPr="00490651">
        <w:rPr>
          <w:rStyle w:val="Puslapioinaosnuoroda"/>
          <w:sz w:val="20"/>
          <w:szCs w:val="20"/>
        </w:rPr>
        <w:footnoteRef/>
      </w:r>
      <w:r w:rsidRPr="00490651">
        <w:rPr>
          <w:sz w:val="20"/>
          <w:szCs w:val="20"/>
        </w:rPr>
        <w:t xml:space="preserve"> </w:t>
      </w:r>
      <w:r w:rsidRPr="00490651">
        <w:rPr>
          <w:sz w:val="20"/>
          <w:szCs w:val="20"/>
          <w:lang w:val="en-US"/>
        </w:rPr>
        <w:t>The effect of cross-border investment restrictions on certain pension schemes in the EU</w:t>
      </w:r>
      <w:r w:rsidRPr="00490651">
        <w:rPr>
          <w:sz w:val="20"/>
          <w:szCs w:val="20"/>
        </w:rPr>
        <w:t xml:space="preserve">. </w:t>
      </w:r>
      <w:r w:rsidRPr="00490651">
        <w:rPr>
          <w:i/>
          <w:sz w:val="20"/>
          <w:szCs w:val="20"/>
        </w:rPr>
        <w:t>supra</w:t>
      </w:r>
      <w:r w:rsidRPr="00490651">
        <w:rPr>
          <w:sz w:val="20"/>
          <w:szCs w:val="20"/>
        </w:rPr>
        <w:t xml:space="preserve"> note 9, p. </w:t>
      </w:r>
      <w:r w:rsidRPr="00490651">
        <w:rPr>
          <w:sz w:val="20"/>
          <w:szCs w:val="20"/>
          <w:lang w:val="en-US"/>
        </w:rPr>
        <w:t>1.</w:t>
      </w:r>
    </w:p>
  </w:footnote>
  <w:footnote w:id="110">
    <w:p w:rsidR="00F5222E" w:rsidRPr="00490651" w:rsidRDefault="00F5222E" w:rsidP="00E87613">
      <w:pPr>
        <w:pStyle w:val="Betarp"/>
        <w:ind w:firstLine="0"/>
        <w:rPr>
          <w:sz w:val="20"/>
          <w:szCs w:val="20"/>
        </w:rPr>
      </w:pPr>
      <w:r w:rsidRPr="00490651">
        <w:rPr>
          <w:rStyle w:val="Puslapioinaosnuoroda"/>
          <w:sz w:val="20"/>
          <w:szCs w:val="20"/>
        </w:rPr>
        <w:footnoteRef/>
      </w:r>
      <w:r w:rsidRPr="00490651">
        <w:rPr>
          <w:sz w:val="20"/>
          <w:szCs w:val="20"/>
        </w:rPr>
        <w:t xml:space="preserve"> 1957 m. kovo 25 d. Europos Bendrijos Steigimo Sutartis. </w:t>
      </w:r>
      <w:r w:rsidRPr="00490651">
        <w:rPr>
          <w:i/>
          <w:sz w:val="20"/>
          <w:szCs w:val="20"/>
        </w:rPr>
        <w:t>supra</w:t>
      </w:r>
      <w:r w:rsidRPr="00490651">
        <w:rPr>
          <w:sz w:val="20"/>
          <w:szCs w:val="20"/>
        </w:rPr>
        <w:t xml:space="preserve"> note </w:t>
      </w:r>
      <w:r w:rsidRPr="00490651">
        <w:rPr>
          <w:sz w:val="20"/>
          <w:szCs w:val="20"/>
          <w:lang w:val="es-ES"/>
        </w:rPr>
        <w:t>107, 58 straipsnis.</w:t>
      </w:r>
    </w:p>
  </w:footnote>
  <w:footnote w:id="111">
    <w:p w:rsidR="00F5222E" w:rsidRPr="00490651" w:rsidRDefault="00F5222E" w:rsidP="008F7B00">
      <w:pPr>
        <w:pStyle w:val="Betarp"/>
        <w:ind w:firstLine="0"/>
        <w:rPr>
          <w:sz w:val="20"/>
          <w:szCs w:val="20"/>
        </w:rPr>
      </w:pPr>
      <w:r w:rsidRPr="00490651">
        <w:rPr>
          <w:rStyle w:val="Puslapioinaosnuoroda"/>
          <w:sz w:val="20"/>
          <w:szCs w:val="20"/>
        </w:rPr>
        <w:footnoteRef/>
      </w:r>
      <w:r w:rsidRPr="00490651">
        <w:rPr>
          <w:sz w:val="20"/>
          <w:szCs w:val="20"/>
        </w:rPr>
        <w:t xml:space="preserve"> Europos Sąjungos Protokolas dėl subsidiarumo ir proporcingumo principo. C 310, 2004 12 16.</w:t>
      </w:r>
    </w:p>
    <w:p w:rsidR="00F5222E" w:rsidRPr="00002340" w:rsidRDefault="00173912" w:rsidP="008F7B00">
      <w:pPr>
        <w:pStyle w:val="Betarp"/>
        <w:ind w:firstLine="0"/>
        <w:rPr>
          <w:sz w:val="20"/>
          <w:szCs w:val="20"/>
          <w:lang w:val="es-ES"/>
        </w:rPr>
      </w:pPr>
      <w:hyperlink r:id="rId30" w:history="1">
        <w:r w:rsidR="00F5222E" w:rsidRPr="00490651">
          <w:rPr>
            <w:rStyle w:val="Hipersaitas"/>
            <w:color w:val="auto"/>
            <w:sz w:val="20"/>
            <w:szCs w:val="20"/>
            <w:u w:val="none"/>
          </w:rPr>
          <w:t>http://eur-lex.europa.eu/lt/treaties/dat/12007L/htm/C2007306LT.01015001.htm</w:t>
        </w:r>
      </w:hyperlink>
      <w:r w:rsidR="00F5222E" w:rsidRPr="00490651">
        <w:rPr>
          <w:rStyle w:val="Hipersaitas"/>
          <w:color w:val="auto"/>
          <w:sz w:val="20"/>
          <w:szCs w:val="20"/>
          <w:u w:val="none"/>
        </w:rPr>
        <w:t xml:space="preserve">. [žiūrėta </w:t>
      </w:r>
      <w:r w:rsidR="00F5222E" w:rsidRPr="00490651">
        <w:rPr>
          <w:rStyle w:val="Hipersaitas"/>
          <w:color w:val="auto"/>
          <w:sz w:val="20"/>
          <w:szCs w:val="20"/>
          <w:u w:val="none"/>
          <w:lang w:val="es-ES"/>
        </w:rPr>
        <w:t>2013 02 26</w:t>
      </w:r>
      <w:r w:rsidR="00F5222E" w:rsidRPr="00002340">
        <w:rPr>
          <w:rStyle w:val="Hipersaitas"/>
          <w:color w:val="auto"/>
          <w:sz w:val="20"/>
          <w:szCs w:val="20"/>
          <w:u w:val="none"/>
          <w:lang w:val="es-ES"/>
        </w:rPr>
        <w:t>]</w:t>
      </w:r>
    </w:p>
  </w:footnote>
  <w:footnote w:id="112">
    <w:p w:rsidR="00F5222E" w:rsidRPr="00490651" w:rsidRDefault="00F5222E" w:rsidP="006535F8">
      <w:pPr>
        <w:pStyle w:val="Puslapioinaostekstas"/>
        <w:ind w:firstLine="0"/>
        <w:rPr>
          <w:lang w:val="es-ES"/>
        </w:rPr>
      </w:pPr>
      <w:r w:rsidRPr="00490651">
        <w:rPr>
          <w:rStyle w:val="Puslapioinaosnuoroda"/>
        </w:rPr>
        <w:footnoteRef/>
      </w:r>
      <w:r w:rsidRPr="00490651">
        <w:t xml:space="preserve"> 2011 m. gruodžio </w:t>
      </w:r>
      <w:r w:rsidRPr="00490651">
        <w:rPr>
          <w:lang w:val="es-ES"/>
        </w:rPr>
        <w:t xml:space="preserve">21 d. ETT </w:t>
      </w:r>
      <w:r w:rsidRPr="00490651">
        <w:t>sprendimas byloje</w:t>
      </w:r>
      <w:r w:rsidRPr="00490651">
        <w:rPr>
          <w:lang w:val="es-ES"/>
        </w:rPr>
        <w:t xml:space="preserve"> C-193/91, </w:t>
      </w:r>
      <w:r w:rsidRPr="00490651">
        <w:rPr>
          <w:i/>
        </w:rPr>
        <w:t>Europos Komisija prieš Lenkijos Respubliką.</w:t>
      </w:r>
    </w:p>
  </w:footnote>
  <w:footnote w:id="113">
    <w:p w:rsidR="00F5222E" w:rsidRPr="00490651" w:rsidRDefault="00F5222E" w:rsidP="008F7B00">
      <w:pPr>
        <w:pStyle w:val="Betarp"/>
        <w:ind w:firstLine="0"/>
        <w:rPr>
          <w:sz w:val="20"/>
          <w:szCs w:val="20"/>
        </w:rPr>
      </w:pPr>
      <w:r w:rsidRPr="00490651">
        <w:rPr>
          <w:rStyle w:val="Puslapioinaosnuoroda"/>
          <w:sz w:val="20"/>
          <w:szCs w:val="20"/>
        </w:rPr>
        <w:footnoteRef/>
      </w:r>
      <w:r w:rsidRPr="00490651">
        <w:rPr>
          <w:sz w:val="20"/>
          <w:szCs w:val="20"/>
        </w:rPr>
        <w:t xml:space="preserve"> Gudaitis T., </w:t>
      </w:r>
      <w:r w:rsidRPr="00490651">
        <w:rPr>
          <w:i/>
          <w:sz w:val="20"/>
          <w:szCs w:val="20"/>
        </w:rPr>
        <w:t>supra</w:t>
      </w:r>
      <w:r w:rsidRPr="00490651">
        <w:rPr>
          <w:sz w:val="20"/>
          <w:szCs w:val="20"/>
        </w:rPr>
        <w:t xml:space="preserve"> note 20, p. </w:t>
      </w:r>
      <w:r w:rsidRPr="00490651">
        <w:rPr>
          <w:sz w:val="20"/>
          <w:szCs w:val="20"/>
          <w:lang w:val="es-ES"/>
        </w:rPr>
        <w:t>13.</w:t>
      </w:r>
    </w:p>
  </w:footnote>
  <w:footnote w:id="114">
    <w:p w:rsidR="00F5222E" w:rsidRPr="00490651" w:rsidRDefault="00F5222E" w:rsidP="008F7B00">
      <w:pPr>
        <w:pStyle w:val="Betarp"/>
        <w:ind w:firstLine="0"/>
        <w:rPr>
          <w:sz w:val="20"/>
          <w:szCs w:val="20"/>
        </w:rPr>
      </w:pPr>
      <w:r w:rsidRPr="00490651">
        <w:rPr>
          <w:rStyle w:val="Puslapioinaosnuoroda"/>
          <w:sz w:val="20"/>
          <w:szCs w:val="20"/>
        </w:rPr>
        <w:footnoteRef/>
      </w:r>
      <w:r w:rsidRPr="00490651">
        <w:rPr>
          <w:sz w:val="20"/>
          <w:szCs w:val="20"/>
        </w:rPr>
        <w:t xml:space="preserve"> Lietuvos Respublikos Papildomo savanoriško pensijų kaupimo įstatymas, </w:t>
      </w:r>
      <w:r w:rsidRPr="00490651">
        <w:rPr>
          <w:i/>
          <w:sz w:val="20"/>
          <w:szCs w:val="20"/>
        </w:rPr>
        <w:t>supra</w:t>
      </w:r>
      <w:r w:rsidRPr="00490651">
        <w:rPr>
          <w:sz w:val="20"/>
          <w:szCs w:val="20"/>
        </w:rPr>
        <w:t xml:space="preserve"> note 88,  45 straipsnis.</w:t>
      </w:r>
    </w:p>
  </w:footnote>
  <w:footnote w:id="115">
    <w:p w:rsidR="00F5222E" w:rsidRPr="00490651" w:rsidRDefault="00F5222E" w:rsidP="00863DC9">
      <w:pPr>
        <w:pStyle w:val="Betarp"/>
        <w:ind w:firstLine="0"/>
        <w:rPr>
          <w:sz w:val="20"/>
          <w:szCs w:val="20"/>
        </w:rPr>
      </w:pPr>
      <w:r w:rsidRPr="00490651">
        <w:rPr>
          <w:rStyle w:val="Puslapioinaosnuoroda"/>
          <w:sz w:val="20"/>
          <w:szCs w:val="20"/>
        </w:rPr>
        <w:footnoteRef/>
      </w:r>
      <w:r w:rsidRPr="00490651">
        <w:rPr>
          <w:sz w:val="20"/>
          <w:szCs w:val="20"/>
        </w:rPr>
        <w:t xml:space="preserve"> </w:t>
      </w:r>
      <w:r w:rsidRPr="00490651">
        <w:rPr>
          <w:rStyle w:val="Emfaz"/>
          <w:i w:val="0"/>
          <w:sz w:val="20"/>
          <w:szCs w:val="20"/>
        </w:rPr>
        <w:t xml:space="preserve">Investicijų išskirstymo arba rizikos padalijimo (diversifikavimo) taisyklė. </w:t>
      </w:r>
      <w:hyperlink r:id="rId31" w:history="1">
        <w:r w:rsidRPr="00490651">
          <w:rPr>
            <w:rStyle w:val="Hipersaitas"/>
            <w:color w:val="auto"/>
            <w:sz w:val="20"/>
            <w:szCs w:val="20"/>
            <w:u w:val="none"/>
          </w:rPr>
          <w:t>http://www.pensijusistema.lt/index.php?-1913099046</w:t>
        </w:r>
      </w:hyperlink>
      <w:r w:rsidRPr="00490651">
        <w:rPr>
          <w:rStyle w:val="Emfaz"/>
          <w:i w:val="0"/>
          <w:sz w:val="20"/>
          <w:szCs w:val="20"/>
        </w:rPr>
        <w:t xml:space="preserve"> [žiūrėta 2012 02 26].</w:t>
      </w:r>
    </w:p>
  </w:footnote>
  <w:footnote w:id="116">
    <w:p w:rsidR="00F5222E" w:rsidRPr="00490651" w:rsidRDefault="00F5222E" w:rsidP="002A672A">
      <w:pPr>
        <w:pStyle w:val="Betarp"/>
        <w:ind w:firstLine="0"/>
        <w:rPr>
          <w:sz w:val="20"/>
          <w:szCs w:val="20"/>
        </w:rPr>
      </w:pPr>
      <w:r w:rsidRPr="00490651">
        <w:rPr>
          <w:rStyle w:val="Puslapioinaosnuoroda"/>
          <w:sz w:val="20"/>
          <w:szCs w:val="20"/>
        </w:rPr>
        <w:footnoteRef/>
      </w:r>
      <w:r w:rsidRPr="00490651">
        <w:rPr>
          <w:sz w:val="20"/>
          <w:szCs w:val="20"/>
        </w:rPr>
        <w:t xml:space="preserve"> Lietuvos Respublikos Papildomo savanoriško pensijų kaupimo įstatymas, </w:t>
      </w:r>
      <w:r w:rsidRPr="00490651">
        <w:rPr>
          <w:i/>
          <w:sz w:val="20"/>
          <w:szCs w:val="20"/>
        </w:rPr>
        <w:t>supra</w:t>
      </w:r>
      <w:r w:rsidRPr="00490651">
        <w:rPr>
          <w:sz w:val="20"/>
          <w:szCs w:val="20"/>
        </w:rPr>
        <w:t xml:space="preserve"> note 88, 45 straipsnis.</w:t>
      </w:r>
    </w:p>
  </w:footnote>
  <w:footnote w:id="117">
    <w:p w:rsidR="00F5222E" w:rsidRPr="00490651" w:rsidRDefault="00F5222E" w:rsidP="00863DC9">
      <w:pPr>
        <w:pStyle w:val="Betarp"/>
        <w:ind w:firstLine="0"/>
        <w:rPr>
          <w:sz w:val="20"/>
          <w:szCs w:val="20"/>
        </w:rPr>
      </w:pPr>
      <w:r w:rsidRPr="00490651">
        <w:rPr>
          <w:rStyle w:val="Puslapioinaosnuoroda"/>
          <w:sz w:val="20"/>
          <w:szCs w:val="20"/>
        </w:rPr>
        <w:footnoteRef/>
      </w:r>
      <w:r w:rsidRPr="00490651">
        <w:rPr>
          <w:sz w:val="20"/>
          <w:szCs w:val="20"/>
        </w:rPr>
        <w:t xml:space="preserve"> Gudaitis T., </w:t>
      </w:r>
      <w:r w:rsidRPr="00490651">
        <w:rPr>
          <w:i/>
          <w:sz w:val="20"/>
          <w:szCs w:val="20"/>
        </w:rPr>
        <w:t>supra</w:t>
      </w:r>
      <w:r w:rsidRPr="00490651">
        <w:rPr>
          <w:sz w:val="20"/>
          <w:szCs w:val="20"/>
        </w:rPr>
        <w:t xml:space="preserve"> note 20</w:t>
      </w:r>
      <w:r w:rsidRPr="00490651">
        <w:rPr>
          <w:sz w:val="20"/>
          <w:szCs w:val="20"/>
          <w:lang w:val="es-ES"/>
        </w:rPr>
        <w:t xml:space="preserve">, p. 73. </w:t>
      </w:r>
    </w:p>
  </w:footnote>
  <w:footnote w:id="118">
    <w:p w:rsidR="00F5222E" w:rsidRPr="00002340" w:rsidRDefault="00F5222E" w:rsidP="00E95826">
      <w:pPr>
        <w:pStyle w:val="Puslapioinaostekstas"/>
        <w:ind w:firstLine="0"/>
      </w:pPr>
      <w:r w:rsidRPr="00490651">
        <w:rPr>
          <w:rStyle w:val="Puslapioinaosnuoroda"/>
        </w:rPr>
        <w:footnoteRef/>
      </w:r>
      <w:r w:rsidRPr="00490651">
        <w:t xml:space="preserve"> Bielinskienė A., Dabartiniai pensijų kaupimo įstatymų saugikliai ir didesnių pajamų senatvėje užtikrinimo problemos // Jurisprudencija: mokslo darbai. – Vilnius: Lietuvos teisės universitetas, 2004, Nr. 56 (48), p. 30-38. ISSN 1392-6195. p. </w:t>
      </w:r>
      <w:r w:rsidRPr="00002340">
        <w:t>35.</w:t>
      </w:r>
    </w:p>
  </w:footnote>
  <w:footnote w:id="119">
    <w:p w:rsidR="00F5222E" w:rsidRPr="00002340" w:rsidRDefault="00F5222E" w:rsidP="002A672A">
      <w:pPr>
        <w:pStyle w:val="Puslapioinaostekstas"/>
        <w:ind w:firstLine="0"/>
      </w:pPr>
      <w:r w:rsidRPr="00490651">
        <w:rPr>
          <w:rStyle w:val="Puslapioinaosnuoroda"/>
        </w:rPr>
        <w:footnoteRef/>
      </w:r>
      <w:r w:rsidRPr="00490651">
        <w:t xml:space="preserve"> Lietuvos Respublikos Papildomo savanoriško pensijų kaupimo įstatymas, </w:t>
      </w:r>
      <w:r w:rsidRPr="00490651">
        <w:rPr>
          <w:i/>
        </w:rPr>
        <w:t>supra</w:t>
      </w:r>
      <w:r w:rsidRPr="00490651">
        <w:t xml:space="preserve"> note 88,  </w:t>
      </w:r>
      <w:r w:rsidRPr="00002340">
        <w:t>21 straipsnis.</w:t>
      </w:r>
    </w:p>
  </w:footnote>
  <w:footnote w:id="120">
    <w:p w:rsidR="00F5222E" w:rsidRPr="00490651" w:rsidRDefault="00F5222E" w:rsidP="002A672A">
      <w:pPr>
        <w:pStyle w:val="Puslapioinaostekstas"/>
        <w:ind w:firstLine="0"/>
      </w:pPr>
      <w:r w:rsidRPr="00490651">
        <w:rPr>
          <w:rStyle w:val="Puslapioinaosnuoroda"/>
        </w:rPr>
        <w:footnoteRef/>
      </w:r>
      <w:r w:rsidRPr="00490651">
        <w:t xml:space="preserve"> Lietuvos Respublikos Papildomo savanoriško pensijų kaupimo įstatymas, </w:t>
      </w:r>
      <w:r w:rsidRPr="00490651">
        <w:rPr>
          <w:i/>
        </w:rPr>
        <w:t>supra</w:t>
      </w:r>
      <w:r w:rsidRPr="00490651">
        <w:t xml:space="preserve"> note 88,  22 straipsnis.</w:t>
      </w:r>
    </w:p>
  </w:footnote>
  <w:footnote w:id="121">
    <w:p w:rsidR="00F5222E" w:rsidRPr="00490651" w:rsidRDefault="00F5222E" w:rsidP="00E95826">
      <w:pPr>
        <w:pStyle w:val="Puslapioinaostekstas"/>
        <w:ind w:firstLine="0"/>
      </w:pPr>
      <w:r w:rsidRPr="00490651">
        <w:rPr>
          <w:rStyle w:val="Puslapioinaosnuoroda"/>
        </w:rPr>
        <w:footnoteRef/>
      </w:r>
      <w:r w:rsidRPr="00490651">
        <w:t xml:space="preserve"> </w:t>
      </w:r>
      <w:r w:rsidRPr="00490651">
        <w:rPr>
          <w:rStyle w:val="Emfaz"/>
          <w:i w:val="0"/>
        </w:rPr>
        <w:t xml:space="preserve">Investicijų išskirstymo arba rizikos padalijimo (diversifikavimo) taisyklė, </w:t>
      </w:r>
      <w:r w:rsidRPr="00490651">
        <w:rPr>
          <w:rStyle w:val="Emfaz"/>
        </w:rPr>
        <w:t>supra</w:t>
      </w:r>
      <w:r w:rsidRPr="00490651">
        <w:rPr>
          <w:rStyle w:val="Emfaz"/>
          <w:i w:val="0"/>
        </w:rPr>
        <w:t xml:space="preserve"> note 115.</w:t>
      </w:r>
    </w:p>
  </w:footnote>
  <w:footnote w:id="122">
    <w:p w:rsidR="00F5222E" w:rsidRPr="00490651" w:rsidRDefault="00F5222E" w:rsidP="00E95826">
      <w:pPr>
        <w:pStyle w:val="Puslapioinaostekstas"/>
        <w:ind w:firstLine="0"/>
      </w:pPr>
      <w:r w:rsidRPr="00490651">
        <w:rPr>
          <w:rStyle w:val="Puslapioinaosnuoroda"/>
        </w:rPr>
        <w:footnoteRef/>
      </w:r>
      <w:r w:rsidRPr="00490651">
        <w:t xml:space="preserve"> Finansų analitikų asociacija, Konservatyviųjų pensijų fondų rezultatų vertinimas. –Vilnius, 2007.</w:t>
      </w:r>
    </w:p>
    <w:p w:rsidR="00F5222E" w:rsidRPr="00490651" w:rsidRDefault="00173912" w:rsidP="00E95826">
      <w:pPr>
        <w:pStyle w:val="Puslapioinaostekstas"/>
        <w:ind w:firstLine="0"/>
      </w:pPr>
      <w:hyperlink r:id="rId32" w:history="1">
        <w:r w:rsidR="00F5222E" w:rsidRPr="00490651">
          <w:rPr>
            <w:rStyle w:val="Hipersaitas"/>
            <w:color w:val="auto"/>
            <w:u w:val="none"/>
          </w:rPr>
          <w:t>http://www.finansai.lt/component/option,com_docman/task,doc_view/gid,78/</w:t>
        </w:r>
      </w:hyperlink>
      <w:r w:rsidR="00F5222E" w:rsidRPr="00490651">
        <w:t xml:space="preserve"> [žiūrėta 2012 03 15]. p. 3.</w:t>
      </w:r>
    </w:p>
  </w:footnote>
  <w:footnote w:id="123">
    <w:p w:rsidR="00F5222E" w:rsidRPr="00490651" w:rsidRDefault="00F5222E" w:rsidP="003A6ABE">
      <w:pPr>
        <w:pStyle w:val="Puslapioinaostekstas"/>
        <w:ind w:firstLine="0"/>
        <w:rPr>
          <w:lang w:val="es-ES"/>
        </w:rPr>
      </w:pPr>
      <w:r w:rsidRPr="00490651">
        <w:rPr>
          <w:rStyle w:val="Puslapioinaosnuoroda"/>
        </w:rPr>
        <w:footnoteRef/>
      </w:r>
      <w:r w:rsidRPr="00490651">
        <w:t xml:space="preserve"> Gudaitis T., </w:t>
      </w:r>
      <w:r w:rsidRPr="00490651">
        <w:rPr>
          <w:i/>
        </w:rPr>
        <w:t>supra</w:t>
      </w:r>
      <w:r w:rsidRPr="00490651">
        <w:t xml:space="preserve"> note </w:t>
      </w:r>
      <w:r w:rsidRPr="00490651">
        <w:rPr>
          <w:lang w:val="es-ES"/>
        </w:rPr>
        <w:t>20, p.62-63.</w:t>
      </w:r>
    </w:p>
  </w:footnote>
  <w:footnote w:id="124">
    <w:p w:rsidR="00F5222E" w:rsidRPr="00490651" w:rsidRDefault="00F5222E" w:rsidP="0054117C">
      <w:pPr>
        <w:pStyle w:val="Puslapioinaostekstas"/>
        <w:ind w:firstLine="0"/>
      </w:pPr>
      <w:r w:rsidRPr="00490651">
        <w:rPr>
          <w:rStyle w:val="Puslapioinaosnuoroda"/>
        </w:rPr>
        <w:footnoteRef/>
      </w:r>
      <w:r w:rsidRPr="00490651">
        <w:t xml:space="preserve"> Aušiūraitytė V. Lietuvos privačių pensijų fondų analizė </w:t>
      </w:r>
    </w:p>
    <w:p w:rsidR="00F5222E" w:rsidRPr="00490651" w:rsidRDefault="00173912" w:rsidP="0054117C">
      <w:pPr>
        <w:pStyle w:val="Puslapioinaostekstas"/>
        <w:ind w:firstLine="0"/>
      </w:pPr>
      <w:hyperlink r:id="rId33" w:history="1">
        <w:r w:rsidR="00F5222E" w:rsidRPr="00490651">
          <w:rPr>
            <w:rStyle w:val="Hipersaitas"/>
            <w:color w:val="auto"/>
            <w:u w:val="none"/>
          </w:rPr>
          <w:t>http://jaunasis-mokslininkas.asu.lt/smk_2007/finansai/Ausiuraityte_Vaida.pdf</w:t>
        </w:r>
      </w:hyperlink>
      <w:r w:rsidR="00F5222E" w:rsidRPr="00490651">
        <w:t xml:space="preserve"> [žiūrėta 2012 03 15].</w:t>
      </w:r>
    </w:p>
  </w:footnote>
  <w:footnote w:id="125">
    <w:p w:rsidR="00F5222E" w:rsidRPr="00490651" w:rsidRDefault="00F5222E" w:rsidP="00B5644E">
      <w:pPr>
        <w:pStyle w:val="Puslapioinaostekstas"/>
        <w:ind w:firstLine="0"/>
        <w:rPr>
          <w:color w:val="0070C0"/>
        </w:rPr>
      </w:pPr>
      <w:r w:rsidRPr="00490651">
        <w:rPr>
          <w:rStyle w:val="Puslapioinaosnuoroda"/>
        </w:rPr>
        <w:footnoteRef/>
      </w:r>
      <w:r w:rsidRPr="00490651">
        <w:t xml:space="preserve"> </w:t>
      </w:r>
      <w:r w:rsidRPr="00490651">
        <w:rPr>
          <w:rStyle w:val="Emfaz"/>
          <w:i w:val="0"/>
        </w:rPr>
        <w:t xml:space="preserve">Investicijų išskirstymo arba rizikos padalijimo (diversifikavimo) taisyklė, </w:t>
      </w:r>
      <w:r w:rsidRPr="00490651">
        <w:rPr>
          <w:rStyle w:val="Emfaz"/>
        </w:rPr>
        <w:t>supra</w:t>
      </w:r>
      <w:r w:rsidRPr="00490651">
        <w:rPr>
          <w:rStyle w:val="Emfaz"/>
          <w:i w:val="0"/>
        </w:rPr>
        <w:t xml:space="preserve"> note 115.</w:t>
      </w:r>
    </w:p>
  </w:footnote>
  <w:footnote w:id="126">
    <w:p w:rsidR="00F5222E" w:rsidRPr="00490651" w:rsidRDefault="00F5222E" w:rsidP="00B85E4C">
      <w:pPr>
        <w:pStyle w:val="Puslapioinaostekstas"/>
        <w:ind w:firstLine="0"/>
      </w:pPr>
      <w:r w:rsidRPr="00490651">
        <w:rPr>
          <w:rStyle w:val="Puslapioinaosnuoroda"/>
        </w:rPr>
        <w:footnoteRef/>
      </w:r>
      <w:r w:rsidRPr="00490651">
        <w:t xml:space="preserve"> Jurevičienė D., Samoškaitė Š., II pakopos pensijų fondų investicijų grąžos, atsižvelgiant į riziką, vertinimas. // Verslas: teorija ir praktika, 2012 13 (4): 304 – 313. – ISNN 1648-0627. p. 307</w:t>
      </w:r>
    </w:p>
  </w:footnote>
  <w:footnote w:id="127">
    <w:p w:rsidR="00F5222E" w:rsidRPr="00490651" w:rsidRDefault="00F5222E" w:rsidP="00E95826">
      <w:pPr>
        <w:pStyle w:val="Puslapioinaostekstas"/>
        <w:ind w:firstLine="0"/>
        <w:rPr>
          <w:lang w:val="es-ES"/>
        </w:rPr>
      </w:pPr>
      <w:r w:rsidRPr="00490651">
        <w:rPr>
          <w:rStyle w:val="Puslapioinaosnuoroda"/>
        </w:rPr>
        <w:footnoteRef/>
      </w:r>
      <w:r w:rsidRPr="00490651">
        <w:t xml:space="preserve"> Bielinskienė A., </w:t>
      </w:r>
      <w:r w:rsidRPr="00490651">
        <w:rPr>
          <w:i/>
        </w:rPr>
        <w:t>supra</w:t>
      </w:r>
      <w:r w:rsidRPr="00490651">
        <w:t xml:space="preserve"> note 118, p. </w:t>
      </w:r>
      <w:r w:rsidRPr="00490651">
        <w:rPr>
          <w:lang w:val="es-ES"/>
        </w:rPr>
        <w:t>35-36.</w:t>
      </w:r>
    </w:p>
  </w:footnote>
  <w:footnote w:id="128">
    <w:p w:rsidR="00F5222E" w:rsidRPr="00490651" w:rsidRDefault="00F5222E" w:rsidP="00786B37">
      <w:pPr>
        <w:pStyle w:val="Puslapioinaostekstas"/>
        <w:ind w:firstLine="0"/>
      </w:pPr>
      <w:r w:rsidRPr="00490651">
        <w:rPr>
          <w:rStyle w:val="Puslapioinaosnuoroda"/>
        </w:rPr>
        <w:footnoteRef/>
      </w:r>
      <w:r w:rsidRPr="00490651">
        <w:t xml:space="preserve"> Jurevičienė D., Samoškaitė Š., </w:t>
      </w:r>
      <w:r>
        <w:rPr>
          <w:i/>
        </w:rPr>
        <w:t>opt.cit</w:t>
      </w:r>
      <w:r w:rsidRPr="00490651">
        <w:t>, p. 3</w:t>
      </w:r>
      <w:r w:rsidRPr="00490651">
        <w:rPr>
          <w:lang w:val="es-ES"/>
        </w:rPr>
        <w:t>09</w:t>
      </w:r>
      <w:r w:rsidRPr="00490651">
        <w:t>.</w:t>
      </w:r>
    </w:p>
  </w:footnote>
  <w:footnote w:id="129">
    <w:p w:rsidR="00F5222E" w:rsidRPr="00490651" w:rsidRDefault="00F5222E" w:rsidP="007D23C5">
      <w:pPr>
        <w:pStyle w:val="Puslapioinaostekstas"/>
        <w:ind w:firstLine="0"/>
      </w:pPr>
      <w:r w:rsidRPr="00490651">
        <w:rPr>
          <w:rStyle w:val="Puslapioinaosnuoroda"/>
        </w:rPr>
        <w:footnoteRef/>
      </w:r>
      <w:r w:rsidRPr="00490651">
        <w:t xml:space="preserve"> Jurevičienė D., Samoškaitė Š., </w:t>
      </w:r>
      <w:proofErr w:type="spellStart"/>
      <w:r w:rsidRPr="00F5222E">
        <w:rPr>
          <w:i/>
        </w:rPr>
        <w:t>opt.cit</w:t>
      </w:r>
      <w:proofErr w:type="spellEnd"/>
      <w:r w:rsidRPr="00490651">
        <w:t>, p. 310.</w:t>
      </w:r>
    </w:p>
  </w:footnote>
  <w:footnote w:id="130">
    <w:p w:rsidR="00F5222E" w:rsidRPr="00490651" w:rsidRDefault="00F5222E" w:rsidP="008E0747">
      <w:pPr>
        <w:pStyle w:val="Puslapioinaostekstas"/>
        <w:ind w:firstLine="0"/>
      </w:pPr>
      <w:r w:rsidRPr="00490651">
        <w:rPr>
          <w:rStyle w:val="Puslapioinaosnuoroda"/>
        </w:rPr>
        <w:footnoteRef/>
      </w:r>
      <w:r w:rsidRPr="00490651">
        <w:t xml:space="preserve"> Pensijų reforma - valstybinė protekcija verslui, 2004 03 08, </w:t>
      </w:r>
      <w:hyperlink r:id="rId34" w:history="1">
        <w:r w:rsidRPr="00490651">
          <w:rPr>
            <w:rStyle w:val="Hipersaitas"/>
            <w:color w:val="auto"/>
            <w:u w:val="none"/>
          </w:rPr>
          <w:t>http://www.infolex.lt/portal/start.asp?Tema=43&amp;str=9070</w:t>
        </w:r>
      </w:hyperlink>
      <w:r w:rsidRPr="00490651">
        <w:t xml:space="preserve"> [žiūrėta </w:t>
      </w:r>
      <w:r w:rsidRPr="00490651">
        <w:rPr>
          <w:lang w:val="es-ES"/>
        </w:rPr>
        <w:t>2013 02 17].</w:t>
      </w:r>
    </w:p>
  </w:footnote>
  <w:footnote w:id="131">
    <w:p w:rsidR="00F5222E" w:rsidRPr="00002340" w:rsidRDefault="00F5222E" w:rsidP="008E0747">
      <w:pPr>
        <w:pStyle w:val="Puslapioinaostekstas"/>
        <w:ind w:firstLine="0"/>
      </w:pPr>
      <w:r w:rsidRPr="00490651">
        <w:rPr>
          <w:rStyle w:val="Puslapioinaosnuoroda"/>
        </w:rPr>
        <w:footnoteRef/>
      </w:r>
      <w:r w:rsidRPr="00490651">
        <w:t xml:space="preserve"> Lietuvos Respublikos Pensijų kaupimo įstatymas, </w:t>
      </w:r>
      <w:r w:rsidRPr="00490651">
        <w:rPr>
          <w:i/>
        </w:rPr>
        <w:t>supra</w:t>
      </w:r>
      <w:r w:rsidRPr="00490651">
        <w:t xml:space="preserve"> note </w:t>
      </w:r>
      <w:r w:rsidRPr="00002340">
        <w:t>71, 5 straipsnis.</w:t>
      </w:r>
    </w:p>
  </w:footnote>
  <w:footnote w:id="132">
    <w:p w:rsidR="00F5222E" w:rsidRPr="00490651" w:rsidRDefault="00F5222E" w:rsidP="0082776B">
      <w:pPr>
        <w:pStyle w:val="Puslapioinaostekstas"/>
        <w:ind w:firstLine="0"/>
      </w:pPr>
      <w:r w:rsidRPr="00490651">
        <w:rPr>
          <w:rStyle w:val="Puslapioinaosnuoroda"/>
        </w:rPr>
        <w:footnoteRef/>
      </w:r>
      <w:r w:rsidRPr="00490651">
        <w:t xml:space="preserve"> Bitinas A., </w:t>
      </w:r>
      <w:r w:rsidRPr="00490651">
        <w:rPr>
          <w:i/>
        </w:rPr>
        <w:t>supra</w:t>
      </w:r>
      <w:r w:rsidRPr="00490651">
        <w:t xml:space="preserve"> note 3, p. </w:t>
      </w:r>
      <w:r w:rsidRPr="00002340">
        <w:t>24.</w:t>
      </w:r>
    </w:p>
  </w:footnote>
  <w:footnote w:id="133">
    <w:p w:rsidR="00F5222E" w:rsidRPr="00002340" w:rsidRDefault="00F5222E" w:rsidP="005A5C95">
      <w:pPr>
        <w:pStyle w:val="Puslapioinaostekstas"/>
        <w:ind w:firstLine="0"/>
      </w:pPr>
      <w:r w:rsidRPr="00490651">
        <w:rPr>
          <w:rStyle w:val="Puslapioinaosnuoroda"/>
          <w:lang w:val="en-US"/>
        </w:rPr>
        <w:footnoteRef/>
      </w:r>
      <w:r w:rsidRPr="00002340">
        <w:t xml:space="preserve"> </w:t>
      </w:r>
      <w:r w:rsidRPr="00490651">
        <w:t xml:space="preserve">Europos Komisijos Užimtumo, socialinių reikalų ir lygių galimybių generalinis direktoratas, </w:t>
      </w:r>
      <w:r w:rsidRPr="00490651">
        <w:rPr>
          <w:i/>
        </w:rPr>
        <w:t>supra</w:t>
      </w:r>
      <w:r w:rsidRPr="00490651">
        <w:t xml:space="preserve"> note 9</w:t>
      </w:r>
      <w:r w:rsidRPr="00002340">
        <w:t>6, p. 19-20.</w:t>
      </w:r>
    </w:p>
  </w:footnote>
  <w:footnote w:id="134">
    <w:p w:rsidR="00F5222E" w:rsidRPr="00490651" w:rsidRDefault="00F5222E" w:rsidP="00E50299">
      <w:pPr>
        <w:pStyle w:val="Puslapioinaostekstas"/>
        <w:ind w:firstLine="0"/>
      </w:pPr>
      <w:r w:rsidRPr="00490651">
        <w:rPr>
          <w:rStyle w:val="Puslapioinaosnuoroda"/>
        </w:rPr>
        <w:footnoteRef/>
      </w:r>
      <w:r w:rsidRPr="00490651">
        <w:t xml:space="preserve"> Varfolomyeyev S.,</w:t>
      </w:r>
      <w:r w:rsidRPr="00490651">
        <w:rPr>
          <w:lang w:val="es-ES"/>
        </w:rPr>
        <w:t xml:space="preserve"> </w:t>
      </w:r>
      <w:r w:rsidRPr="00490651">
        <w:rPr>
          <w:i/>
          <w:lang w:val="es-ES"/>
        </w:rPr>
        <w:t>supra</w:t>
      </w:r>
      <w:r w:rsidRPr="00490651">
        <w:rPr>
          <w:lang w:val="es-ES"/>
        </w:rPr>
        <w:t xml:space="preserve">  note 34, p. 37.</w:t>
      </w:r>
    </w:p>
  </w:footnote>
  <w:footnote w:id="135">
    <w:p w:rsidR="00F5222E" w:rsidRPr="00490651" w:rsidRDefault="00F5222E" w:rsidP="00AD7CC7">
      <w:pPr>
        <w:pStyle w:val="Puslapioinaostekstas"/>
        <w:ind w:firstLine="0"/>
      </w:pPr>
      <w:r w:rsidRPr="00490651">
        <w:rPr>
          <w:rStyle w:val="Puslapioinaosnuoroda"/>
        </w:rPr>
        <w:footnoteRef/>
      </w:r>
      <w:r w:rsidRPr="00490651">
        <w:t xml:space="preserve"> Gudaitis T., </w:t>
      </w:r>
      <w:r w:rsidRPr="00490651">
        <w:rPr>
          <w:i/>
        </w:rPr>
        <w:t>supra</w:t>
      </w:r>
      <w:r w:rsidRPr="00490651">
        <w:t xml:space="preserve"> note 2, p. 58.</w:t>
      </w:r>
    </w:p>
  </w:footnote>
  <w:footnote w:id="136">
    <w:p w:rsidR="00F5222E" w:rsidRPr="00490651" w:rsidRDefault="00F5222E" w:rsidP="00E95826">
      <w:pPr>
        <w:pStyle w:val="Puslapioinaostekstas"/>
        <w:ind w:firstLine="0"/>
      </w:pPr>
      <w:r w:rsidRPr="00490651">
        <w:rPr>
          <w:rStyle w:val="Puslapioinaosnuoroda"/>
        </w:rPr>
        <w:footnoteRef/>
      </w:r>
      <w:r w:rsidRPr="00490651">
        <w:t xml:space="preserve"> Lazutka R., </w:t>
      </w:r>
      <w:r w:rsidRPr="00490651">
        <w:rPr>
          <w:i/>
        </w:rPr>
        <w:t>supra</w:t>
      </w:r>
      <w:r w:rsidRPr="00490651">
        <w:t xml:space="preserve"> note 7, p. 46.</w:t>
      </w:r>
    </w:p>
  </w:footnote>
  <w:footnote w:id="137">
    <w:p w:rsidR="00F5222E" w:rsidRPr="00490651" w:rsidRDefault="00F5222E" w:rsidP="00E95826">
      <w:pPr>
        <w:pStyle w:val="Betarp"/>
        <w:ind w:firstLine="0"/>
        <w:rPr>
          <w:sz w:val="20"/>
          <w:szCs w:val="20"/>
        </w:rPr>
      </w:pPr>
      <w:r w:rsidRPr="00490651">
        <w:rPr>
          <w:rStyle w:val="Puslapioinaosnuoroda"/>
          <w:sz w:val="20"/>
          <w:szCs w:val="20"/>
        </w:rPr>
        <w:footnoteRef/>
      </w:r>
      <w:r w:rsidRPr="00490651">
        <w:rPr>
          <w:sz w:val="20"/>
          <w:szCs w:val="20"/>
        </w:rPr>
        <w:t xml:space="preserve"> Lietuvos Respublikos Papildomo savanoriško pensijų kaupimo įstatymas., </w:t>
      </w:r>
      <w:r w:rsidRPr="00490651">
        <w:rPr>
          <w:i/>
          <w:sz w:val="20"/>
          <w:szCs w:val="20"/>
        </w:rPr>
        <w:t>supra</w:t>
      </w:r>
      <w:r w:rsidRPr="00490651">
        <w:rPr>
          <w:sz w:val="20"/>
          <w:szCs w:val="20"/>
        </w:rPr>
        <w:t xml:space="preserve"> note 88, 2 ir 3 straipsniai.</w:t>
      </w:r>
    </w:p>
  </w:footnote>
  <w:footnote w:id="138">
    <w:p w:rsidR="00F5222E" w:rsidRPr="00490651" w:rsidRDefault="00F5222E" w:rsidP="00E95826">
      <w:pPr>
        <w:pStyle w:val="Puslapioinaostekstas"/>
        <w:ind w:firstLine="0"/>
      </w:pPr>
      <w:r w:rsidRPr="00490651">
        <w:rPr>
          <w:rStyle w:val="Puslapioinaosnuoroda"/>
        </w:rPr>
        <w:footnoteRef/>
      </w:r>
      <w:r w:rsidRPr="00490651">
        <w:t xml:space="preserve"> Lazutka R., </w:t>
      </w:r>
      <w:r w:rsidRPr="00490651">
        <w:rPr>
          <w:i/>
        </w:rPr>
        <w:t>supra</w:t>
      </w:r>
      <w:r w:rsidRPr="00490651">
        <w:t xml:space="preserve"> note 7, p. 35.</w:t>
      </w:r>
    </w:p>
  </w:footnote>
  <w:footnote w:id="139">
    <w:p w:rsidR="00F5222E" w:rsidRPr="00490651" w:rsidRDefault="00F5222E" w:rsidP="00E95826">
      <w:pPr>
        <w:pStyle w:val="Puslapioinaostekstas"/>
        <w:ind w:firstLine="0"/>
      </w:pPr>
      <w:r w:rsidRPr="00490651">
        <w:rPr>
          <w:rStyle w:val="Puslapioinaosnuoroda"/>
        </w:rPr>
        <w:footnoteRef/>
      </w:r>
      <w:r w:rsidRPr="00490651">
        <w:t xml:space="preserve"> Bielinskienė A., </w:t>
      </w:r>
      <w:r w:rsidRPr="00490651">
        <w:rPr>
          <w:i/>
        </w:rPr>
        <w:t>supra</w:t>
      </w:r>
      <w:r w:rsidRPr="00490651">
        <w:t xml:space="preserve"> note 118, </w:t>
      </w:r>
      <w:r w:rsidRPr="00490651">
        <w:rPr>
          <w:lang w:val="es-ES"/>
        </w:rPr>
        <w:t xml:space="preserve"> </w:t>
      </w:r>
      <w:r w:rsidRPr="00490651">
        <w:t>p. 36.</w:t>
      </w:r>
    </w:p>
  </w:footnote>
  <w:footnote w:id="140">
    <w:p w:rsidR="00F5222E" w:rsidRPr="00490651" w:rsidRDefault="00F5222E" w:rsidP="00E95826">
      <w:pPr>
        <w:pStyle w:val="Puslapioinaostekstas"/>
        <w:ind w:firstLine="0"/>
      </w:pPr>
      <w:r w:rsidRPr="00490651">
        <w:rPr>
          <w:rStyle w:val="Puslapioinaosnuoroda"/>
        </w:rPr>
        <w:footnoteRef/>
      </w:r>
      <w:r w:rsidRPr="00490651">
        <w:t xml:space="preserve"> Lazutka R. </w:t>
      </w:r>
      <w:r w:rsidRPr="00490651">
        <w:rPr>
          <w:i/>
        </w:rPr>
        <w:t>supra</w:t>
      </w:r>
      <w:r w:rsidRPr="00490651">
        <w:t xml:space="preserve"> note 7, p. 35.</w:t>
      </w:r>
    </w:p>
  </w:footnote>
  <w:footnote w:id="141">
    <w:p w:rsidR="00F5222E" w:rsidRPr="00490651" w:rsidRDefault="00F5222E" w:rsidP="00E95826">
      <w:pPr>
        <w:pStyle w:val="Puslapioinaostekstas"/>
        <w:ind w:firstLine="0"/>
      </w:pPr>
      <w:r w:rsidRPr="00490651">
        <w:rPr>
          <w:rStyle w:val="Puslapioinaosnuoroda"/>
        </w:rPr>
        <w:footnoteRef/>
      </w:r>
      <w:r w:rsidRPr="00490651">
        <w:t xml:space="preserve"> Lietuvos Respublikos Pensijų kaupimo įstatymas, </w:t>
      </w:r>
      <w:r w:rsidRPr="00490651">
        <w:rPr>
          <w:i/>
        </w:rPr>
        <w:t>supra</w:t>
      </w:r>
      <w:r w:rsidRPr="00490651">
        <w:t xml:space="preserve"> note 71, 11 straipsnis.</w:t>
      </w:r>
    </w:p>
  </w:footnote>
  <w:footnote w:id="142">
    <w:p w:rsidR="00F5222E" w:rsidRPr="00490651" w:rsidRDefault="00F5222E" w:rsidP="00E95826">
      <w:pPr>
        <w:pStyle w:val="Betarp"/>
        <w:ind w:firstLine="0"/>
        <w:rPr>
          <w:sz w:val="20"/>
          <w:szCs w:val="20"/>
        </w:rPr>
      </w:pPr>
      <w:r w:rsidRPr="00490651">
        <w:rPr>
          <w:rStyle w:val="Puslapioinaosnuoroda"/>
          <w:sz w:val="20"/>
          <w:szCs w:val="20"/>
        </w:rPr>
        <w:footnoteRef/>
      </w:r>
      <w:r w:rsidRPr="00490651">
        <w:rPr>
          <w:sz w:val="20"/>
          <w:szCs w:val="20"/>
        </w:rPr>
        <w:t xml:space="preserve"> Bitinas A., </w:t>
      </w:r>
      <w:r w:rsidRPr="00490651">
        <w:rPr>
          <w:i/>
          <w:sz w:val="20"/>
          <w:szCs w:val="20"/>
        </w:rPr>
        <w:t>supra</w:t>
      </w:r>
      <w:r w:rsidRPr="00490651">
        <w:rPr>
          <w:sz w:val="20"/>
          <w:szCs w:val="20"/>
        </w:rPr>
        <w:t xml:space="preserve"> note 3,  p. 22.</w:t>
      </w:r>
    </w:p>
  </w:footnote>
  <w:footnote w:id="143">
    <w:p w:rsidR="00F5222E" w:rsidRPr="00490651" w:rsidRDefault="00F5222E" w:rsidP="00040AB8">
      <w:pPr>
        <w:pStyle w:val="Puslapioinaostekstas"/>
        <w:ind w:firstLine="0"/>
      </w:pPr>
      <w:r w:rsidRPr="00490651">
        <w:rPr>
          <w:rStyle w:val="Puslapioinaosnuoroda"/>
        </w:rPr>
        <w:footnoteRef/>
      </w:r>
      <w:r w:rsidRPr="00490651">
        <w:t xml:space="preserve"> Morkūnienė A., Ryškėja pensijų fondų kontūrai, 1999. </w:t>
      </w:r>
      <w:hyperlink r:id="rId35" w:history="1">
        <w:r w:rsidRPr="00490651">
          <w:rPr>
            <w:rStyle w:val="Hipersaitas"/>
            <w:color w:val="auto"/>
            <w:u w:val="none"/>
          </w:rPr>
          <w:t>http://www.lrinka.lt/index.php//1815</w:t>
        </w:r>
      </w:hyperlink>
      <w:r w:rsidRPr="00490651">
        <w:t xml:space="preserve"> [žiūrėta 2013 04 09].</w:t>
      </w:r>
    </w:p>
  </w:footnote>
  <w:footnote w:id="144">
    <w:p w:rsidR="00F5222E" w:rsidRPr="00490651" w:rsidRDefault="00F5222E" w:rsidP="00761588">
      <w:pPr>
        <w:pStyle w:val="Puslapioinaostekstas"/>
        <w:ind w:firstLine="0"/>
        <w:rPr>
          <w:lang w:val="es-ES"/>
        </w:rPr>
      </w:pPr>
      <w:r w:rsidRPr="00490651">
        <w:rPr>
          <w:rStyle w:val="Puslapioinaosnuoroda"/>
        </w:rPr>
        <w:footnoteRef/>
      </w:r>
      <w:r w:rsidRPr="00490651">
        <w:t xml:space="preserve"> Konceptualios nuostatos dėl pensijų fondų priežiūros, </w:t>
      </w:r>
      <w:r w:rsidRPr="00490651">
        <w:rPr>
          <w:i/>
        </w:rPr>
        <w:t>supra</w:t>
      </w:r>
      <w:r w:rsidRPr="00490651">
        <w:t xml:space="preserve"> note 52, p. </w:t>
      </w:r>
      <w:r w:rsidRPr="00490651">
        <w:rPr>
          <w:lang w:val="es-ES"/>
        </w:rPr>
        <w:t>12.</w:t>
      </w:r>
    </w:p>
  </w:footnote>
  <w:footnote w:id="145">
    <w:p w:rsidR="00F5222E" w:rsidRPr="00490651" w:rsidRDefault="00F5222E" w:rsidP="00040AB8">
      <w:pPr>
        <w:pStyle w:val="Puslapioinaostekstas"/>
        <w:ind w:firstLine="0"/>
      </w:pPr>
      <w:r w:rsidRPr="00490651">
        <w:rPr>
          <w:rStyle w:val="Puslapioinaosnuoroda"/>
        </w:rPr>
        <w:footnoteRef/>
      </w:r>
      <w:r w:rsidRPr="00490651">
        <w:t xml:space="preserve"> Morkūnienė A., LLRI siūlo tobulinti pensijų fondų priežiūrą, 1999.</w:t>
      </w:r>
    </w:p>
    <w:p w:rsidR="00F5222E" w:rsidRPr="00490651" w:rsidRDefault="00173912" w:rsidP="00040AB8">
      <w:pPr>
        <w:pStyle w:val="Puslapioinaostekstas"/>
        <w:ind w:firstLine="0"/>
      </w:pPr>
      <w:hyperlink r:id="rId36" w:history="1">
        <w:r w:rsidR="00F5222E" w:rsidRPr="00490651">
          <w:rPr>
            <w:rStyle w:val="Hipersaitas"/>
            <w:color w:val="auto"/>
            <w:u w:val="none"/>
          </w:rPr>
          <w:t>http://www.lrinka.lt/n/index.php/meniu/ziniasklaidai/straipsniai_ir_komentarai/llri_siulo_tobulinti_pensiju_fondu_prieziura/2093</w:t>
        </w:r>
      </w:hyperlink>
      <w:r w:rsidR="00F5222E" w:rsidRPr="00490651">
        <w:t xml:space="preserve"> [žiūrėta </w:t>
      </w:r>
      <w:r w:rsidR="00F5222E" w:rsidRPr="00490651">
        <w:rPr>
          <w:lang w:val="es-ES"/>
        </w:rPr>
        <w:t>2013 04 09].</w:t>
      </w:r>
    </w:p>
  </w:footnote>
  <w:footnote w:id="146">
    <w:p w:rsidR="00F5222E" w:rsidRPr="00490651" w:rsidRDefault="00F5222E" w:rsidP="00E95826">
      <w:pPr>
        <w:pStyle w:val="Betarp"/>
        <w:ind w:firstLine="0"/>
        <w:rPr>
          <w:sz w:val="20"/>
          <w:szCs w:val="20"/>
        </w:rPr>
      </w:pPr>
      <w:r w:rsidRPr="00490651">
        <w:rPr>
          <w:rStyle w:val="Puslapioinaosnuoroda"/>
          <w:sz w:val="20"/>
          <w:szCs w:val="20"/>
        </w:rPr>
        <w:footnoteRef/>
      </w:r>
      <w:r w:rsidRPr="00490651">
        <w:rPr>
          <w:sz w:val="20"/>
          <w:szCs w:val="20"/>
        </w:rPr>
        <w:t xml:space="preserve"> Lietuvos Respublikos valstybės kontrolė. Valstybinio audito ataskaita. Socialinio draudimo sistemos reforma. – Vilnius, 2008 m. liepos 21 d., Nr. VA-P-10-3-14. </w:t>
      </w:r>
      <w:hyperlink r:id="rId37" w:history="1">
        <w:r w:rsidRPr="00490651">
          <w:rPr>
            <w:rStyle w:val="Hipersaitas"/>
            <w:color w:val="auto"/>
            <w:sz w:val="20"/>
            <w:szCs w:val="20"/>
            <w:u w:val="none"/>
          </w:rPr>
          <w:t>http://www.vkontrole.lt/failas_senas.aspx?id=2582</w:t>
        </w:r>
      </w:hyperlink>
      <w:r w:rsidRPr="00490651">
        <w:rPr>
          <w:sz w:val="20"/>
          <w:szCs w:val="20"/>
        </w:rPr>
        <w:t xml:space="preserve"> [žiūrėta 2012 04 10].</w:t>
      </w:r>
    </w:p>
  </w:footnote>
  <w:footnote w:id="147">
    <w:p w:rsidR="00F5222E" w:rsidRPr="00490651" w:rsidRDefault="00F5222E" w:rsidP="00E95826">
      <w:pPr>
        <w:pStyle w:val="Puslapioinaostekstas"/>
        <w:ind w:firstLine="0"/>
      </w:pPr>
      <w:r w:rsidRPr="00490651">
        <w:rPr>
          <w:rStyle w:val="Puslapioinaosnuoroda"/>
        </w:rPr>
        <w:footnoteRef/>
      </w:r>
      <w:r w:rsidRPr="00490651">
        <w:t xml:space="preserve"> Vyriausybė siūlo lankstesnę pensijų kaupimo privačiuose fonduose sistemą. </w:t>
      </w:r>
      <w:hyperlink r:id="rId38" w:history="1">
        <w:r w:rsidRPr="00490651">
          <w:rPr>
            <w:rStyle w:val="Hipersaitas"/>
            <w:color w:val="auto"/>
            <w:u w:val="none"/>
          </w:rPr>
          <w:t>http://alkas.lt/2012/03/07/vyriausybe-siulo-lankstesne-pensiju-kaupimo-privaciuose-fonduose-sistema/</w:t>
        </w:r>
      </w:hyperlink>
      <w:r w:rsidRPr="00490651">
        <w:t xml:space="preserve"> [žiūrėta 2012 03 30].</w:t>
      </w:r>
    </w:p>
  </w:footnote>
  <w:footnote w:id="148">
    <w:p w:rsidR="00F5222E" w:rsidRPr="00490651" w:rsidRDefault="00F5222E" w:rsidP="00E95826">
      <w:pPr>
        <w:pStyle w:val="Puslapioinaostekstas"/>
        <w:ind w:firstLine="0"/>
      </w:pPr>
      <w:r w:rsidRPr="00490651">
        <w:rPr>
          <w:rStyle w:val="Puslapioinaosnuoroda"/>
        </w:rPr>
        <w:footnoteRef/>
      </w:r>
      <w:r w:rsidRPr="00490651">
        <w:t xml:space="preserve"> Staponkienė A., Būtina apsaugoti pensijų kaupimo fonduose investuojančių žmonių turtinius interesus.</w:t>
      </w:r>
    </w:p>
    <w:p w:rsidR="00F5222E" w:rsidRPr="00490651" w:rsidRDefault="00F5222E" w:rsidP="00E95826">
      <w:pPr>
        <w:pStyle w:val="Puslapioinaostekstas"/>
        <w:ind w:firstLine="0"/>
      </w:pPr>
      <w:r w:rsidRPr="00490651">
        <w:t xml:space="preserve"> </w:t>
      </w:r>
      <w:hyperlink r:id="rId39" w:history="1">
        <w:r w:rsidRPr="00490651">
          <w:rPr>
            <w:rStyle w:val="Hipersaitas"/>
            <w:color w:val="auto"/>
            <w:u w:val="none"/>
          </w:rPr>
          <w:t>http://www3.lrs.lt/docs3/kad5/w5_istorija.show5-p_r=5695&amp;p_d=75801&amp;p_k=1.html</w:t>
        </w:r>
      </w:hyperlink>
      <w:r w:rsidRPr="00490651">
        <w:rPr>
          <w:rStyle w:val="Hipersaitas"/>
          <w:color w:val="auto"/>
          <w:u w:val="none"/>
        </w:rPr>
        <w:t xml:space="preserve"> </w:t>
      </w:r>
      <w:r w:rsidRPr="00490651">
        <w:t>[žiūrėta 2012 03 26]</w:t>
      </w:r>
    </w:p>
  </w:footnote>
  <w:footnote w:id="149">
    <w:p w:rsidR="00F5222E" w:rsidRPr="00490651" w:rsidRDefault="00F5222E" w:rsidP="00E95826">
      <w:pPr>
        <w:pStyle w:val="Puslapioinaostekstas"/>
        <w:ind w:firstLine="0"/>
      </w:pPr>
      <w:r w:rsidRPr="00490651">
        <w:rPr>
          <w:rStyle w:val="Puslapioinaosnuoroda"/>
        </w:rPr>
        <w:footnoteRef/>
      </w:r>
      <w:r w:rsidRPr="00490651">
        <w:t xml:space="preserve"> Medaiskis T.. Pensijų reformų dilemos. </w:t>
      </w:r>
      <w:hyperlink r:id="rId40" w:history="1">
        <w:r w:rsidRPr="00490651">
          <w:rPr>
            <w:rStyle w:val="Hipersaitas"/>
            <w:color w:val="auto"/>
            <w:u w:val="none"/>
          </w:rPr>
          <w:t>http://iq.lt/komentarai/pensiju-reformu-dilemos/</w:t>
        </w:r>
      </w:hyperlink>
      <w:r w:rsidRPr="00490651">
        <w:t xml:space="preserve"> [žiūrėta 2012 04 10]</w:t>
      </w:r>
    </w:p>
  </w:footnote>
  <w:footnote w:id="150">
    <w:p w:rsidR="00F5222E" w:rsidRPr="00490651" w:rsidRDefault="00F5222E" w:rsidP="00E95826">
      <w:pPr>
        <w:pStyle w:val="Puslapioinaostekstas"/>
        <w:ind w:firstLine="0"/>
      </w:pPr>
      <w:r w:rsidRPr="00490651">
        <w:rPr>
          <w:rStyle w:val="Puslapioinaosnuoroda"/>
        </w:rPr>
        <w:footnoteRef/>
      </w:r>
      <w:r w:rsidRPr="00490651">
        <w:t xml:space="preserve"> Aiškinamasis raštas dėl Lietuvos Respublikos Pensijų kaupimo įstatymo pakeitimo įstatymo projekto. - 2012 02 03, Nr. </w:t>
      </w:r>
      <w:r w:rsidRPr="00490651">
        <w:rPr>
          <w:bCs/>
        </w:rPr>
        <w:t>10-2742-09</w:t>
      </w:r>
      <w:r w:rsidRPr="00490651">
        <w:t xml:space="preserve"> </w:t>
      </w:r>
      <w:hyperlink r:id="rId41" w:history="1">
        <w:r w:rsidRPr="00490651">
          <w:rPr>
            <w:rStyle w:val="Hipersaitas"/>
            <w:color w:val="auto"/>
            <w:u w:val="none"/>
          </w:rPr>
          <w:t>http://www.lrs.lt/pls/proj/dokpaieska.showdoc_l?p_id=126224&amp;p_org=231&amp;p_fix=y&amp;p_gov=nf</w:t>
        </w:r>
      </w:hyperlink>
      <w:r w:rsidRPr="00490651">
        <w:t xml:space="preserve"> [žiūrėta </w:t>
      </w:r>
      <w:r w:rsidRPr="00490651">
        <w:rPr>
          <w:rStyle w:val="ddat"/>
        </w:rPr>
        <w:t>2012 03 26].</w:t>
      </w:r>
    </w:p>
  </w:footnote>
  <w:footnote w:id="151">
    <w:p w:rsidR="00F5222E" w:rsidRPr="00490651" w:rsidRDefault="00F5222E" w:rsidP="00E43F9A">
      <w:pPr>
        <w:pStyle w:val="Puslapioinaostekstas"/>
        <w:ind w:firstLine="0"/>
      </w:pPr>
      <w:r w:rsidRPr="00490651">
        <w:rPr>
          <w:rStyle w:val="Puslapioinaosnuoroda"/>
        </w:rPr>
        <w:footnoteRef/>
      </w:r>
      <w:r w:rsidRPr="00490651">
        <w:t xml:space="preserve"> Valstiečiai liaudininkai siekia mažinti pensijų kaupimo apetitus ir apsaugoti įmokas mokančių asmenų turtinius interesus </w:t>
      </w:r>
      <w:hyperlink r:id="rId42" w:history="1">
        <w:r w:rsidRPr="00490651">
          <w:rPr>
            <w:rStyle w:val="Hipersaitas"/>
            <w:color w:val="auto"/>
            <w:u w:val="none"/>
          </w:rPr>
          <w:t>http://www3.lrs.lt/docs3/kad5/w5_istorija.show5-p_r=5695&amp;p_d=77151&amp;p_k=1.html</w:t>
        </w:r>
      </w:hyperlink>
      <w:r w:rsidRPr="00490651">
        <w:t xml:space="preserve"> [žiūrėta 2013 04 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2E" w:rsidRDefault="00F5222E">
    <w:pPr>
      <w:pStyle w:val="Antrats"/>
      <w:jc w:val="right"/>
    </w:pPr>
  </w:p>
  <w:p w:rsidR="00F5222E" w:rsidRDefault="00F5222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2E" w:rsidRDefault="00F5222E">
    <w:pPr>
      <w:pStyle w:val="Antrats"/>
      <w:jc w:val="right"/>
    </w:pPr>
    <w:r>
      <w:fldChar w:fldCharType="begin"/>
    </w:r>
    <w:r>
      <w:instrText>PAGE   \* MERGEFORMAT</w:instrText>
    </w:r>
    <w:r>
      <w:fldChar w:fldCharType="separate"/>
    </w:r>
    <w:r w:rsidR="00B90D03">
      <w:rPr>
        <w:noProof/>
      </w:rPr>
      <w:t>14</w:t>
    </w:r>
    <w:r>
      <w:rPr>
        <w:noProof/>
      </w:rPr>
      <w:fldChar w:fldCharType="end"/>
    </w:r>
  </w:p>
  <w:p w:rsidR="00F5222E" w:rsidRDefault="00F5222E" w:rsidP="00887EEA">
    <w:pPr>
      <w:pStyle w:val="Antrats"/>
      <w:tabs>
        <w:tab w:val="clear" w:pos="4819"/>
        <w:tab w:val="clear" w:pos="9638"/>
        <w:tab w:val="left" w:pos="69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2E" w:rsidRDefault="00F5222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408"/>
    <w:multiLevelType w:val="hybridMultilevel"/>
    <w:tmpl w:val="F8021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6F9243C"/>
    <w:multiLevelType w:val="hybridMultilevel"/>
    <w:tmpl w:val="871E2A16"/>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DB100F8"/>
    <w:multiLevelType w:val="hybridMultilevel"/>
    <w:tmpl w:val="98660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0C0FE9"/>
    <w:multiLevelType w:val="hybridMultilevel"/>
    <w:tmpl w:val="2E7E1436"/>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12F60CB1"/>
    <w:multiLevelType w:val="hybridMultilevel"/>
    <w:tmpl w:val="1A22E9BA"/>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41F1EC4"/>
    <w:multiLevelType w:val="hybridMultilevel"/>
    <w:tmpl w:val="18280F3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23A530F9"/>
    <w:multiLevelType w:val="hybridMultilevel"/>
    <w:tmpl w:val="5C303096"/>
    <w:lvl w:ilvl="0" w:tplc="5C06A8A0">
      <w:start w:val="1"/>
      <w:numFmt w:val="decimal"/>
      <w:lvlText w:val="%1."/>
      <w:lvlJc w:val="left"/>
      <w:pPr>
        <w:ind w:left="1571" w:hanging="360"/>
      </w:pPr>
      <w:rPr>
        <w:rFonts w:cs="Times New Roman"/>
        <w:b w:val="0"/>
        <w:color w:val="auto"/>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7">
    <w:nsid w:val="343801B4"/>
    <w:multiLevelType w:val="hybridMultilevel"/>
    <w:tmpl w:val="6A8CEF78"/>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nsid w:val="372079FF"/>
    <w:multiLevelType w:val="hybridMultilevel"/>
    <w:tmpl w:val="1548AB8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3B532EED"/>
    <w:multiLevelType w:val="hybridMultilevel"/>
    <w:tmpl w:val="FC68C1E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3B835CFE"/>
    <w:multiLevelType w:val="multilevel"/>
    <w:tmpl w:val="AB28BA9C"/>
    <w:lvl w:ilvl="0">
      <w:start w:val="1"/>
      <w:numFmt w:val="decimal"/>
      <w:lvlText w:val="%1."/>
      <w:lvlJc w:val="left"/>
      <w:pPr>
        <w:ind w:left="1211" w:hanging="360"/>
      </w:pPr>
      <w:rPr>
        <w:rFonts w:cs="Times New Roman"/>
        <w:b/>
      </w:rPr>
    </w:lvl>
    <w:lvl w:ilvl="1">
      <w:start w:val="1"/>
      <w:numFmt w:val="decimal"/>
      <w:isLgl/>
      <w:lvlText w:val="%1.%2."/>
      <w:lvlJc w:val="left"/>
      <w:pPr>
        <w:ind w:left="1571" w:hanging="360"/>
      </w:pPr>
      <w:rPr>
        <w:rFonts w:cs="Times New Roman" w:hint="default"/>
        <w:b/>
      </w:rPr>
    </w:lvl>
    <w:lvl w:ilvl="2">
      <w:start w:val="1"/>
      <w:numFmt w:val="decimal"/>
      <w:isLgl/>
      <w:lvlText w:val="%1.%2.%3."/>
      <w:lvlJc w:val="left"/>
      <w:pPr>
        <w:ind w:left="2291" w:hanging="720"/>
      </w:pPr>
      <w:rPr>
        <w:rFonts w:cs="Times New Roman" w:hint="default"/>
        <w:b/>
      </w:rPr>
    </w:lvl>
    <w:lvl w:ilvl="3">
      <w:start w:val="1"/>
      <w:numFmt w:val="decimal"/>
      <w:isLgl/>
      <w:lvlText w:val="%1.%2.%3.%4."/>
      <w:lvlJc w:val="left"/>
      <w:pPr>
        <w:ind w:left="2651" w:hanging="720"/>
      </w:pPr>
      <w:rPr>
        <w:rFonts w:cs="Times New Roman" w:hint="default"/>
        <w:b/>
      </w:rPr>
    </w:lvl>
    <w:lvl w:ilvl="4">
      <w:start w:val="1"/>
      <w:numFmt w:val="decimal"/>
      <w:isLgl/>
      <w:lvlText w:val="%1.%2.%3.%4.%5."/>
      <w:lvlJc w:val="left"/>
      <w:pPr>
        <w:ind w:left="3371" w:hanging="1080"/>
      </w:pPr>
      <w:rPr>
        <w:rFonts w:cs="Times New Roman" w:hint="default"/>
        <w:b/>
      </w:rPr>
    </w:lvl>
    <w:lvl w:ilvl="5">
      <w:start w:val="1"/>
      <w:numFmt w:val="decimal"/>
      <w:isLgl/>
      <w:lvlText w:val="%1.%2.%3.%4.%5.%6."/>
      <w:lvlJc w:val="left"/>
      <w:pPr>
        <w:ind w:left="3731" w:hanging="1080"/>
      </w:pPr>
      <w:rPr>
        <w:rFonts w:cs="Times New Roman" w:hint="default"/>
        <w:b/>
      </w:rPr>
    </w:lvl>
    <w:lvl w:ilvl="6">
      <w:start w:val="1"/>
      <w:numFmt w:val="decimal"/>
      <w:isLgl/>
      <w:lvlText w:val="%1.%2.%3.%4.%5.%6.%7."/>
      <w:lvlJc w:val="left"/>
      <w:pPr>
        <w:ind w:left="4451" w:hanging="1440"/>
      </w:pPr>
      <w:rPr>
        <w:rFonts w:cs="Times New Roman" w:hint="default"/>
        <w:b/>
      </w:rPr>
    </w:lvl>
    <w:lvl w:ilvl="7">
      <w:start w:val="1"/>
      <w:numFmt w:val="decimal"/>
      <w:isLgl/>
      <w:lvlText w:val="%1.%2.%3.%4.%5.%6.%7.%8."/>
      <w:lvlJc w:val="left"/>
      <w:pPr>
        <w:ind w:left="4811" w:hanging="1440"/>
      </w:pPr>
      <w:rPr>
        <w:rFonts w:cs="Times New Roman" w:hint="default"/>
        <w:b/>
      </w:rPr>
    </w:lvl>
    <w:lvl w:ilvl="8">
      <w:start w:val="1"/>
      <w:numFmt w:val="decimal"/>
      <w:isLgl/>
      <w:lvlText w:val="%1.%2.%3.%4.%5.%6.%7.%8.%9."/>
      <w:lvlJc w:val="left"/>
      <w:pPr>
        <w:ind w:left="5531" w:hanging="1800"/>
      </w:pPr>
      <w:rPr>
        <w:rFonts w:cs="Times New Roman" w:hint="default"/>
        <w:b/>
      </w:rPr>
    </w:lvl>
  </w:abstractNum>
  <w:abstractNum w:abstractNumId="11">
    <w:nsid w:val="3D0350B6"/>
    <w:multiLevelType w:val="hybridMultilevel"/>
    <w:tmpl w:val="33140D6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3F612D54"/>
    <w:multiLevelType w:val="hybridMultilevel"/>
    <w:tmpl w:val="503EE076"/>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nsid w:val="3FC76655"/>
    <w:multiLevelType w:val="hybridMultilevel"/>
    <w:tmpl w:val="6C8CB36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476C4E90"/>
    <w:multiLevelType w:val="hybridMultilevel"/>
    <w:tmpl w:val="C59C99BA"/>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4ED805D8"/>
    <w:multiLevelType w:val="multilevel"/>
    <w:tmpl w:val="E72AC6AC"/>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36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16">
    <w:nsid w:val="51422948"/>
    <w:multiLevelType w:val="hybridMultilevel"/>
    <w:tmpl w:val="27E6F76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nsid w:val="543F4B0E"/>
    <w:multiLevelType w:val="hybridMultilevel"/>
    <w:tmpl w:val="0428DD6E"/>
    <w:lvl w:ilvl="0" w:tplc="4516D020">
      <w:start w:val="1"/>
      <w:numFmt w:val="decimal"/>
      <w:lvlText w:val="%1."/>
      <w:lvlJc w:val="left"/>
      <w:pPr>
        <w:ind w:left="2422" w:hanging="360"/>
      </w:pPr>
      <w:rPr>
        <w:rFonts w:cs="Times New Roman" w:hint="default"/>
      </w:rPr>
    </w:lvl>
    <w:lvl w:ilvl="1" w:tplc="04270019" w:tentative="1">
      <w:start w:val="1"/>
      <w:numFmt w:val="lowerLetter"/>
      <w:lvlText w:val="%2."/>
      <w:lvlJc w:val="left"/>
      <w:pPr>
        <w:ind w:left="3142" w:hanging="360"/>
      </w:pPr>
      <w:rPr>
        <w:rFonts w:cs="Times New Roman"/>
      </w:rPr>
    </w:lvl>
    <w:lvl w:ilvl="2" w:tplc="0427001B" w:tentative="1">
      <w:start w:val="1"/>
      <w:numFmt w:val="lowerRoman"/>
      <w:lvlText w:val="%3."/>
      <w:lvlJc w:val="right"/>
      <w:pPr>
        <w:ind w:left="3862" w:hanging="180"/>
      </w:pPr>
      <w:rPr>
        <w:rFonts w:cs="Times New Roman"/>
      </w:rPr>
    </w:lvl>
    <w:lvl w:ilvl="3" w:tplc="0427000F" w:tentative="1">
      <w:start w:val="1"/>
      <w:numFmt w:val="decimal"/>
      <w:lvlText w:val="%4."/>
      <w:lvlJc w:val="left"/>
      <w:pPr>
        <w:ind w:left="4582" w:hanging="360"/>
      </w:pPr>
      <w:rPr>
        <w:rFonts w:cs="Times New Roman"/>
      </w:rPr>
    </w:lvl>
    <w:lvl w:ilvl="4" w:tplc="04270019" w:tentative="1">
      <w:start w:val="1"/>
      <w:numFmt w:val="lowerLetter"/>
      <w:lvlText w:val="%5."/>
      <w:lvlJc w:val="left"/>
      <w:pPr>
        <w:ind w:left="5302" w:hanging="360"/>
      </w:pPr>
      <w:rPr>
        <w:rFonts w:cs="Times New Roman"/>
      </w:rPr>
    </w:lvl>
    <w:lvl w:ilvl="5" w:tplc="0427001B" w:tentative="1">
      <w:start w:val="1"/>
      <w:numFmt w:val="lowerRoman"/>
      <w:lvlText w:val="%6."/>
      <w:lvlJc w:val="right"/>
      <w:pPr>
        <w:ind w:left="6022" w:hanging="180"/>
      </w:pPr>
      <w:rPr>
        <w:rFonts w:cs="Times New Roman"/>
      </w:rPr>
    </w:lvl>
    <w:lvl w:ilvl="6" w:tplc="0427000F" w:tentative="1">
      <w:start w:val="1"/>
      <w:numFmt w:val="decimal"/>
      <w:lvlText w:val="%7."/>
      <w:lvlJc w:val="left"/>
      <w:pPr>
        <w:ind w:left="6742" w:hanging="360"/>
      </w:pPr>
      <w:rPr>
        <w:rFonts w:cs="Times New Roman"/>
      </w:rPr>
    </w:lvl>
    <w:lvl w:ilvl="7" w:tplc="04270019" w:tentative="1">
      <w:start w:val="1"/>
      <w:numFmt w:val="lowerLetter"/>
      <w:lvlText w:val="%8."/>
      <w:lvlJc w:val="left"/>
      <w:pPr>
        <w:ind w:left="7462" w:hanging="360"/>
      </w:pPr>
      <w:rPr>
        <w:rFonts w:cs="Times New Roman"/>
      </w:rPr>
    </w:lvl>
    <w:lvl w:ilvl="8" w:tplc="0427001B" w:tentative="1">
      <w:start w:val="1"/>
      <w:numFmt w:val="lowerRoman"/>
      <w:lvlText w:val="%9."/>
      <w:lvlJc w:val="right"/>
      <w:pPr>
        <w:ind w:left="8182" w:hanging="180"/>
      </w:pPr>
      <w:rPr>
        <w:rFonts w:cs="Times New Roman"/>
      </w:rPr>
    </w:lvl>
  </w:abstractNum>
  <w:abstractNum w:abstractNumId="18">
    <w:nsid w:val="6DA34EF2"/>
    <w:multiLevelType w:val="hybridMultilevel"/>
    <w:tmpl w:val="9E243C90"/>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nsid w:val="725863E8"/>
    <w:multiLevelType w:val="hybridMultilevel"/>
    <w:tmpl w:val="E9BA4056"/>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7C535538"/>
    <w:multiLevelType w:val="multilevel"/>
    <w:tmpl w:val="0CCC306A"/>
    <w:lvl w:ilvl="0">
      <w:start w:val="1"/>
      <w:numFmt w:val="decimal"/>
      <w:lvlText w:val="%1."/>
      <w:lvlJc w:val="left"/>
      <w:pPr>
        <w:ind w:left="1211" w:hanging="360"/>
      </w:pPr>
      <w:rPr>
        <w:rFonts w:ascii="Times New Roman" w:eastAsia="Times New Roman" w:hAnsi="Times New Roman" w:cs="Times New Roman"/>
        <w:b/>
      </w:rPr>
    </w:lvl>
    <w:lvl w:ilvl="1">
      <w:start w:val="1"/>
      <w:numFmt w:val="decimal"/>
      <w:isLgl/>
      <w:lvlText w:val="%1.%2."/>
      <w:lvlJc w:val="left"/>
      <w:pPr>
        <w:ind w:left="1571" w:hanging="360"/>
      </w:pPr>
      <w:rPr>
        <w:rFonts w:cs="Times New Roman" w:hint="default"/>
        <w:b/>
      </w:rPr>
    </w:lvl>
    <w:lvl w:ilvl="2">
      <w:start w:val="1"/>
      <w:numFmt w:val="decimal"/>
      <w:isLgl/>
      <w:lvlText w:val="%1.%2.%3."/>
      <w:lvlJc w:val="left"/>
      <w:pPr>
        <w:ind w:left="2291" w:hanging="720"/>
      </w:pPr>
      <w:rPr>
        <w:rFonts w:cs="Times New Roman" w:hint="default"/>
        <w:b/>
      </w:rPr>
    </w:lvl>
    <w:lvl w:ilvl="3">
      <w:start w:val="1"/>
      <w:numFmt w:val="decimal"/>
      <w:isLgl/>
      <w:lvlText w:val="%1.%2.%3.%4."/>
      <w:lvlJc w:val="left"/>
      <w:pPr>
        <w:ind w:left="2651" w:hanging="720"/>
      </w:pPr>
      <w:rPr>
        <w:rFonts w:cs="Times New Roman" w:hint="default"/>
        <w:b/>
      </w:rPr>
    </w:lvl>
    <w:lvl w:ilvl="4">
      <w:start w:val="1"/>
      <w:numFmt w:val="decimal"/>
      <w:isLgl/>
      <w:lvlText w:val="%1.%2.%3.%4.%5."/>
      <w:lvlJc w:val="left"/>
      <w:pPr>
        <w:ind w:left="3371" w:hanging="1080"/>
      </w:pPr>
      <w:rPr>
        <w:rFonts w:cs="Times New Roman" w:hint="default"/>
        <w:b/>
      </w:rPr>
    </w:lvl>
    <w:lvl w:ilvl="5">
      <w:start w:val="1"/>
      <w:numFmt w:val="decimal"/>
      <w:isLgl/>
      <w:lvlText w:val="%1.%2.%3.%4.%5.%6."/>
      <w:lvlJc w:val="left"/>
      <w:pPr>
        <w:ind w:left="3731" w:hanging="1080"/>
      </w:pPr>
      <w:rPr>
        <w:rFonts w:cs="Times New Roman" w:hint="default"/>
        <w:b/>
      </w:rPr>
    </w:lvl>
    <w:lvl w:ilvl="6">
      <w:start w:val="1"/>
      <w:numFmt w:val="decimal"/>
      <w:isLgl/>
      <w:lvlText w:val="%1.%2.%3.%4.%5.%6.%7."/>
      <w:lvlJc w:val="left"/>
      <w:pPr>
        <w:ind w:left="4451" w:hanging="1440"/>
      </w:pPr>
      <w:rPr>
        <w:rFonts w:cs="Times New Roman" w:hint="default"/>
        <w:b/>
      </w:rPr>
    </w:lvl>
    <w:lvl w:ilvl="7">
      <w:start w:val="1"/>
      <w:numFmt w:val="decimal"/>
      <w:isLgl/>
      <w:lvlText w:val="%1.%2.%3.%4.%5.%6.%7.%8."/>
      <w:lvlJc w:val="left"/>
      <w:pPr>
        <w:ind w:left="4811" w:hanging="1440"/>
      </w:pPr>
      <w:rPr>
        <w:rFonts w:cs="Times New Roman" w:hint="default"/>
        <w:b/>
      </w:rPr>
    </w:lvl>
    <w:lvl w:ilvl="8">
      <w:start w:val="1"/>
      <w:numFmt w:val="decimal"/>
      <w:isLgl/>
      <w:lvlText w:val="%1.%2.%3.%4.%5.%6.%7.%8.%9."/>
      <w:lvlJc w:val="left"/>
      <w:pPr>
        <w:ind w:left="5531" w:hanging="1800"/>
      </w:pPr>
      <w:rPr>
        <w:rFonts w:cs="Times New Roman" w:hint="default"/>
        <w:b/>
      </w:rPr>
    </w:lvl>
  </w:abstractNum>
  <w:num w:numId="1">
    <w:abstractNumId w:val="14"/>
  </w:num>
  <w:num w:numId="2">
    <w:abstractNumId w:val="15"/>
  </w:num>
  <w:num w:numId="3">
    <w:abstractNumId w:val="17"/>
  </w:num>
  <w:num w:numId="4">
    <w:abstractNumId w:val="10"/>
  </w:num>
  <w:num w:numId="5">
    <w:abstractNumId w:val="20"/>
  </w:num>
  <w:num w:numId="6">
    <w:abstractNumId w:val="13"/>
  </w:num>
  <w:num w:numId="7">
    <w:abstractNumId w:val="0"/>
  </w:num>
  <w:num w:numId="8">
    <w:abstractNumId w:val="19"/>
  </w:num>
  <w:num w:numId="9">
    <w:abstractNumId w:val="18"/>
  </w:num>
  <w:num w:numId="10">
    <w:abstractNumId w:val="2"/>
  </w:num>
  <w:num w:numId="11">
    <w:abstractNumId w:val="12"/>
  </w:num>
  <w:num w:numId="12">
    <w:abstractNumId w:val="9"/>
  </w:num>
  <w:num w:numId="13">
    <w:abstractNumId w:val="16"/>
  </w:num>
  <w:num w:numId="14">
    <w:abstractNumId w:val="3"/>
  </w:num>
  <w:num w:numId="15">
    <w:abstractNumId w:val="8"/>
  </w:num>
  <w:num w:numId="16">
    <w:abstractNumId w:val="1"/>
  </w:num>
  <w:num w:numId="17">
    <w:abstractNumId w:val="7"/>
  </w:num>
  <w:num w:numId="18">
    <w:abstractNumId w:val="5"/>
  </w:num>
  <w:num w:numId="19">
    <w:abstractNumId w:val="6"/>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FB"/>
    <w:rsid w:val="000003D1"/>
    <w:rsid w:val="000008C4"/>
    <w:rsid w:val="00001173"/>
    <w:rsid w:val="00002340"/>
    <w:rsid w:val="00004A55"/>
    <w:rsid w:val="00005CAA"/>
    <w:rsid w:val="00006B64"/>
    <w:rsid w:val="00006FBD"/>
    <w:rsid w:val="000070D1"/>
    <w:rsid w:val="00007390"/>
    <w:rsid w:val="000079F5"/>
    <w:rsid w:val="000115FD"/>
    <w:rsid w:val="00011673"/>
    <w:rsid w:val="00011C39"/>
    <w:rsid w:val="00013352"/>
    <w:rsid w:val="00014198"/>
    <w:rsid w:val="00014649"/>
    <w:rsid w:val="000163BC"/>
    <w:rsid w:val="0001665E"/>
    <w:rsid w:val="00016C28"/>
    <w:rsid w:val="00016DBF"/>
    <w:rsid w:val="00017F5C"/>
    <w:rsid w:val="00020112"/>
    <w:rsid w:val="0002061A"/>
    <w:rsid w:val="000217B2"/>
    <w:rsid w:val="000222F9"/>
    <w:rsid w:val="000245FB"/>
    <w:rsid w:val="000249C5"/>
    <w:rsid w:val="000274E5"/>
    <w:rsid w:val="00030E87"/>
    <w:rsid w:val="0003344A"/>
    <w:rsid w:val="000334BF"/>
    <w:rsid w:val="00034441"/>
    <w:rsid w:val="00034BBA"/>
    <w:rsid w:val="00034C91"/>
    <w:rsid w:val="000361B2"/>
    <w:rsid w:val="00037F12"/>
    <w:rsid w:val="00040806"/>
    <w:rsid w:val="0004083E"/>
    <w:rsid w:val="00040AB8"/>
    <w:rsid w:val="000414FA"/>
    <w:rsid w:val="00041FF4"/>
    <w:rsid w:val="00042167"/>
    <w:rsid w:val="000429E7"/>
    <w:rsid w:val="000433CE"/>
    <w:rsid w:val="00043A29"/>
    <w:rsid w:val="000465CE"/>
    <w:rsid w:val="00046AF4"/>
    <w:rsid w:val="00046F43"/>
    <w:rsid w:val="00047CE6"/>
    <w:rsid w:val="00050A0E"/>
    <w:rsid w:val="00050EE5"/>
    <w:rsid w:val="00051BCC"/>
    <w:rsid w:val="00052ADC"/>
    <w:rsid w:val="000533CF"/>
    <w:rsid w:val="00054A03"/>
    <w:rsid w:val="0005640C"/>
    <w:rsid w:val="000571F7"/>
    <w:rsid w:val="00057484"/>
    <w:rsid w:val="0005782C"/>
    <w:rsid w:val="00060CBC"/>
    <w:rsid w:val="0006142E"/>
    <w:rsid w:val="00062FD4"/>
    <w:rsid w:val="000634CD"/>
    <w:rsid w:val="0006356A"/>
    <w:rsid w:val="0006494F"/>
    <w:rsid w:val="00064CAC"/>
    <w:rsid w:val="00064DEF"/>
    <w:rsid w:val="00066CE6"/>
    <w:rsid w:val="00067359"/>
    <w:rsid w:val="00067AC5"/>
    <w:rsid w:val="00070D79"/>
    <w:rsid w:val="000711E2"/>
    <w:rsid w:val="000716CD"/>
    <w:rsid w:val="000717C7"/>
    <w:rsid w:val="00071F85"/>
    <w:rsid w:val="00072129"/>
    <w:rsid w:val="00073E9F"/>
    <w:rsid w:val="000743E2"/>
    <w:rsid w:val="0007496E"/>
    <w:rsid w:val="0007552B"/>
    <w:rsid w:val="00075806"/>
    <w:rsid w:val="0007581E"/>
    <w:rsid w:val="000772D1"/>
    <w:rsid w:val="00080210"/>
    <w:rsid w:val="00081368"/>
    <w:rsid w:val="000820CB"/>
    <w:rsid w:val="00082F46"/>
    <w:rsid w:val="00083192"/>
    <w:rsid w:val="00084A4E"/>
    <w:rsid w:val="00084CF3"/>
    <w:rsid w:val="0008519C"/>
    <w:rsid w:val="0008602A"/>
    <w:rsid w:val="00086C92"/>
    <w:rsid w:val="000872AB"/>
    <w:rsid w:val="0009050B"/>
    <w:rsid w:val="00090584"/>
    <w:rsid w:val="000922C8"/>
    <w:rsid w:val="0009291E"/>
    <w:rsid w:val="00092A34"/>
    <w:rsid w:val="0009305E"/>
    <w:rsid w:val="000947A9"/>
    <w:rsid w:val="00095403"/>
    <w:rsid w:val="00095AAA"/>
    <w:rsid w:val="000960A4"/>
    <w:rsid w:val="00096EBB"/>
    <w:rsid w:val="0009720D"/>
    <w:rsid w:val="0009748A"/>
    <w:rsid w:val="00097697"/>
    <w:rsid w:val="000A164C"/>
    <w:rsid w:val="000A4FBE"/>
    <w:rsid w:val="000A5954"/>
    <w:rsid w:val="000A6069"/>
    <w:rsid w:val="000A6DC7"/>
    <w:rsid w:val="000A70AC"/>
    <w:rsid w:val="000A70BD"/>
    <w:rsid w:val="000A70E3"/>
    <w:rsid w:val="000A7404"/>
    <w:rsid w:val="000A7BA8"/>
    <w:rsid w:val="000A7E94"/>
    <w:rsid w:val="000B1244"/>
    <w:rsid w:val="000B1483"/>
    <w:rsid w:val="000B2AEF"/>
    <w:rsid w:val="000B2DC6"/>
    <w:rsid w:val="000B3EB9"/>
    <w:rsid w:val="000B4663"/>
    <w:rsid w:val="000B5DDA"/>
    <w:rsid w:val="000B6C6C"/>
    <w:rsid w:val="000B791F"/>
    <w:rsid w:val="000C2C33"/>
    <w:rsid w:val="000C34FB"/>
    <w:rsid w:val="000C4489"/>
    <w:rsid w:val="000C4988"/>
    <w:rsid w:val="000C4F60"/>
    <w:rsid w:val="000C5594"/>
    <w:rsid w:val="000C5B09"/>
    <w:rsid w:val="000C5ED0"/>
    <w:rsid w:val="000C6274"/>
    <w:rsid w:val="000C6AB5"/>
    <w:rsid w:val="000C6C80"/>
    <w:rsid w:val="000C7337"/>
    <w:rsid w:val="000D0814"/>
    <w:rsid w:val="000D2304"/>
    <w:rsid w:val="000D2E7C"/>
    <w:rsid w:val="000D3770"/>
    <w:rsid w:val="000D51AB"/>
    <w:rsid w:val="000D6B55"/>
    <w:rsid w:val="000E0EF9"/>
    <w:rsid w:val="000E1737"/>
    <w:rsid w:val="000E1CAE"/>
    <w:rsid w:val="000E1E16"/>
    <w:rsid w:val="000E1F87"/>
    <w:rsid w:val="000E2194"/>
    <w:rsid w:val="000E2E9E"/>
    <w:rsid w:val="000E369F"/>
    <w:rsid w:val="000E41D5"/>
    <w:rsid w:val="000E49E6"/>
    <w:rsid w:val="000E4C9F"/>
    <w:rsid w:val="000E50D7"/>
    <w:rsid w:val="000E5230"/>
    <w:rsid w:val="000E566C"/>
    <w:rsid w:val="000E6163"/>
    <w:rsid w:val="000E737A"/>
    <w:rsid w:val="000E73D5"/>
    <w:rsid w:val="000E7D81"/>
    <w:rsid w:val="000F0115"/>
    <w:rsid w:val="000F02C4"/>
    <w:rsid w:val="000F0DA7"/>
    <w:rsid w:val="000F1464"/>
    <w:rsid w:val="000F5759"/>
    <w:rsid w:val="000F61EB"/>
    <w:rsid w:val="000F6A3C"/>
    <w:rsid w:val="000F7943"/>
    <w:rsid w:val="000F7BAC"/>
    <w:rsid w:val="000F7DD6"/>
    <w:rsid w:val="000F7E40"/>
    <w:rsid w:val="00101A48"/>
    <w:rsid w:val="00101EC8"/>
    <w:rsid w:val="00102556"/>
    <w:rsid w:val="001033B3"/>
    <w:rsid w:val="00103804"/>
    <w:rsid w:val="0010423C"/>
    <w:rsid w:val="001046E1"/>
    <w:rsid w:val="001062F2"/>
    <w:rsid w:val="00106437"/>
    <w:rsid w:val="00106D1C"/>
    <w:rsid w:val="0011000A"/>
    <w:rsid w:val="00110A80"/>
    <w:rsid w:val="00111455"/>
    <w:rsid w:val="00111C10"/>
    <w:rsid w:val="0011344A"/>
    <w:rsid w:val="00113603"/>
    <w:rsid w:val="001136A5"/>
    <w:rsid w:val="0011396B"/>
    <w:rsid w:val="001139AC"/>
    <w:rsid w:val="00113B3E"/>
    <w:rsid w:val="001158D5"/>
    <w:rsid w:val="00116871"/>
    <w:rsid w:val="001223FC"/>
    <w:rsid w:val="00123360"/>
    <w:rsid w:val="001238AD"/>
    <w:rsid w:val="0012417E"/>
    <w:rsid w:val="00126D5C"/>
    <w:rsid w:val="00130FFC"/>
    <w:rsid w:val="001318F4"/>
    <w:rsid w:val="001346C7"/>
    <w:rsid w:val="00135C68"/>
    <w:rsid w:val="0013687C"/>
    <w:rsid w:val="001370C1"/>
    <w:rsid w:val="00140136"/>
    <w:rsid w:val="0014029B"/>
    <w:rsid w:val="001402B2"/>
    <w:rsid w:val="0014076D"/>
    <w:rsid w:val="001417DA"/>
    <w:rsid w:val="00142D41"/>
    <w:rsid w:val="00145EEF"/>
    <w:rsid w:val="0015020E"/>
    <w:rsid w:val="00151381"/>
    <w:rsid w:val="0015184E"/>
    <w:rsid w:val="00151FA2"/>
    <w:rsid w:val="00153AC0"/>
    <w:rsid w:val="00153BA0"/>
    <w:rsid w:val="00153D2D"/>
    <w:rsid w:val="0015548D"/>
    <w:rsid w:val="001554F2"/>
    <w:rsid w:val="001555B4"/>
    <w:rsid w:val="00156950"/>
    <w:rsid w:val="001569C0"/>
    <w:rsid w:val="0015733C"/>
    <w:rsid w:val="0016005E"/>
    <w:rsid w:val="00160547"/>
    <w:rsid w:val="001618BE"/>
    <w:rsid w:val="0016291A"/>
    <w:rsid w:val="001632B8"/>
    <w:rsid w:val="0016392F"/>
    <w:rsid w:val="0016549C"/>
    <w:rsid w:val="00165C46"/>
    <w:rsid w:val="00165F52"/>
    <w:rsid w:val="00166193"/>
    <w:rsid w:val="0016645F"/>
    <w:rsid w:val="001675B7"/>
    <w:rsid w:val="0017083C"/>
    <w:rsid w:val="0017089A"/>
    <w:rsid w:val="00170C24"/>
    <w:rsid w:val="00171C83"/>
    <w:rsid w:val="00172757"/>
    <w:rsid w:val="00172CD7"/>
    <w:rsid w:val="00173618"/>
    <w:rsid w:val="00173912"/>
    <w:rsid w:val="00174110"/>
    <w:rsid w:val="00174210"/>
    <w:rsid w:val="001749F9"/>
    <w:rsid w:val="00174AE1"/>
    <w:rsid w:val="001763A6"/>
    <w:rsid w:val="00176A2A"/>
    <w:rsid w:val="00176A2D"/>
    <w:rsid w:val="00176B16"/>
    <w:rsid w:val="0017722B"/>
    <w:rsid w:val="0018129E"/>
    <w:rsid w:val="00181EA0"/>
    <w:rsid w:val="001823A8"/>
    <w:rsid w:val="00184E86"/>
    <w:rsid w:val="00185399"/>
    <w:rsid w:val="00186B35"/>
    <w:rsid w:val="001871F5"/>
    <w:rsid w:val="00187202"/>
    <w:rsid w:val="00187707"/>
    <w:rsid w:val="00187D3D"/>
    <w:rsid w:val="00191242"/>
    <w:rsid w:val="00191766"/>
    <w:rsid w:val="00191872"/>
    <w:rsid w:val="00192890"/>
    <w:rsid w:val="00193423"/>
    <w:rsid w:val="001938B1"/>
    <w:rsid w:val="00193D8F"/>
    <w:rsid w:val="00194623"/>
    <w:rsid w:val="0019472A"/>
    <w:rsid w:val="00194B56"/>
    <w:rsid w:val="00195F38"/>
    <w:rsid w:val="0019651A"/>
    <w:rsid w:val="001966D7"/>
    <w:rsid w:val="001A08AB"/>
    <w:rsid w:val="001A0E3E"/>
    <w:rsid w:val="001A16B6"/>
    <w:rsid w:val="001A19E1"/>
    <w:rsid w:val="001A1A8D"/>
    <w:rsid w:val="001A1C89"/>
    <w:rsid w:val="001A1E37"/>
    <w:rsid w:val="001A238A"/>
    <w:rsid w:val="001A25D3"/>
    <w:rsid w:val="001A2853"/>
    <w:rsid w:val="001A29BD"/>
    <w:rsid w:val="001A393A"/>
    <w:rsid w:val="001A5174"/>
    <w:rsid w:val="001A541A"/>
    <w:rsid w:val="001A5B2F"/>
    <w:rsid w:val="001A5D32"/>
    <w:rsid w:val="001A643F"/>
    <w:rsid w:val="001A6E07"/>
    <w:rsid w:val="001B0AE2"/>
    <w:rsid w:val="001B0D77"/>
    <w:rsid w:val="001B1D7C"/>
    <w:rsid w:val="001B1F83"/>
    <w:rsid w:val="001B22DA"/>
    <w:rsid w:val="001B2818"/>
    <w:rsid w:val="001B401D"/>
    <w:rsid w:val="001B440D"/>
    <w:rsid w:val="001B4E47"/>
    <w:rsid w:val="001B57E8"/>
    <w:rsid w:val="001B6D7A"/>
    <w:rsid w:val="001B6F74"/>
    <w:rsid w:val="001C08DE"/>
    <w:rsid w:val="001C2812"/>
    <w:rsid w:val="001C2F38"/>
    <w:rsid w:val="001C420E"/>
    <w:rsid w:val="001C5CF5"/>
    <w:rsid w:val="001C6D1F"/>
    <w:rsid w:val="001C7BC3"/>
    <w:rsid w:val="001D0E86"/>
    <w:rsid w:val="001D205B"/>
    <w:rsid w:val="001D2425"/>
    <w:rsid w:val="001D3123"/>
    <w:rsid w:val="001D687A"/>
    <w:rsid w:val="001D6CA4"/>
    <w:rsid w:val="001D6E53"/>
    <w:rsid w:val="001E0524"/>
    <w:rsid w:val="001E17F7"/>
    <w:rsid w:val="001E4A33"/>
    <w:rsid w:val="001E5E3E"/>
    <w:rsid w:val="001E6793"/>
    <w:rsid w:val="001E71DD"/>
    <w:rsid w:val="001E75EA"/>
    <w:rsid w:val="001F0607"/>
    <w:rsid w:val="001F1D26"/>
    <w:rsid w:val="001F2403"/>
    <w:rsid w:val="001F4189"/>
    <w:rsid w:val="001F5986"/>
    <w:rsid w:val="00201D22"/>
    <w:rsid w:val="002035FB"/>
    <w:rsid w:val="00203A20"/>
    <w:rsid w:val="00205732"/>
    <w:rsid w:val="00205B96"/>
    <w:rsid w:val="00206945"/>
    <w:rsid w:val="002077F3"/>
    <w:rsid w:val="002105B4"/>
    <w:rsid w:val="00210795"/>
    <w:rsid w:val="00210C70"/>
    <w:rsid w:val="00211BCB"/>
    <w:rsid w:val="0021249B"/>
    <w:rsid w:val="00213558"/>
    <w:rsid w:val="002144EF"/>
    <w:rsid w:val="002145F7"/>
    <w:rsid w:val="00214B82"/>
    <w:rsid w:val="00215460"/>
    <w:rsid w:val="00215B63"/>
    <w:rsid w:val="002160E3"/>
    <w:rsid w:val="00216111"/>
    <w:rsid w:val="00217138"/>
    <w:rsid w:val="002178EC"/>
    <w:rsid w:val="00217BB8"/>
    <w:rsid w:val="00220A32"/>
    <w:rsid w:val="002215DF"/>
    <w:rsid w:val="00221D46"/>
    <w:rsid w:val="00222736"/>
    <w:rsid w:val="0022290D"/>
    <w:rsid w:val="002239EF"/>
    <w:rsid w:val="00223C5A"/>
    <w:rsid w:val="00223F74"/>
    <w:rsid w:val="002242BB"/>
    <w:rsid w:val="00224FB4"/>
    <w:rsid w:val="002256BF"/>
    <w:rsid w:val="00225C5C"/>
    <w:rsid w:val="0022639F"/>
    <w:rsid w:val="00226868"/>
    <w:rsid w:val="002300E3"/>
    <w:rsid w:val="002302CA"/>
    <w:rsid w:val="00230460"/>
    <w:rsid w:val="00230944"/>
    <w:rsid w:val="00233711"/>
    <w:rsid w:val="00234003"/>
    <w:rsid w:val="002348F7"/>
    <w:rsid w:val="002354AC"/>
    <w:rsid w:val="002354C0"/>
    <w:rsid w:val="00235F10"/>
    <w:rsid w:val="00235F20"/>
    <w:rsid w:val="00240052"/>
    <w:rsid w:val="00240436"/>
    <w:rsid w:val="002407A9"/>
    <w:rsid w:val="00241347"/>
    <w:rsid w:val="00241BB6"/>
    <w:rsid w:val="00241C53"/>
    <w:rsid w:val="00242D56"/>
    <w:rsid w:val="00244AD1"/>
    <w:rsid w:val="0024572E"/>
    <w:rsid w:val="00245D24"/>
    <w:rsid w:val="002471E3"/>
    <w:rsid w:val="0024761C"/>
    <w:rsid w:val="002508D7"/>
    <w:rsid w:val="00251675"/>
    <w:rsid w:val="00251DCC"/>
    <w:rsid w:val="00252471"/>
    <w:rsid w:val="00252537"/>
    <w:rsid w:val="00253857"/>
    <w:rsid w:val="00253A6C"/>
    <w:rsid w:val="002540D7"/>
    <w:rsid w:val="00254A6B"/>
    <w:rsid w:val="00256744"/>
    <w:rsid w:val="002575FA"/>
    <w:rsid w:val="00257B13"/>
    <w:rsid w:val="00260133"/>
    <w:rsid w:val="00260AF4"/>
    <w:rsid w:val="00261131"/>
    <w:rsid w:val="0026281E"/>
    <w:rsid w:val="00262F52"/>
    <w:rsid w:val="002637A4"/>
    <w:rsid w:val="0026449A"/>
    <w:rsid w:val="0026474F"/>
    <w:rsid w:val="00265CF6"/>
    <w:rsid w:val="0026624E"/>
    <w:rsid w:val="002665EC"/>
    <w:rsid w:val="00267A4E"/>
    <w:rsid w:val="00272BC7"/>
    <w:rsid w:val="0027344E"/>
    <w:rsid w:val="002737FF"/>
    <w:rsid w:val="00273920"/>
    <w:rsid w:val="00273E2E"/>
    <w:rsid w:val="002743B0"/>
    <w:rsid w:val="0027523F"/>
    <w:rsid w:val="002762FF"/>
    <w:rsid w:val="00277002"/>
    <w:rsid w:val="00277727"/>
    <w:rsid w:val="002805AB"/>
    <w:rsid w:val="00280C72"/>
    <w:rsid w:val="002820E1"/>
    <w:rsid w:val="002828EA"/>
    <w:rsid w:val="00283960"/>
    <w:rsid w:val="002841BF"/>
    <w:rsid w:val="00285377"/>
    <w:rsid w:val="002857F4"/>
    <w:rsid w:val="002859E5"/>
    <w:rsid w:val="00285BB6"/>
    <w:rsid w:val="002861F1"/>
    <w:rsid w:val="002864F5"/>
    <w:rsid w:val="00286AF0"/>
    <w:rsid w:val="002873DD"/>
    <w:rsid w:val="00287699"/>
    <w:rsid w:val="002876F2"/>
    <w:rsid w:val="002905CF"/>
    <w:rsid w:val="002913D7"/>
    <w:rsid w:val="0029202B"/>
    <w:rsid w:val="002927D4"/>
    <w:rsid w:val="00292F61"/>
    <w:rsid w:val="00292FF0"/>
    <w:rsid w:val="00293AF8"/>
    <w:rsid w:val="00294258"/>
    <w:rsid w:val="00294A58"/>
    <w:rsid w:val="00295263"/>
    <w:rsid w:val="0029553B"/>
    <w:rsid w:val="00296CEF"/>
    <w:rsid w:val="002A030B"/>
    <w:rsid w:val="002A136B"/>
    <w:rsid w:val="002A1C3B"/>
    <w:rsid w:val="002A3711"/>
    <w:rsid w:val="002A5297"/>
    <w:rsid w:val="002A589C"/>
    <w:rsid w:val="002A672A"/>
    <w:rsid w:val="002A708F"/>
    <w:rsid w:val="002A7533"/>
    <w:rsid w:val="002A7829"/>
    <w:rsid w:val="002A791B"/>
    <w:rsid w:val="002B2487"/>
    <w:rsid w:val="002B3CE5"/>
    <w:rsid w:val="002B4669"/>
    <w:rsid w:val="002B5EAC"/>
    <w:rsid w:val="002B6409"/>
    <w:rsid w:val="002B6B36"/>
    <w:rsid w:val="002B75AF"/>
    <w:rsid w:val="002B7BD8"/>
    <w:rsid w:val="002C0B9B"/>
    <w:rsid w:val="002C0E9E"/>
    <w:rsid w:val="002C1D4F"/>
    <w:rsid w:val="002C1E70"/>
    <w:rsid w:val="002C2DF9"/>
    <w:rsid w:val="002C4292"/>
    <w:rsid w:val="002C4F9D"/>
    <w:rsid w:val="002C51B5"/>
    <w:rsid w:val="002C5A9E"/>
    <w:rsid w:val="002C6C3C"/>
    <w:rsid w:val="002C7B67"/>
    <w:rsid w:val="002C7CC7"/>
    <w:rsid w:val="002D01DA"/>
    <w:rsid w:val="002D33D9"/>
    <w:rsid w:val="002D3ECA"/>
    <w:rsid w:val="002D4CE8"/>
    <w:rsid w:val="002D5071"/>
    <w:rsid w:val="002D53F1"/>
    <w:rsid w:val="002D6BCE"/>
    <w:rsid w:val="002E0031"/>
    <w:rsid w:val="002E0417"/>
    <w:rsid w:val="002E15E9"/>
    <w:rsid w:val="002E1D30"/>
    <w:rsid w:val="002E2081"/>
    <w:rsid w:val="002E2C61"/>
    <w:rsid w:val="002E37FD"/>
    <w:rsid w:val="002E3AAE"/>
    <w:rsid w:val="002E3B38"/>
    <w:rsid w:val="002E4ED7"/>
    <w:rsid w:val="002E5D16"/>
    <w:rsid w:val="002F1927"/>
    <w:rsid w:val="002F1D6F"/>
    <w:rsid w:val="002F22A7"/>
    <w:rsid w:val="002F4676"/>
    <w:rsid w:val="002F55E2"/>
    <w:rsid w:val="002F57B6"/>
    <w:rsid w:val="002F5BEC"/>
    <w:rsid w:val="002F5D23"/>
    <w:rsid w:val="002F6BB8"/>
    <w:rsid w:val="002F7291"/>
    <w:rsid w:val="0030137F"/>
    <w:rsid w:val="00301B90"/>
    <w:rsid w:val="00303419"/>
    <w:rsid w:val="00303A03"/>
    <w:rsid w:val="00304718"/>
    <w:rsid w:val="00304AD6"/>
    <w:rsid w:val="00304E36"/>
    <w:rsid w:val="00305BAD"/>
    <w:rsid w:val="00305BEB"/>
    <w:rsid w:val="00307070"/>
    <w:rsid w:val="003106E1"/>
    <w:rsid w:val="00310C05"/>
    <w:rsid w:val="00310CF2"/>
    <w:rsid w:val="00312491"/>
    <w:rsid w:val="00313A48"/>
    <w:rsid w:val="003161EE"/>
    <w:rsid w:val="00317FD6"/>
    <w:rsid w:val="003220FB"/>
    <w:rsid w:val="00322818"/>
    <w:rsid w:val="00323E4C"/>
    <w:rsid w:val="00324AC8"/>
    <w:rsid w:val="00324FB5"/>
    <w:rsid w:val="00325D52"/>
    <w:rsid w:val="00330237"/>
    <w:rsid w:val="00332841"/>
    <w:rsid w:val="00332BC9"/>
    <w:rsid w:val="00332C77"/>
    <w:rsid w:val="003332C2"/>
    <w:rsid w:val="00333C27"/>
    <w:rsid w:val="00334A7B"/>
    <w:rsid w:val="00335096"/>
    <w:rsid w:val="00335F95"/>
    <w:rsid w:val="00341B4A"/>
    <w:rsid w:val="00342607"/>
    <w:rsid w:val="003438F2"/>
    <w:rsid w:val="0034463A"/>
    <w:rsid w:val="0034559B"/>
    <w:rsid w:val="00350E6D"/>
    <w:rsid w:val="00351266"/>
    <w:rsid w:val="00352B99"/>
    <w:rsid w:val="00352F9E"/>
    <w:rsid w:val="00355296"/>
    <w:rsid w:val="00355621"/>
    <w:rsid w:val="00355B8C"/>
    <w:rsid w:val="00355B94"/>
    <w:rsid w:val="003565A5"/>
    <w:rsid w:val="003566F7"/>
    <w:rsid w:val="00364D2A"/>
    <w:rsid w:val="003701B8"/>
    <w:rsid w:val="00371659"/>
    <w:rsid w:val="00371EF7"/>
    <w:rsid w:val="00372296"/>
    <w:rsid w:val="0037343B"/>
    <w:rsid w:val="003736EC"/>
    <w:rsid w:val="003740C9"/>
    <w:rsid w:val="00375D73"/>
    <w:rsid w:val="0037628B"/>
    <w:rsid w:val="00376BAD"/>
    <w:rsid w:val="00377CA8"/>
    <w:rsid w:val="00380338"/>
    <w:rsid w:val="003807B4"/>
    <w:rsid w:val="00381533"/>
    <w:rsid w:val="00385415"/>
    <w:rsid w:val="00385ABB"/>
    <w:rsid w:val="0038697F"/>
    <w:rsid w:val="003872A0"/>
    <w:rsid w:val="00392176"/>
    <w:rsid w:val="00392EB2"/>
    <w:rsid w:val="00394D57"/>
    <w:rsid w:val="00394E04"/>
    <w:rsid w:val="00394E26"/>
    <w:rsid w:val="00395814"/>
    <w:rsid w:val="00395911"/>
    <w:rsid w:val="00397625"/>
    <w:rsid w:val="003A0274"/>
    <w:rsid w:val="003A1EF5"/>
    <w:rsid w:val="003A2729"/>
    <w:rsid w:val="003A27A8"/>
    <w:rsid w:val="003A29CF"/>
    <w:rsid w:val="003A2F3E"/>
    <w:rsid w:val="003A38B3"/>
    <w:rsid w:val="003A5246"/>
    <w:rsid w:val="003A5A0B"/>
    <w:rsid w:val="003A6944"/>
    <w:rsid w:val="003A6ABE"/>
    <w:rsid w:val="003B04AA"/>
    <w:rsid w:val="003B04F2"/>
    <w:rsid w:val="003B2967"/>
    <w:rsid w:val="003B402E"/>
    <w:rsid w:val="003B49BD"/>
    <w:rsid w:val="003B4FAB"/>
    <w:rsid w:val="003B5240"/>
    <w:rsid w:val="003B6D2B"/>
    <w:rsid w:val="003B6D4D"/>
    <w:rsid w:val="003B6DD6"/>
    <w:rsid w:val="003B73F9"/>
    <w:rsid w:val="003B7480"/>
    <w:rsid w:val="003B7B68"/>
    <w:rsid w:val="003B7C73"/>
    <w:rsid w:val="003C103A"/>
    <w:rsid w:val="003C17EC"/>
    <w:rsid w:val="003C1910"/>
    <w:rsid w:val="003C1AA6"/>
    <w:rsid w:val="003C6A80"/>
    <w:rsid w:val="003C77D4"/>
    <w:rsid w:val="003C7B86"/>
    <w:rsid w:val="003D00F5"/>
    <w:rsid w:val="003D1C91"/>
    <w:rsid w:val="003D5EF5"/>
    <w:rsid w:val="003D6948"/>
    <w:rsid w:val="003D77EA"/>
    <w:rsid w:val="003E1F78"/>
    <w:rsid w:val="003E2207"/>
    <w:rsid w:val="003E26AE"/>
    <w:rsid w:val="003E2F80"/>
    <w:rsid w:val="003E31A9"/>
    <w:rsid w:val="003E4308"/>
    <w:rsid w:val="003E453D"/>
    <w:rsid w:val="003E51BE"/>
    <w:rsid w:val="003F06BE"/>
    <w:rsid w:val="003F1B53"/>
    <w:rsid w:val="003F2326"/>
    <w:rsid w:val="003F4E0E"/>
    <w:rsid w:val="003F566A"/>
    <w:rsid w:val="003F6ADC"/>
    <w:rsid w:val="003F7148"/>
    <w:rsid w:val="004005F2"/>
    <w:rsid w:val="00400F32"/>
    <w:rsid w:val="00402FEF"/>
    <w:rsid w:val="00405332"/>
    <w:rsid w:val="00405FCA"/>
    <w:rsid w:val="00407961"/>
    <w:rsid w:val="00410BA2"/>
    <w:rsid w:val="00410C5E"/>
    <w:rsid w:val="00412123"/>
    <w:rsid w:val="00412652"/>
    <w:rsid w:val="00415F0A"/>
    <w:rsid w:val="0041720A"/>
    <w:rsid w:val="0042177E"/>
    <w:rsid w:val="00421942"/>
    <w:rsid w:val="0042369E"/>
    <w:rsid w:val="004238F4"/>
    <w:rsid w:val="00423BA8"/>
    <w:rsid w:val="00424F90"/>
    <w:rsid w:val="004260D7"/>
    <w:rsid w:val="00427E49"/>
    <w:rsid w:val="00427E86"/>
    <w:rsid w:val="00430318"/>
    <w:rsid w:val="004305DE"/>
    <w:rsid w:val="00431C95"/>
    <w:rsid w:val="00431F89"/>
    <w:rsid w:val="00432455"/>
    <w:rsid w:val="00433348"/>
    <w:rsid w:val="004334BD"/>
    <w:rsid w:val="0043354E"/>
    <w:rsid w:val="00433AD7"/>
    <w:rsid w:val="00434BCC"/>
    <w:rsid w:val="00434DFF"/>
    <w:rsid w:val="00435042"/>
    <w:rsid w:val="004359DD"/>
    <w:rsid w:val="00435ECD"/>
    <w:rsid w:val="004365FE"/>
    <w:rsid w:val="004377D8"/>
    <w:rsid w:val="004377E2"/>
    <w:rsid w:val="0043795E"/>
    <w:rsid w:val="00437BEC"/>
    <w:rsid w:val="00440A98"/>
    <w:rsid w:val="00440E78"/>
    <w:rsid w:val="00441C1C"/>
    <w:rsid w:val="00442509"/>
    <w:rsid w:val="00442E0F"/>
    <w:rsid w:val="00443431"/>
    <w:rsid w:val="00443644"/>
    <w:rsid w:val="00444837"/>
    <w:rsid w:val="00444974"/>
    <w:rsid w:val="00444EEF"/>
    <w:rsid w:val="00445286"/>
    <w:rsid w:val="0044573F"/>
    <w:rsid w:val="00445C7E"/>
    <w:rsid w:val="00445FF5"/>
    <w:rsid w:val="004465B4"/>
    <w:rsid w:val="004466A3"/>
    <w:rsid w:val="00446B21"/>
    <w:rsid w:val="00447848"/>
    <w:rsid w:val="004479D4"/>
    <w:rsid w:val="004521DC"/>
    <w:rsid w:val="0045232C"/>
    <w:rsid w:val="004529EE"/>
    <w:rsid w:val="00453189"/>
    <w:rsid w:val="004532AA"/>
    <w:rsid w:val="00453491"/>
    <w:rsid w:val="004547D1"/>
    <w:rsid w:val="00454C8A"/>
    <w:rsid w:val="0045532D"/>
    <w:rsid w:val="00455730"/>
    <w:rsid w:val="00455B57"/>
    <w:rsid w:val="00455EE7"/>
    <w:rsid w:val="004567FE"/>
    <w:rsid w:val="00456871"/>
    <w:rsid w:val="00456B94"/>
    <w:rsid w:val="00456DEC"/>
    <w:rsid w:val="00457420"/>
    <w:rsid w:val="00457C3C"/>
    <w:rsid w:val="0046084D"/>
    <w:rsid w:val="00460DCC"/>
    <w:rsid w:val="004628A3"/>
    <w:rsid w:val="00464466"/>
    <w:rsid w:val="0046661E"/>
    <w:rsid w:val="00466759"/>
    <w:rsid w:val="004673B2"/>
    <w:rsid w:val="00467487"/>
    <w:rsid w:val="004677B2"/>
    <w:rsid w:val="0047045A"/>
    <w:rsid w:val="00471ECB"/>
    <w:rsid w:val="0047341D"/>
    <w:rsid w:val="00475124"/>
    <w:rsid w:val="004755B2"/>
    <w:rsid w:val="00476514"/>
    <w:rsid w:val="004766A3"/>
    <w:rsid w:val="004768EB"/>
    <w:rsid w:val="00477D72"/>
    <w:rsid w:val="004800F5"/>
    <w:rsid w:val="004800FA"/>
    <w:rsid w:val="004806B5"/>
    <w:rsid w:val="00480790"/>
    <w:rsid w:val="004807DB"/>
    <w:rsid w:val="0048180D"/>
    <w:rsid w:val="004820FB"/>
    <w:rsid w:val="00482D61"/>
    <w:rsid w:val="0048307E"/>
    <w:rsid w:val="00483370"/>
    <w:rsid w:val="00483AEA"/>
    <w:rsid w:val="00483DC1"/>
    <w:rsid w:val="00484FC7"/>
    <w:rsid w:val="00485BA3"/>
    <w:rsid w:val="00486465"/>
    <w:rsid w:val="00486CC2"/>
    <w:rsid w:val="0048754D"/>
    <w:rsid w:val="00487CA6"/>
    <w:rsid w:val="00487D8E"/>
    <w:rsid w:val="0049038B"/>
    <w:rsid w:val="00490651"/>
    <w:rsid w:val="00491501"/>
    <w:rsid w:val="00491E43"/>
    <w:rsid w:val="004931AE"/>
    <w:rsid w:val="00493431"/>
    <w:rsid w:val="00495969"/>
    <w:rsid w:val="00496C43"/>
    <w:rsid w:val="00497E33"/>
    <w:rsid w:val="004A0A2D"/>
    <w:rsid w:val="004A184C"/>
    <w:rsid w:val="004A2100"/>
    <w:rsid w:val="004A4251"/>
    <w:rsid w:val="004A4409"/>
    <w:rsid w:val="004A5562"/>
    <w:rsid w:val="004A643F"/>
    <w:rsid w:val="004A7352"/>
    <w:rsid w:val="004A7578"/>
    <w:rsid w:val="004A7BAB"/>
    <w:rsid w:val="004A7BCF"/>
    <w:rsid w:val="004B00B5"/>
    <w:rsid w:val="004B106E"/>
    <w:rsid w:val="004B1E07"/>
    <w:rsid w:val="004B1FD1"/>
    <w:rsid w:val="004B2CAD"/>
    <w:rsid w:val="004B2DDA"/>
    <w:rsid w:val="004B33DB"/>
    <w:rsid w:val="004B4F09"/>
    <w:rsid w:val="004B5422"/>
    <w:rsid w:val="004B5E0B"/>
    <w:rsid w:val="004B74F4"/>
    <w:rsid w:val="004B7F27"/>
    <w:rsid w:val="004C045B"/>
    <w:rsid w:val="004C258E"/>
    <w:rsid w:val="004C33DD"/>
    <w:rsid w:val="004C39F9"/>
    <w:rsid w:val="004C4388"/>
    <w:rsid w:val="004C78CF"/>
    <w:rsid w:val="004D08D6"/>
    <w:rsid w:val="004D0EB3"/>
    <w:rsid w:val="004D38EF"/>
    <w:rsid w:val="004D3D96"/>
    <w:rsid w:val="004D559E"/>
    <w:rsid w:val="004D6622"/>
    <w:rsid w:val="004D73A3"/>
    <w:rsid w:val="004E10DC"/>
    <w:rsid w:val="004E1293"/>
    <w:rsid w:val="004E196F"/>
    <w:rsid w:val="004E1C8C"/>
    <w:rsid w:val="004E21F6"/>
    <w:rsid w:val="004E3702"/>
    <w:rsid w:val="004E3D9B"/>
    <w:rsid w:val="004E5E19"/>
    <w:rsid w:val="004E6076"/>
    <w:rsid w:val="004E61F3"/>
    <w:rsid w:val="004E6306"/>
    <w:rsid w:val="004F086E"/>
    <w:rsid w:val="004F0A09"/>
    <w:rsid w:val="004F0A0E"/>
    <w:rsid w:val="004F0A5A"/>
    <w:rsid w:val="004F0CF8"/>
    <w:rsid w:val="004F0E3D"/>
    <w:rsid w:val="004F219F"/>
    <w:rsid w:val="004F31CC"/>
    <w:rsid w:val="004F370F"/>
    <w:rsid w:val="004F4B73"/>
    <w:rsid w:val="004F6BED"/>
    <w:rsid w:val="00501D6E"/>
    <w:rsid w:val="0050287F"/>
    <w:rsid w:val="005030FD"/>
    <w:rsid w:val="0050342F"/>
    <w:rsid w:val="00503E20"/>
    <w:rsid w:val="00505FF6"/>
    <w:rsid w:val="00506CF7"/>
    <w:rsid w:val="00507201"/>
    <w:rsid w:val="005112CC"/>
    <w:rsid w:val="005118C4"/>
    <w:rsid w:val="00511AFB"/>
    <w:rsid w:val="00512709"/>
    <w:rsid w:val="00512E0E"/>
    <w:rsid w:val="00513695"/>
    <w:rsid w:val="0051488B"/>
    <w:rsid w:val="00515B4C"/>
    <w:rsid w:val="005164C6"/>
    <w:rsid w:val="0051650A"/>
    <w:rsid w:val="005166E6"/>
    <w:rsid w:val="00517299"/>
    <w:rsid w:val="0051738C"/>
    <w:rsid w:val="00517772"/>
    <w:rsid w:val="00517840"/>
    <w:rsid w:val="00517907"/>
    <w:rsid w:val="00517DCB"/>
    <w:rsid w:val="005205B8"/>
    <w:rsid w:val="0052184A"/>
    <w:rsid w:val="00522232"/>
    <w:rsid w:val="00522DE8"/>
    <w:rsid w:val="005238E0"/>
    <w:rsid w:val="005260D2"/>
    <w:rsid w:val="00527E92"/>
    <w:rsid w:val="00530B3E"/>
    <w:rsid w:val="00531A55"/>
    <w:rsid w:val="00531BB4"/>
    <w:rsid w:val="00532B8D"/>
    <w:rsid w:val="00533030"/>
    <w:rsid w:val="005336B5"/>
    <w:rsid w:val="00536E8E"/>
    <w:rsid w:val="00537190"/>
    <w:rsid w:val="0053733E"/>
    <w:rsid w:val="00537A6A"/>
    <w:rsid w:val="0054117C"/>
    <w:rsid w:val="005422E9"/>
    <w:rsid w:val="00544922"/>
    <w:rsid w:val="005463F3"/>
    <w:rsid w:val="005465B7"/>
    <w:rsid w:val="00550C2F"/>
    <w:rsid w:val="00551503"/>
    <w:rsid w:val="0055196A"/>
    <w:rsid w:val="0055350D"/>
    <w:rsid w:val="0055393C"/>
    <w:rsid w:val="0055426A"/>
    <w:rsid w:val="005543FA"/>
    <w:rsid w:val="00555D97"/>
    <w:rsid w:val="0055620B"/>
    <w:rsid w:val="005569F0"/>
    <w:rsid w:val="0055707F"/>
    <w:rsid w:val="005576E2"/>
    <w:rsid w:val="00557867"/>
    <w:rsid w:val="00557C21"/>
    <w:rsid w:val="005600E4"/>
    <w:rsid w:val="00562CDC"/>
    <w:rsid w:val="005633C9"/>
    <w:rsid w:val="00564147"/>
    <w:rsid w:val="0056480F"/>
    <w:rsid w:val="00565405"/>
    <w:rsid w:val="005658BB"/>
    <w:rsid w:val="00565E37"/>
    <w:rsid w:val="0056691D"/>
    <w:rsid w:val="00566C9E"/>
    <w:rsid w:val="00567B00"/>
    <w:rsid w:val="00567F22"/>
    <w:rsid w:val="00570BD9"/>
    <w:rsid w:val="005716BE"/>
    <w:rsid w:val="00573A45"/>
    <w:rsid w:val="00573CB5"/>
    <w:rsid w:val="00574A50"/>
    <w:rsid w:val="00574B47"/>
    <w:rsid w:val="00574BF8"/>
    <w:rsid w:val="00575079"/>
    <w:rsid w:val="005757FC"/>
    <w:rsid w:val="00576036"/>
    <w:rsid w:val="005764CA"/>
    <w:rsid w:val="005770E9"/>
    <w:rsid w:val="005800E2"/>
    <w:rsid w:val="005802B4"/>
    <w:rsid w:val="00580D94"/>
    <w:rsid w:val="00580E87"/>
    <w:rsid w:val="00580E9F"/>
    <w:rsid w:val="0058138A"/>
    <w:rsid w:val="00581AFF"/>
    <w:rsid w:val="00581BC9"/>
    <w:rsid w:val="00582DAD"/>
    <w:rsid w:val="00584871"/>
    <w:rsid w:val="00584B3F"/>
    <w:rsid w:val="0058503C"/>
    <w:rsid w:val="005902A2"/>
    <w:rsid w:val="0059208E"/>
    <w:rsid w:val="005942D1"/>
    <w:rsid w:val="005960CC"/>
    <w:rsid w:val="00596DF4"/>
    <w:rsid w:val="00596FE4"/>
    <w:rsid w:val="00597B07"/>
    <w:rsid w:val="00597E2D"/>
    <w:rsid w:val="005A2377"/>
    <w:rsid w:val="005A3E48"/>
    <w:rsid w:val="005A3E76"/>
    <w:rsid w:val="005A4E67"/>
    <w:rsid w:val="005A515F"/>
    <w:rsid w:val="005A5812"/>
    <w:rsid w:val="005A5C95"/>
    <w:rsid w:val="005A5D75"/>
    <w:rsid w:val="005A60D5"/>
    <w:rsid w:val="005A6A7C"/>
    <w:rsid w:val="005A6D16"/>
    <w:rsid w:val="005A7455"/>
    <w:rsid w:val="005A7768"/>
    <w:rsid w:val="005B1022"/>
    <w:rsid w:val="005B218B"/>
    <w:rsid w:val="005B24E0"/>
    <w:rsid w:val="005B3093"/>
    <w:rsid w:val="005B3C50"/>
    <w:rsid w:val="005B5145"/>
    <w:rsid w:val="005B5587"/>
    <w:rsid w:val="005B60D3"/>
    <w:rsid w:val="005C22AD"/>
    <w:rsid w:val="005C3662"/>
    <w:rsid w:val="005C4642"/>
    <w:rsid w:val="005C4B96"/>
    <w:rsid w:val="005C5961"/>
    <w:rsid w:val="005C5C8A"/>
    <w:rsid w:val="005C6308"/>
    <w:rsid w:val="005D116B"/>
    <w:rsid w:val="005D1699"/>
    <w:rsid w:val="005D27F4"/>
    <w:rsid w:val="005D2D26"/>
    <w:rsid w:val="005D4EA5"/>
    <w:rsid w:val="005D65F8"/>
    <w:rsid w:val="005D738E"/>
    <w:rsid w:val="005D78B6"/>
    <w:rsid w:val="005D7C90"/>
    <w:rsid w:val="005E02A5"/>
    <w:rsid w:val="005E1C86"/>
    <w:rsid w:val="005E31DA"/>
    <w:rsid w:val="005E340C"/>
    <w:rsid w:val="005E36C0"/>
    <w:rsid w:val="005E49A4"/>
    <w:rsid w:val="005E6037"/>
    <w:rsid w:val="005E7566"/>
    <w:rsid w:val="005E7CB8"/>
    <w:rsid w:val="005F0B1D"/>
    <w:rsid w:val="005F1041"/>
    <w:rsid w:val="005F2B9A"/>
    <w:rsid w:val="005F6055"/>
    <w:rsid w:val="005F685A"/>
    <w:rsid w:val="005F6F93"/>
    <w:rsid w:val="005F7343"/>
    <w:rsid w:val="005F74E5"/>
    <w:rsid w:val="00600249"/>
    <w:rsid w:val="00600342"/>
    <w:rsid w:val="006008E8"/>
    <w:rsid w:val="00601512"/>
    <w:rsid w:val="0060162A"/>
    <w:rsid w:val="006028F5"/>
    <w:rsid w:val="006041FD"/>
    <w:rsid w:val="00606D2B"/>
    <w:rsid w:val="00606E13"/>
    <w:rsid w:val="006073C7"/>
    <w:rsid w:val="00612983"/>
    <w:rsid w:val="00612F7E"/>
    <w:rsid w:val="006132BB"/>
    <w:rsid w:val="0061349A"/>
    <w:rsid w:val="00614866"/>
    <w:rsid w:val="00615772"/>
    <w:rsid w:val="0061594D"/>
    <w:rsid w:val="00616B2D"/>
    <w:rsid w:val="00616F86"/>
    <w:rsid w:val="0062142F"/>
    <w:rsid w:val="00621438"/>
    <w:rsid w:val="0062183F"/>
    <w:rsid w:val="0062291F"/>
    <w:rsid w:val="00622DC0"/>
    <w:rsid w:val="00624562"/>
    <w:rsid w:val="00624909"/>
    <w:rsid w:val="00626FC7"/>
    <w:rsid w:val="006274F4"/>
    <w:rsid w:val="00627B51"/>
    <w:rsid w:val="00627C35"/>
    <w:rsid w:val="00627EF5"/>
    <w:rsid w:val="006316CD"/>
    <w:rsid w:val="006317FE"/>
    <w:rsid w:val="00631D29"/>
    <w:rsid w:val="006335E6"/>
    <w:rsid w:val="006339F8"/>
    <w:rsid w:val="00634571"/>
    <w:rsid w:val="0063526A"/>
    <w:rsid w:val="0063576C"/>
    <w:rsid w:val="006362B6"/>
    <w:rsid w:val="00636C1D"/>
    <w:rsid w:val="0064159A"/>
    <w:rsid w:val="00642C77"/>
    <w:rsid w:val="00644037"/>
    <w:rsid w:val="00645607"/>
    <w:rsid w:val="00646D29"/>
    <w:rsid w:val="00646E78"/>
    <w:rsid w:val="00650DC6"/>
    <w:rsid w:val="00651D69"/>
    <w:rsid w:val="00651D82"/>
    <w:rsid w:val="006535F8"/>
    <w:rsid w:val="00653E3C"/>
    <w:rsid w:val="00656A11"/>
    <w:rsid w:val="006605FA"/>
    <w:rsid w:val="00661412"/>
    <w:rsid w:val="00662653"/>
    <w:rsid w:val="00662CB3"/>
    <w:rsid w:val="00664A07"/>
    <w:rsid w:val="00664EF9"/>
    <w:rsid w:val="00664F4E"/>
    <w:rsid w:val="0066539C"/>
    <w:rsid w:val="00665D78"/>
    <w:rsid w:val="00665D81"/>
    <w:rsid w:val="00666362"/>
    <w:rsid w:val="00666396"/>
    <w:rsid w:val="00666546"/>
    <w:rsid w:val="006668BA"/>
    <w:rsid w:val="00666956"/>
    <w:rsid w:val="00667BEC"/>
    <w:rsid w:val="00667E69"/>
    <w:rsid w:val="006706C8"/>
    <w:rsid w:val="00670E68"/>
    <w:rsid w:val="00671A88"/>
    <w:rsid w:val="00671EAF"/>
    <w:rsid w:val="00672302"/>
    <w:rsid w:val="00674732"/>
    <w:rsid w:val="00674D28"/>
    <w:rsid w:val="0067527F"/>
    <w:rsid w:val="0067561C"/>
    <w:rsid w:val="00676002"/>
    <w:rsid w:val="00676667"/>
    <w:rsid w:val="00676B52"/>
    <w:rsid w:val="00676F76"/>
    <w:rsid w:val="006778C2"/>
    <w:rsid w:val="0068086B"/>
    <w:rsid w:val="006811CE"/>
    <w:rsid w:val="00681AD5"/>
    <w:rsid w:val="00684056"/>
    <w:rsid w:val="00685429"/>
    <w:rsid w:val="00686311"/>
    <w:rsid w:val="00686ED2"/>
    <w:rsid w:val="006876FD"/>
    <w:rsid w:val="0068798F"/>
    <w:rsid w:val="00687BFE"/>
    <w:rsid w:val="006909B5"/>
    <w:rsid w:val="00690A3A"/>
    <w:rsid w:val="00691886"/>
    <w:rsid w:val="00692B9A"/>
    <w:rsid w:val="00693580"/>
    <w:rsid w:val="00693594"/>
    <w:rsid w:val="00693DA1"/>
    <w:rsid w:val="00694089"/>
    <w:rsid w:val="00696AB4"/>
    <w:rsid w:val="00696E76"/>
    <w:rsid w:val="00697352"/>
    <w:rsid w:val="006A0C7C"/>
    <w:rsid w:val="006A2818"/>
    <w:rsid w:val="006A3CB6"/>
    <w:rsid w:val="006A3F6D"/>
    <w:rsid w:val="006A3FAF"/>
    <w:rsid w:val="006A58D3"/>
    <w:rsid w:val="006A6C80"/>
    <w:rsid w:val="006A78BC"/>
    <w:rsid w:val="006B05F4"/>
    <w:rsid w:val="006B077C"/>
    <w:rsid w:val="006B1D62"/>
    <w:rsid w:val="006B1E94"/>
    <w:rsid w:val="006B25C5"/>
    <w:rsid w:val="006B3F59"/>
    <w:rsid w:val="006B4252"/>
    <w:rsid w:val="006B442C"/>
    <w:rsid w:val="006B59B0"/>
    <w:rsid w:val="006B5AF7"/>
    <w:rsid w:val="006B7168"/>
    <w:rsid w:val="006B7A5F"/>
    <w:rsid w:val="006C003D"/>
    <w:rsid w:val="006C020D"/>
    <w:rsid w:val="006C1863"/>
    <w:rsid w:val="006C1C00"/>
    <w:rsid w:val="006C2926"/>
    <w:rsid w:val="006C2BA3"/>
    <w:rsid w:val="006C300B"/>
    <w:rsid w:val="006C3188"/>
    <w:rsid w:val="006C35FB"/>
    <w:rsid w:val="006C4382"/>
    <w:rsid w:val="006C45C2"/>
    <w:rsid w:val="006C6E69"/>
    <w:rsid w:val="006C76B5"/>
    <w:rsid w:val="006D0533"/>
    <w:rsid w:val="006D06D1"/>
    <w:rsid w:val="006D06F8"/>
    <w:rsid w:val="006D0972"/>
    <w:rsid w:val="006D1857"/>
    <w:rsid w:val="006D2682"/>
    <w:rsid w:val="006D2CD4"/>
    <w:rsid w:val="006D6536"/>
    <w:rsid w:val="006D691A"/>
    <w:rsid w:val="006E139E"/>
    <w:rsid w:val="006E1885"/>
    <w:rsid w:val="006E190B"/>
    <w:rsid w:val="006E1E5D"/>
    <w:rsid w:val="006E255A"/>
    <w:rsid w:val="006E2690"/>
    <w:rsid w:val="006E2746"/>
    <w:rsid w:val="006E2C9A"/>
    <w:rsid w:val="006E3172"/>
    <w:rsid w:val="006E33C7"/>
    <w:rsid w:val="006E33E9"/>
    <w:rsid w:val="006E3DA5"/>
    <w:rsid w:val="006E4C30"/>
    <w:rsid w:val="006E57A7"/>
    <w:rsid w:val="006E5C21"/>
    <w:rsid w:val="006E635A"/>
    <w:rsid w:val="006E6C51"/>
    <w:rsid w:val="006E7BD3"/>
    <w:rsid w:val="006F08DB"/>
    <w:rsid w:val="006F18BD"/>
    <w:rsid w:val="006F1911"/>
    <w:rsid w:val="006F217A"/>
    <w:rsid w:val="006F2A05"/>
    <w:rsid w:val="006F32D6"/>
    <w:rsid w:val="006F5BD4"/>
    <w:rsid w:val="006F64D9"/>
    <w:rsid w:val="006F6844"/>
    <w:rsid w:val="006F73A0"/>
    <w:rsid w:val="006F7C0E"/>
    <w:rsid w:val="00700064"/>
    <w:rsid w:val="007000B3"/>
    <w:rsid w:val="00700655"/>
    <w:rsid w:val="00702045"/>
    <w:rsid w:val="00702E2C"/>
    <w:rsid w:val="00703879"/>
    <w:rsid w:val="00705DF4"/>
    <w:rsid w:val="0070607F"/>
    <w:rsid w:val="00706270"/>
    <w:rsid w:val="00706623"/>
    <w:rsid w:val="007077ED"/>
    <w:rsid w:val="007079AB"/>
    <w:rsid w:val="00707BCF"/>
    <w:rsid w:val="007121FE"/>
    <w:rsid w:val="007133CB"/>
    <w:rsid w:val="0071397E"/>
    <w:rsid w:val="00713EF7"/>
    <w:rsid w:val="0071468E"/>
    <w:rsid w:val="007146CA"/>
    <w:rsid w:val="00715315"/>
    <w:rsid w:val="00721733"/>
    <w:rsid w:val="00723200"/>
    <w:rsid w:val="00723681"/>
    <w:rsid w:val="00723AD2"/>
    <w:rsid w:val="00724027"/>
    <w:rsid w:val="00726B10"/>
    <w:rsid w:val="00727122"/>
    <w:rsid w:val="00727470"/>
    <w:rsid w:val="00733222"/>
    <w:rsid w:val="0073358C"/>
    <w:rsid w:val="00733C38"/>
    <w:rsid w:val="00736120"/>
    <w:rsid w:val="00736237"/>
    <w:rsid w:val="007373CD"/>
    <w:rsid w:val="00737893"/>
    <w:rsid w:val="00737D82"/>
    <w:rsid w:val="007414FD"/>
    <w:rsid w:val="00741888"/>
    <w:rsid w:val="00741A82"/>
    <w:rsid w:val="00743299"/>
    <w:rsid w:val="00743EA4"/>
    <w:rsid w:val="0074400E"/>
    <w:rsid w:val="0074444D"/>
    <w:rsid w:val="00744BD6"/>
    <w:rsid w:val="00744E8F"/>
    <w:rsid w:val="00745946"/>
    <w:rsid w:val="00746BEC"/>
    <w:rsid w:val="007473FA"/>
    <w:rsid w:val="007476FC"/>
    <w:rsid w:val="00750784"/>
    <w:rsid w:val="00750F24"/>
    <w:rsid w:val="007522CC"/>
    <w:rsid w:val="00752EB6"/>
    <w:rsid w:val="00753527"/>
    <w:rsid w:val="00756921"/>
    <w:rsid w:val="00756C5B"/>
    <w:rsid w:val="00756F4F"/>
    <w:rsid w:val="00757C91"/>
    <w:rsid w:val="00757D3A"/>
    <w:rsid w:val="0076066D"/>
    <w:rsid w:val="00761053"/>
    <w:rsid w:val="00761588"/>
    <w:rsid w:val="007628FF"/>
    <w:rsid w:val="007656F4"/>
    <w:rsid w:val="00766174"/>
    <w:rsid w:val="0076631B"/>
    <w:rsid w:val="00767FCC"/>
    <w:rsid w:val="0077209B"/>
    <w:rsid w:val="0077225E"/>
    <w:rsid w:val="0077351A"/>
    <w:rsid w:val="00773C3F"/>
    <w:rsid w:val="00774C77"/>
    <w:rsid w:val="00781F96"/>
    <w:rsid w:val="00782949"/>
    <w:rsid w:val="00782B2F"/>
    <w:rsid w:val="00782EFB"/>
    <w:rsid w:val="00783D0D"/>
    <w:rsid w:val="0078460D"/>
    <w:rsid w:val="0078532E"/>
    <w:rsid w:val="00786B37"/>
    <w:rsid w:val="00791A2B"/>
    <w:rsid w:val="00791DEB"/>
    <w:rsid w:val="00791F25"/>
    <w:rsid w:val="0079252B"/>
    <w:rsid w:val="00793329"/>
    <w:rsid w:val="00795864"/>
    <w:rsid w:val="0079600C"/>
    <w:rsid w:val="00796A2B"/>
    <w:rsid w:val="007A071C"/>
    <w:rsid w:val="007A0E17"/>
    <w:rsid w:val="007A29FC"/>
    <w:rsid w:val="007A3959"/>
    <w:rsid w:val="007A3A83"/>
    <w:rsid w:val="007A40D5"/>
    <w:rsid w:val="007A555A"/>
    <w:rsid w:val="007A59FC"/>
    <w:rsid w:val="007A6836"/>
    <w:rsid w:val="007A7BD6"/>
    <w:rsid w:val="007B08E1"/>
    <w:rsid w:val="007B31EA"/>
    <w:rsid w:val="007B3D74"/>
    <w:rsid w:val="007B52B0"/>
    <w:rsid w:val="007B6BD6"/>
    <w:rsid w:val="007B6E93"/>
    <w:rsid w:val="007B73CB"/>
    <w:rsid w:val="007C073F"/>
    <w:rsid w:val="007C0A9D"/>
    <w:rsid w:val="007C0C16"/>
    <w:rsid w:val="007C10A3"/>
    <w:rsid w:val="007C1445"/>
    <w:rsid w:val="007C1ACD"/>
    <w:rsid w:val="007C3790"/>
    <w:rsid w:val="007C4106"/>
    <w:rsid w:val="007C44A9"/>
    <w:rsid w:val="007C50AA"/>
    <w:rsid w:val="007C66EF"/>
    <w:rsid w:val="007C6BD5"/>
    <w:rsid w:val="007D0269"/>
    <w:rsid w:val="007D0C71"/>
    <w:rsid w:val="007D0FEC"/>
    <w:rsid w:val="007D1BFE"/>
    <w:rsid w:val="007D1F00"/>
    <w:rsid w:val="007D23C5"/>
    <w:rsid w:val="007D2D84"/>
    <w:rsid w:val="007D4A5C"/>
    <w:rsid w:val="007D5267"/>
    <w:rsid w:val="007D5903"/>
    <w:rsid w:val="007D5C22"/>
    <w:rsid w:val="007D7099"/>
    <w:rsid w:val="007D762F"/>
    <w:rsid w:val="007E050E"/>
    <w:rsid w:val="007E0F29"/>
    <w:rsid w:val="007E106E"/>
    <w:rsid w:val="007E2D82"/>
    <w:rsid w:val="007E32D1"/>
    <w:rsid w:val="007E38E4"/>
    <w:rsid w:val="007E484B"/>
    <w:rsid w:val="007E4EAA"/>
    <w:rsid w:val="007E557E"/>
    <w:rsid w:val="007E563B"/>
    <w:rsid w:val="007E589B"/>
    <w:rsid w:val="007E6F17"/>
    <w:rsid w:val="007E7E65"/>
    <w:rsid w:val="007F0884"/>
    <w:rsid w:val="007F3277"/>
    <w:rsid w:val="007F33AC"/>
    <w:rsid w:val="007F4312"/>
    <w:rsid w:val="007F4857"/>
    <w:rsid w:val="007F5779"/>
    <w:rsid w:val="007F71A8"/>
    <w:rsid w:val="007F7D5F"/>
    <w:rsid w:val="008002A1"/>
    <w:rsid w:val="00800AAB"/>
    <w:rsid w:val="00800C4F"/>
    <w:rsid w:val="00801A0E"/>
    <w:rsid w:val="00802CCE"/>
    <w:rsid w:val="0080377E"/>
    <w:rsid w:val="00805BA9"/>
    <w:rsid w:val="00805ECA"/>
    <w:rsid w:val="00807133"/>
    <w:rsid w:val="00813B01"/>
    <w:rsid w:val="00815204"/>
    <w:rsid w:val="00816DC9"/>
    <w:rsid w:val="00816E61"/>
    <w:rsid w:val="00817281"/>
    <w:rsid w:val="008228DB"/>
    <w:rsid w:val="00822B77"/>
    <w:rsid w:val="00823001"/>
    <w:rsid w:val="00823BC7"/>
    <w:rsid w:val="00823BC9"/>
    <w:rsid w:val="00823FB2"/>
    <w:rsid w:val="008244FF"/>
    <w:rsid w:val="00827160"/>
    <w:rsid w:val="00827398"/>
    <w:rsid w:val="0082776B"/>
    <w:rsid w:val="00830DD3"/>
    <w:rsid w:val="00831706"/>
    <w:rsid w:val="008325D8"/>
    <w:rsid w:val="008331D9"/>
    <w:rsid w:val="00833427"/>
    <w:rsid w:val="00835045"/>
    <w:rsid w:val="00835DA4"/>
    <w:rsid w:val="0083629F"/>
    <w:rsid w:val="008369AA"/>
    <w:rsid w:val="008371AB"/>
    <w:rsid w:val="008434E2"/>
    <w:rsid w:val="0084394D"/>
    <w:rsid w:val="008448A2"/>
    <w:rsid w:val="00844C11"/>
    <w:rsid w:val="00850BF8"/>
    <w:rsid w:val="00851BCF"/>
    <w:rsid w:val="008532D5"/>
    <w:rsid w:val="00853C64"/>
    <w:rsid w:val="00853F03"/>
    <w:rsid w:val="00854FCD"/>
    <w:rsid w:val="008550CC"/>
    <w:rsid w:val="008556F8"/>
    <w:rsid w:val="00855A62"/>
    <w:rsid w:val="00856167"/>
    <w:rsid w:val="0085657C"/>
    <w:rsid w:val="00856FB2"/>
    <w:rsid w:val="008577F5"/>
    <w:rsid w:val="008601FA"/>
    <w:rsid w:val="00860562"/>
    <w:rsid w:val="00862E0C"/>
    <w:rsid w:val="00863DC9"/>
    <w:rsid w:val="00864495"/>
    <w:rsid w:val="00864797"/>
    <w:rsid w:val="00864BA3"/>
    <w:rsid w:val="00864BD1"/>
    <w:rsid w:val="0086532B"/>
    <w:rsid w:val="00865763"/>
    <w:rsid w:val="008658FD"/>
    <w:rsid w:val="008660B1"/>
    <w:rsid w:val="00866F7D"/>
    <w:rsid w:val="00866FD5"/>
    <w:rsid w:val="008671D6"/>
    <w:rsid w:val="00867963"/>
    <w:rsid w:val="00870097"/>
    <w:rsid w:val="0087075C"/>
    <w:rsid w:val="00870BD3"/>
    <w:rsid w:val="00872E59"/>
    <w:rsid w:val="008733A9"/>
    <w:rsid w:val="00873F07"/>
    <w:rsid w:val="008746A2"/>
    <w:rsid w:val="008755E8"/>
    <w:rsid w:val="00875B1C"/>
    <w:rsid w:val="00875C88"/>
    <w:rsid w:val="00876A63"/>
    <w:rsid w:val="008773B4"/>
    <w:rsid w:val="00877DC1"/>
    <w:rsid w:val="008820C4"/>
    <w:rsid w:val="0088300D"/>
    <w:rsid w:val="00884DBF"/>
    <w:rsid w:val="00884DDE"/>
    <w:rsid w:val="00885655"/>
    <w:rsid w:val="00885897"/>
    <w:rsid w:val="008869DA"/>
    <w:rsid w:val="00887857"/>
    <w:rsid w:val="00887D49"/>
    <w:rsid w:val="00887EEA"/>
    <w:rsid w:val="00890970"/>
    <w:rsid w:val="00890AD7"/>
    <w:rsid w:val="008916D0"/>
    <w:rsid w:val="00891905"/>
    <w:rsid w:val="008919C1"/>
    <w:rsid w:val="008937B9"/>
    <w:rsid w:val="00893FDC"/>
    <w:rsid w:val="00894018"/>
    <w:rsid w:val="008943AF"/>
    <w:rsid w:val="00895453"/>
    <w:rsid w:val="008957D3"/>
    <w:rsid w:val="00895BE3"/>
    <w:rsid w:val="008961EC"/>
    <w:rsid w:val="00897EFC"/>
    <w:rsid w:val="008A0663"/>
    <w:rsid w:val="008A0AE9"/>
    <w:rsid w:val="008A0EBA"/>
    <w:rsid w:val="008A254D"/>
    <w:rsid w:val="008A2F15"/>
    <w:rsid w:val="008A37A2"/>
    <w:rsid w:val="008A4311"/>
    <w:rsid w:val="008A52E7"/>
    <w:rsid w:val="008A5DD8"/>
    <w:rsid w:val="008B0125"/>
    <w:rsid w:val="008B0D40"/>
    <w:rsid w:val="008B1579"/>
    <w:rsid w:val="008B1A96"/>
    <w:rsid w:val="008B27C7"/>
    <w:rsid w:val="008B2C5C"/>
    <w:rsid w:val="008B3C95"/>
    <w:rsid w:val="008B3FC3"/>
    <w:rsid w:val="008B5738"/>
    <w:rsid w:val="008B68FC"/>
    <w:rsid w:val="008B7D7A"/>
    <w:rsid w:val="008C10DD"/>
    <w:rsid w:val="008C250A"/>
    <w:rsid w:val="008C282F"/>
    <w:rsid w:val="008C3F2B"/>
    <w:rsid w:val="008C427F"/>
    <w:rsid w:val="008C4AF1"/>
    <w:rsid w:val="008C5380"/>
    <w:rsid w:val="008C5985"/>
    <w:rsid w:val="008C7206"/>
    <w:rsid w:val="008C73E2"/>
    <w:rsid w:val="008C7EB9"/>
    <w:rsid w:val="008D0367"/>
    <w:rsid w:val="008D0455"/>
    <w:rsid w:val="008D0F30"/>
    <w:rsid w:val="008D3BB2"/>
    <w:rsid w:val="008D3F82"/>
    <w:rsid w:val="008D4EC2"/>
    <w:rsid w:val="008D50F8"/>
    <w:rsid w:val="008D5616"/>
    <w:rsid w:val="008D5C57"/>
    <w:rsid w:val="008D623C"/>
    <w:rsid w:val="008D645F"/>
    <w:rsid w:val="008D69FB"/>
    <w:rsid w:val="008D6CC1"/>
    <w:rsid w:val="008D6D53"/>
    <w:rsid w:val="008D7AD4"/>
    <w:rsid w:val="008E0747"/>
    <w:rsid w:val="008E1F41"/>
    <w:rsid w:val="008E3475"/>
    <w:rsid w:val="008E377A"/>
    <w:rsid w:val="008E38A4"/>
    <w:rsid w:val="008E3AB4"/>
    <w:rsid w:val="008E3EA4"/>
    <w:rsid w:val="008E4DD3"/>
    <w:rsid w:val="008E55FA"/>
    <w:rsid w:val="008E5E12"/>
    <w:rsid w:val="008E5FF3"/>
    <w:rsid w:val="008E6206"/>
    <w:rsid w:val="008E6DEE"/>
    <w:rsid w:val="008E73B4"/>
    <w:rsid w:val="008F01C7"/>
    <w:rsid w:val="008F200D"/>
    <w:rsid w:val="008F296C"/>
    <w:rsid w:val="008F3BAA"/>
    <w:rsid w:val="008F3C65"/>
    <w:rsid w:val="008F420C"/>
    <w:rsid w:val="008F506D"/>
    <w:rsid w:val="008F5469"/>
    <w:rsid w:val="008F5E38"/>
    <w:rsid w:val="008F7B00"/>
    <w:rsid w:val="008F7FE6"/>
    <w:rsid w:val="00900276"/>
    <w:rsid w:val="00900A44"/>
    <w:rsid w:val="00902674"/>
    <w:rsid w:val="0090267D"/>
    <w:rsid w:val="00902DF6"/>
    <w:rsid w:val="00904268"/>
    <w:rsid w:val="00905547"/>
    <w:rsid w:val="009059E7"/>
    <w:rsid w:val="00905B6A"/>
    <w:rsid w:val="00906397"/>
    <w:rsid w:val="009067A3"/>
    <w:rsid w:val="00907610"/>
    <w:rsid w:val="00907D23"/>
    <w:rsid w:val="00907F3E"/>
    <w:rsid w:val="00910ECC"/>
    <w:rsid w:val="00910F91"/>
    <w:rsid w:val="00911567"/>
    <w:rsid w:val="00912323"/>
    <w:rsid w:val="009123C6"/>
    <w:rsid w:val="009127B5"/>
    <w:rsid w:val="009155FC"/>
    <w:rsid w:val="009155FE"/>
    <w:rsid w:val="00917069"/>
    <w:rsid w:val="009209CF"/>
    <w:rsid w:val="00920D49"/>
    <w:rsid w:val="00921177"/>
    <w:rsid w:val="00922763"/>
    <w:rsid w:val="00922977"/>
    <w:rsid w:val="00923975"/>
    <w:rsid w:val="009248C4"/>
    <w:rsid w:val="009254EF"/>
    <w:rsid w:val="00925660"/>
    <w:rsid w:val="00925AE6"/>
    <w:rsid w:val="009264AA"/>
    <w:rsid w:val="00927773"/>
    <w:rsid w:val="009278AD"/>
    <w:rsid w:val="0093014B"/>
    <w:rsid w:val="00930B0A"/>
    <w:rsid w:val="00930D96"/>
    <w:rsid w:val="009311B3"/>
    <w:rsid w:val="00932305"/>
    <w:rsid w:val="0093259D"/>
    <w:rsid w:val="00933FB5"/>
    <w:rsid w:val="0093498D"/>
    <w:rsid w:val="009353C7"/>
    <w:rsid w:val="009359DB"/>
    <w:rsid w:val="00935A6E"/>
    <w:rsid w:val="00936511"/>
    <w:rsid w:val="00936667"/>
    <w:rsid w:val="00937861"/>
    <w:rsid w:val="009404E5"/>
    <w:rsid w:val="009413DC"/>
    <w:rsid w:val="00941608"/>
    <w:rsid w:val="0094287C"/>
    <w:rsid w:val="0094486B"/>
    <w:rsid w:val="00944E89"/>
    <w:rsid w:val="009451AC"/>
    <w:rsid w:val="00946129"/>
    <w:rsid w:val="00946251"/>
    <w:rsid w:val="00946709"/>
    <w:rsid w:val="00947E3F"/>
    <w:rsid w:val="00950A8E"/>
    <w:rsid w:val="009519E3"/>
    <w:rsid w:val="00951F6C"/>
    <w:rsid w:val="00952D43"/>
    <w:rsid w:val="009533B8"/>
    <w:rsid w:val="00953562"/>
    <w:rsid w:val="009535F9"/>
    <w:rsid w:val="009537B0"/>
    <w:rsid w:val="00953F8C"/>
    <w:rsid w:val="009544CE"/>
    <w:rsid w:val="009558BD"/>
    <w:rsid w:val="00955968"/>
    <w:rsid w:val="00957808"/>
    <w:rsid w:val="00957AAB"/>
    <w:rsid w:val="00957D92"/>
    <w:rsid w:val="009601A7"/>
    <w:rsid w:val="00960998"/>
    <w:rsid w:val="00961676"/>
    <w:rsid w:val="009617B3"/>
    <w:rsid w:val="00961C36"/>
    <w:rsid w:val="00961DBD"/>
    <w:rsid w:val="0096321C"/>
    <w:rsid w:val="009660D7"/>
    <w:rsid w:val="009665E3"/>
    <w:rsid w:val="00970314"/>
    <w:rsid w:val="00970A74"/>
    <w:rsid w:val="00972CEC"/>
    <w:rsid w:val="00972E53"/>
    <w:rsid w:val="00973844"/>
    <w:rsid w:val="00973B9C"/>
    <w:rsid w:val="00976124"/>
    <w:rsid w:val="00976C04"/>
    <w:rsid w:val="00977E9C"/>
    <w:rsid w:val="009802E1"/>
    <w:rsid w:val="009804B2"/>
    <w:rsid w:val="009804F0"/>
    <w:rsid w:val="00980997"/>
    <w:rsid w:val="00980DFD"/>
    <w:rsid w:val="00981223"/>
    <w:rsid w:val="009816FF"/>
    <w:rsid w:val="00981B09"/>
    <w:rsid w:val="00981CA2"/>
    <w:rsid w:val="00982391"/>
    <w:rsid w:val="00982A10"/>
    <w:rsid w:val="009837D9"/>
    <w:rsid w:val="00984152"/>
    <w:rsid w:val="00984C02"/>
    <w:rsid w:val="00985269"/>
    <w:rsid w:val="00985D47"/>
    <w:rsid w:val="009863B3"/>
    <w:rsid w:val="009865E2"/>
    <w:rsid w:val="0098694B"/>
    <w:rsid w:val="00986B9A"/>
    <w:rsid w:val="00990DB6"/>
    <w:rsid w:val="0099230B"/>
    <w:rsid w:val="00992708"/>
    <w:rsid w:val="009928E4"/>
    <w:rsid w:val="009929FC"/>
    <w:rsid w:val="00995910"/>
    <w:rsid w:val="009959D6"/>
    <w:rsid w:val="00995BAF"/>
    <w:rsid w:val="009965F7"/>
    <w:rsid w:val="009A0034"/>
    <w:rsid w:val="009A01F7"/>
    <w:rsid w:val="009A0221"/>
    <w:rsid w:val="009A0594"/>
    <w:rsid w:val="009A123C"/>
    <w:rsid w:val="009A1C1E"/>
    <w:rsid w:val="009A2D79"/>
    <w:rsid w:val="009A36C4"/>
    <w:rsid w:val="009A44D8"/>
    <w:rsid w:val="009A62EA"/>
    <w:rsid w:val="009A7B03"/>
    <w:rsid w:val="009A7EC8"/>
    <w:rsid w:val="009B16CA"/>
    <w:rsid w:val="009B207E"/>
    <w:rsid w:val="009B27F8"/>
    <w:rsid w:val="009B2EE1"/>
    <w:rsid w:val="009B3D83"/>
    <w:rsid w:val="009B56BF"/>
    <w:rsid w:val="009B68EF"/>
    <w:rsid w:val="009B79B2"/>
    <w:rsid w:val="009C046B"/>
    <w:rsid w:val="009C1E92"/>
    <w:rsid w:val="009C28A0"/>
    <w:rsid w:val="009C4282"/>
    <w:rsid w:val="009C43C0"/>
    <w:rsid w:val="009C4ABC"/>
    <w:rsid w:val="009C4B01"/>
    <w:rsid w:val="009C4EC5"/>
    <w:rsid w:val="009C7A67"/>
    <w:rsid w:val="009C7FA4"/>
    <w:rsid w:val="009D10C0"/>
    <w:rsid w:val="009D4A38"/>
    <w:rsid w:val="009D542C"/>
    <w:rsid w:val="009D57E5"/>
    <w:rsid w:val="009D5AD1"/>
    <w:rsid w:val="009D5EA5"/>
    <w:rsid w:val="009E0382"/>
    <w:rsid w:val="009E1447"/>
    <w:rsid w:val="009E2078"/>
    <w:rsid w:val="009E264B"/>
    <w:rsid w:val="009E32E4"/>
    <w:rsid w:val="009E45DA"/>
    <w:rsid w:val="009E4F82"/>
    <w:rsid w:val="009E5472"/>
    <w:rsid w:val="009E56D3"/>
    <w:rsid w:val="009F096A"/>
    <w:rsid w:val="009F2114"/>
    <w:rsid w:val="009F3A52"/>
    <w:rsid w:val="009F3B3A"/>
    <w:rsid w:val="009F59D8"/>
    <w:rsid w:val="009F69F2"/>
    <w:rsid w:val="009F6FB1"/>
    <w:rsid w:val="00A0018C"/>
    <w:rsid w:val="00A00649"/>
    <w:rsid w:val="00A007D7"/>
    <w:rsid w:val="00A021B6"/>
    <w:rsid w:val="00A0280C"/>
    <w:rsid w:val="00A0351A"/>
    <w:rsid w:val="00A037C0"/>
    <w:rsid w:val="00A040FB"/>
    <w:rsid w:val="00A044BD"/>
    <w:rsid w:val="00A0488B"/>
    <w:rsid w:val="00A05674"/>
    <w:rsid w:val="00A06A6E"/>
    <w:rsid w:val="00A071EF"/>
    <w:rsid w:val="00A07F12"/>
    <w:rsid w:val="00A1003C"/>
    <w:rsid w:val="00A10FBF"/>
    <w:rsid w:val="00A11AB4"/>
    <w:rsid w:val="00A12471"/>
    <w:rsid w:val="00A12BA5"/>
    <w:rsid w:val="00A13B32"/>
    <w:rsid w:val="00A1441E"/>
    <w:rsid w:val="00A1549A"/>
    <w:rsid w:val="00A1563D"/>
    <w:rsid w:val="00A15EB2"/>
    <w:rsid w:val="00A16341"/>
    <w:rsid w:val="00A1699F"/>
    <w:rsid w:val="00A175DD"/>
    <w:rsid w:val="00A1771A"/>
    <w:rsid w:val="00A20264"/>
    <w:rsid w:val="00A203B5"/>
    <w:rsid w:val="00A21339"/>
    <w:rsid w:val="00A21DC1"/>
    <w:rsid w:val="00A231A5"/>
    <w:rsid w:val="00A23402"/>
    <w:rsid w:val="00A2533F"/>
    <w:rsid w:val="00A26573"/>
    <w:rsid w:val="00A26DEE"/>
    <w:rsid w:val="00A279C6"/>
    <w:rsid w:val="00A30BA9"/>
    <w:rsid w:val="00A30FC4"/>
    <w:rsid w:val="00A311A0"/>
    <w:rsid w:val="00A3152B"/>
    <w:rsid w:val="00A32866"/>
    <w:rsid w:val="00A32AE2"/>
    <w:rsid w:val="00A33364"/>
    <w:rsid w:val="00A33FE6"/>
    <w:rsid w:val="00A35110"/>
    <w:rsid w:val="00A362CE"/>
    <w:rsid w:val="00A36900"/>
    <w:rsid w:val="00A36917"/>
    <w:rsid w:val="00A36AF1"/>
    <w:rsid w:val="00A37013"/>
    <w:rsid w:val="00A37620"/>
    <w:rsid w:val="00A413B5"/>
    <w:rsid w:val="00A42C5F"/>
    <w:rsid w:val="00A4320C"/>
    <w:rsid w:val="00A43959"/>
    <w:rsid w:val="00A43D54"/>
    <w:rsid w:val="00A45831"/>
    <w:rsid w:val="00A45E0B"/>
    <w:rsid w:val="00A47623"/>
    <w:rsid w:val="00A47DD8"/>
    <w:rsid w:val="00A5113A"/>
    <w:rsid w:val="00A51678"/>
    <w:rsid w:val="00A519F9"/>
    <w:rsid w:val="00A51A6B"/>
    <w:rsid w:val="00A51EBA"/>
    <w:rsid w:val="00A51FBB"/>
    <w:rsid w:val="00A52113"/>
    <w:rsid w:val="00A52864"/>
    <w:rsid w:val="00A538B7"/>
    <w:rsid w:val="00A540A3"/>
    <w:rsid w:val="00A54397"/>
    <w:rsid w:val="00A54DF0"/>
    <w:rsid w:val="00A60893"/>
    <w:rsid w:val="00A61382"/>
    <w:rsid w:val="00A625C2"/>
    <w:rsid w:val="00A632BD"/>
    <w:rsid w:val="00A63DE8"/>
    <w:rsid w:val="00A63EB4"/>
    <w:rsid w:val="00A65F8D"/>
    <w:rsid w:val="00A66187"/>
    <w:rsid w:val="00A661EE"/>
    <w:rsid w:val="00A66FD4"/>
    <w:rsid w:val="00A673DB"/>
    <w:rsid w:val="00A70DB6"/>
    <w:rsid w:val="00A7216C"/>
    <w:rsid w:val="00A7232C"/>
    <w:rsid w:val="00A7264A"/>
    <w:rsid w:val="00A72A25"/>
    <w:rsid w:val="00A73378"/>
    <w:rsid w:val="00A73A2E"/>
    <w:rsid w:val="00A740A5"/>
    <w:rsid w:val="00A742A0"/>
    <w:rsid w:val="00A75321"/>
    <w:rsid w:val="00A768CB"/>
    <w:rsid w:val="00A76B37"/>
    <w:rsid w:val="00A76B51"/>
    <w:rsid w:val="00A80215"/>
    <w:rsid w:val="00A80FD1"/>
    <w:rsid w:val="00A8106F"/>
    <w:rsid w:val="00A823E8"/>
    <w:rsid w:val="00A82840"/>
    <w:rsid w:val="00A829E9"/>
    <w:rsid w:val="00A82E76"/>
    <w:rsid w:val="00A83425"/>
    <w:rsid w:val="00A84EB8"/>
    <w:rsid w:val="00A854A5"/>
    <w:rsid w:val="00A85AB7"/>
    <w:rsid w:val="00A87EF5"/>
    <w:rsid w:val="00A902A8"/>
    <w:rsid w:val="00A913A2"/>
    <w:rsid w:val="00A923C7"/>
    <w:rsid w:val="00A9259E"/>
    <w:rsid w:val="00A925CA"/>
    <w:rsid w:val="00A933DB"/>
    <w:rsid w:val="00A94A59"/>
    <w:rsid w:val="00A950BB"/>
    <w:rsid w:val="00A951B2"/>
    <w:rsid w:val="00A95D5B"/>
    <w:rsid w:val="00A95E59"/>
    <w:rsid w:val="00AA04D0"/>
    <w:rsid w:val="00AA1705"/>
    <w:rsid w:val="00AA1E48"/>
    <w:rsid w:val="00AA31BD"/>
    <w:rsid w:val="00AA4CD2"/>
    <w:rsid w:val="00AA4FD6"/>
    <w:rsid w:val="00AA5B3E"/>
    <w:rsid w:val="00AA624B"/>
    <w:rsid w:val="00AA7352"/>
    <w:rsid w:val="00AB08FD"/>
    <w:rsid w:val="00AB0B50"/>
    <w:rsid w:val="00AB10EA"/>
    <w:rsid w:val="00AB117F"/>
    <w:rsid w:val="00AB2D15"/>
    <w:rsid w:val="00AB3549"/>
    <w:rsid w:val="00AB43DC"/>
    <w:rsid w:val="00AB5497"/>
    <w:rsid w:val="00AB5692"/>
    <w:rsid w:val="00AB60CC"/>
    <w:rsid w:val="00AB64A2"/>
    <w:rsid w:val="00AB6967"/>
    <w:rsid w:val="00AB7825"/>
    <w:rsid w:val="00AB7D3C"/>
    <w:rsid w:val="00AC08CE"/>
    <w:rsid w:val="00AC134E"/>
    <w:rsid w:val="00AC206F"/>
    <w:rsid w:val="00AC3FCD"/>
    <w:rsid w:val="00AC490B"/>
    <w:rsid w:val="00AC54BF"/>
    <w:rsid w:val="00AC5A62"/>
    <w:rsid w:val="00AC5E7E"/>
    <w:rsid w:val="00AC6D56"/>
    <w:rsid w:val="00AC751E"/>
    <w:rsid w:val="00AD1F0C"/>
    <w:rsid w:val="00AD1FB0"/>
    <w:rsid w:val="00AD2015"/>
    <w:rsid w:val="00AD2538"/>
    <w:rsid w:val="00AD258B"/>
    <w:rsid w:val="00AD39F7"/>
    <w:rsid w:val="00AD49A8"/>
    <w:rsid w:val="00AD4CB8"/>
    <w:rsid w:val="00AD4F91"/>
    <w:rsid w:val="00AD6BE7"/>
    <w:rsid w:val="00AD7CC7"/>
    <w:rsid w:val="00AE0699"/>
    <w:rsid w:val="00AE0C31"/>
    <w:rsid w:val="00AE0ED7"/>
    <w:rsid w:val="00AE17D0"/>
    <w:rsid w:val="00AE2789"/>
    <w:rsid w:val="00AE488D"/>
    <w:rsid w:val="00AE4ADC"/>
    <w:rsid w:val="00AE5378"/>
    <w:rsid w:val="00AE5A0D"/>
    <w:rsid w:val="00AE67CD"/>
    <w:rsid w:val="00AF248D"/>
    <w:rsid w:val="00AF2FB5"/>
    <w:rsid w:val="00AF3DC3"/>
    <w:rsid w:val="00AF4886"/>
    <w:rsid w:val="00AF5515"/>
    <w:rsid w:val="00AF59DF"/>
    <w:rsid w:val="00AF62F8"/>
    <w:rsid w:val="00AF6349"/>
    <w:rsid w:val="00AF672D"/>
    <w:rsid w:val="00B01CBF"/>
    <w:rsid w:val="00B02E1C"/>
    <w:rsid w:val="00B0387D"/>
    <w:rsid w:val="00B03C34"/>
    <w:rsid w:val="00B046B3"/>
    <w:rsid w:val="00B04AC5"/>
    <w:rsid w:val="00B04D55"/>
    <w:rsid w:val="00B04D95"/>
    <w:rsid w:val="00B05172"/>
    <w:rsid w:val="00B05D4F"/>
    <w:rsid w:val="00B060BE"/>
    <w:rsid w:val="00B06823"/>
    <w:rsid w:val="00B0749F"/>
    <w:rsid w:val="00B10DC5"/>
    <w:rsid w:val="00B111C8"/>
    <w:rsid w:val="00B11EE4"/>
    <w:rsid w:val="00B1344F"/>
    <w:rsid w:val="00B14392"/>
    <w:rsid w:val="00B16289"/>
    <w:rsid w:val="00B200C2"/>
    <w:rsid w:val="00B2122C"/>
    <w:rsid w:val="00B212ED"/>
    <w:rsid w:val="00B22F1F"/>
    <w:rsid w:val="00B23D03"/>
    <w:rsid w:val="00B240AC"/>
    <w:rsid w:val="00B2445D"/>
    <w:rsid w:val="00B2584A"/>
    <w:rsid w:val="00B25D6E"/>
    <w:rsid w:val="00B2612A"/>
    <w:rsid w:val="00B27045"/>
    <w:rsid w:val="00B27443"/>
    <w:rsid w:val="00B2774D"/>
    <w:rsid w:val="00B27CF8"/>
    <w:rsid w:val="00B3051A"/>
    <w:rsid w:val="00B30A13"/>
    <w:rsid w:val="00B3138C"/>
    <w:rsid w:val="00B31E57"/>
    <w:rsid w:val="00B32987"/>
    <w:rsid w:val="00B32D0D"/>
    <w:rsid w:val="00B32DBA"/>
    <w:rsid w:val="00B334A3"/>
    <w:rsid w:val="00B341A6"/>
    <w:rsid w:val="00B374E2"/>
    <w:rsid w:val="00B403EF"/>
    <w:rsid w:val="00B40572"/>
    <w:rsid w:val="00B42E57"/>
    <w:rsid w:val="00B4360C"/>
    <w:rsid w:val="00B43AC5"/>
    <w:rsid w:val="00B43D49"/>
    <w:rsid w:val="00B44EC4"/>
    <w:rsid w:val="00B4502B"/>
    <w:rsid w:val="00B45B85"/>
    <w:rsid w:val="00B516C7"/>
    <w:rsid w:val="00B51A47"/>
    <w:rsid w:val="00B51DC3"/>
    <w:rsid w:val="00B51DE1"/>
    <w:rsid w:val="00B51F1D"/>
    <w:rsid w:val="00B521FD"/>
    <w:rsid w:val="00B52705"/>
    <w:rsid w:val="00B53CCF"/>
    <w:rsid w:val="00B5433F"/>
    <w:rsid w:val="00B5502B"/>
    <w:rsid w:val="00B5644E"/>
    <w:rsid w:val="00B5657F"/>
    <w:rsid w:val="00B566EC"/>
    <w:rsid w:val="00B57332"/>
    <w:rsid w:val="00B57E03"/>
    <w:rsid w:val="00B6017B"/>
    <w:rsid w:val="00B618E9"/>
    <w:rsid w:val="00B61968"/>
    <w:rsid w:val="00B61C5F"/>
    <w:rsid w:val="00B62CEA"/>
    <w:rsid w:val="00B63787"/>
    <w:rsid w:val="00B63D58"/>
    <w:rsid w:val="00B63ED5"/>
    <w:rsid w:val="00B64208"/>
    <w:rsid w:val="00B64323"/>
    <w:rsid w:val="00B6474C"/>
    <w:rsid w:val="00B64F87"/>
    <w:rsid w:val="00B65264"/>
    <w:rsid w:val="00B66014"/>
    <w:rsid w:val="00B74590"/>
    <w:rsid w:val="00B74733"/>
    <w:rsid w:val="00B74AA8"/>
    <w:rsid w:val="00B76888"/>
    <w:rsid w:val="00B770E7"/>
    <w:rsid w:val="00B77F5B"/>
    <w:rsid w:val="00B803CE"/>
    <w:rsid w:val="00B80836"/>
    <w:rsid w:val="00B819BC"/>
    <w:rsid w:val="00B82124"/>
    <w:rsid w:val="00B82DB2"/>
    <w:rsid w:val="00B8320F"/>
    <w:rsid w:val="00B83337"/>
    <w:rsid w:val="00B83FB9"/>
    <w:rsid w:val="00B85E4C"/>
    <w:rsid w:val="00B8633D"/>
    <w:rsid w:val="00B87843"/>
    <w:rsid w:val="00B87A3D"/>
    <w:rsid w:val="00B90D03"/>
    <w:rsid w:val="00B926C4"/>
    <w:rsid w:val="00B92E69"/>
    <w:rsid w:val="00B94DFC"/>
    <w:rsid w:val="00B956C7"/>
    <w:rsid w:val="00B959DC"/>
    <w:rsid w:val="00BA1718"/>
    <w:rsid w:val="00BA2A57"/>
    <w:rsid w:val="00BA3506"/>
    <w:rsid w:val="00BA374B"/>
    <w:rsid w:val="00BA3A1F"/>
    <w:rsid w:val="00BA3FF4"/>
    <w:rsid w:val="00BA558A"/>
    <w:rsid w:val="00BA67AA"/>
    <w:rsid w:val="00BA7E23"/>
    <w:rsid w:val="00BB00ED"/>
    <w:rsid w:val="00BB0F69"/>
    <w:rsid w:val="00BB0F97"/>
    <w:rsid w:val="00BB1342"/>
    <w:rsid w:val="00BB13BE"/>
    <w:rsid w:val="00BB1404"/>
    <w:rsid w:val="00BB1603"/>
    <w:rsid w:val="00BB243F"/>
    <w:rsid w:val="00BB36FE"/>
    <w:rsid w:val="00BB471B"/>
    <w:rsid w:val="00BB4B7B"/>
    <w:rsid w:val="00BB4D31"/>
    <w:rsid w:val="00BB5688"/>
    <w:rsid w:val="00BB5AC7"/>
    <w:rsid w:val="00BC0462"/>
    <w:rsid w:val="00BC0AD1"/>
    <w:rsid w:val="00BC0C5A"/>
    <w:rsid w:val="00BC242F"/>
    <w:rsid w:val="00BC2C64"/>
    <w:rsid w:val="00BC2DA8"/>
    <w:rsid w:val="00BC300B"/>
    <w:rsid w:val="00BC34C9"/>
    <w:rsid w:val="00BC4550"/>
    <w:rsid w:val="00BC51A5"/>
    <w:rsid w:val="00BC5329"/>
    <w:rsid w:val="00BC61E0"/>
    <w:rsid w:val="00BC68DC"/>
    <w:rsid w:val="00BD1052"/>
    <w:rsid w:val="00BD2EAA"/>
    <w:rsid w:val="00BD3838"/>
    <w:rsid w:val="00BD409F"/>
    <w:rsid w:val="00BD4E42"/>
    <w:rsid w:val="00BD5A2F"/>
    <w:rsid w:val="00BD5E88"/>
    <w:rsid w:val="00BD6F18"/>
    <w:rsid w:val="00BE1A25"/>
    <w:rsid w:val="00BE237E"/>
    <w:rsid w:val="00BE295D"/>
    <w:rsid w:val="00BE2E5B"/>
    <w:rsid w:val="00BE3841"/>
    <w:rsid w:val="00BE4997"/>
    <w:rsid w:val="00BE4E9C"/>
    <w:rsid w:val="00BE5CBC"/>
    <w:rsid w:val="00BE7FEF"/>
    <w:rsid w:val="00BF073B"/>
    <w:rsid w:val="00BF129A"/>
    <w:rsid w:val="00BF48E3"/>
    <w:rsid w:val="00BF5E09"/>
    <w:rsid w:val="00BF6088"/>
    <w:rsid w:val="00BF6B5E"/>
    <w:rsid w:val="00C002F2"/>
    <w:rsid w:val="00C00A7B"/>
    <w:rsid w:val="00C00D8B"/>
    <w:rsid w:val="00C01277"/>
    <w:rsid w:val="00C015B6"/>
    <w:rsid w:val="00C0288F"/>
    <w:rsid w:val="00C028FE"/>
    <w:rsid w:val="00C0296E"/>
    <w:rsid w:val="00C03DF4"/>
    <w:rsid w:val="00C0411C"/>
    <w:rsid w:val="00C042AD"/>
    <w:rsid w:val="00C056EB"/>
    <w:rsid w:val="00C05996"/>
    <w:rsid w:val="00C06345"/>
    <w:rsid w:val="00C07940"/>
    <w:rsid w:val="00C108AD"/>
    <w:rsid w:val="00C11C10"/>
    <w:rsid w:val="00C13A95"/>
    <w:rsid w:val="00C13C43"/>
    <w:rsid w:val="00C146A1"/>
    <w:rsid w:val="00C155ED"/>
    <w:rsid w:val="00C16BBC"/>
    <w:rsid w:val="00C174A9"/>
    <w:rsid w:val="00C17D10"/>
    <w:rsid w:val="00C2081B"/>
    <w:rsid w:val="00C21AFE"/>
    <w:rsid w:val="00C21DD8"/>
    <w:rsid w:val="00C225A3"/>
    <w:rsid w:val="00C22CFB"/>
    <w:rsid w:val="00C23EA3"/>
    <w:rsid w:val="00C24CD0"/>
    <w:rsid w:val="00C26CEE"/>
    <w:rsid w:val="00C31233"/>
    <w:rsid w:val="00C3463A"/>
    <w:rsid w:val="00C3550A"/>
    <w:rsid w:val="00C359A4"/>
    <w:rsid w:val="00C37028"/>
    <w:rsid w:val="00C40599"/>
    <w:rsid w:val="00C42741"/>
    <w:rsid w:val="00C427A5"/>
    <w:rsid w:val="00C42DBB"/>
    <w:rsid w:val="00C4431B"/>
    <w:rsid w:val="00C45589"/>
    <w:rsid w:val="00C45F94"/>
    <w:rsid w:val="00C46468"/>
    <w:rsid w:val="00C50045"/>
    <w:rsid w:val="00C50256"/>
    <w:rsid w:val="00C50F87"/>
    <w:rsid w:val="00C512FE"/>
    <w:rsid w:val="00C51535"/>
    <w:rsid w:val="00C52051"/>
    <w:rsid w:val="00C52CC4"/>
    <w:rsid w:val="00C533C1"/>
    <w:rsid w:val="00C54E5F"/>
    <w:rsid w:val="00C5644D"/>
    <w:rsid w:val="00C56681"/>
    <w:rsid w:val="00C566AA"/>
    <w:rsid w:val="00C56B56"/>
    <w:rsid w:val="00C57290"/>
    <w:rsid w:val="00C61CAF"/>
    <w:rsid w:val="00C63CAD"/>
    <w:rsid w:val="00C63D21"/>
    <w:rsid w:val="00C65C57"/>
    <w:rsid w:val="00C65F6F"/>
    <w:rsid w:val="00C660FB"/>
    <w:rsid w:val="00C669BC"/>
    <w:rsid w:val="00C674CA"/>
    <w:rsid w:val="00C70D89"/>
    <w:rsid w:val="00C7292B"/>
    <w:rsid w:val="00C737EE"/>
    <w:rsid w:val="00C73D9F"/>
    <w:rsid w:val="00C74B08"/>
    <w:rsid w:val="00C74F33"/>
    <w:rsid w:val="00C75B6B"/>
    <w:rsid w:val="00C76C8C"/>
    <w:rsid w:val="00C770EE"/>
    <w:rsid w:val="00C77286"/>
    <w:rsid w:val="00C77DB9"/>
    <w:rsid w:val="00C805AA"/>
    <w:rsid w:val="00C81705"/>
    <w:rsid w:val="00C83491"/>
    <w:rsid w:val="00C8376F"/>
    <w:rsid w:val="00C837F5"/>
    <w:rsid w:val="00C84135"/>
    <w:rsid w:val="00C84B41"/>
    <w:rsid w:val="00C8542F"/>
    <w:rsid w:val="00C85FA3"/>
    <w:rsid w:val="00C87AFE"/>
    <w:rsid w:val="00C914ED"/>
    <w:rsid w:val="00C91A88"/>
    <w:rsid w:val="00C91D50"/>
    <w:rsid w:val="00C92442"/>
    <w:rsid w:val="00C93BFC"/>
    <w:rsid w:val="00C94814"/>
    <w:rsid w:val="00C95627"/>
    <w:rsid w:val="00C95640"/>
    <w:rsid w:val="00C956C0"/>
    <w:rsid w:val="00C959FE"/>
    <w:rsid w:val="00C95FF0"/>
    <w:rsid w:val="00C96BE5"/>
    <w:rsid w:val="00C96E24"/>
    <w:rsid w:val="00C97080"/>
    <w:rsid w:val="00C97697"/>
    <w:rsid w:val="00CA01B1"/>
    <w:rsid w:val="00CA43E1"/>
    <w:rsid w:val="00CA6161"/>
    <w:rsid w:val="00CA64B2"/>
    <w:rsid w:val="00CA71DF"/>
    <w:rsid w:val="00CA74B4"/>
    <w:rsid w:val="00CA7761"/>
    <w:rsid w:val="00CA7AD7"/>
    <w:rsid w:val="00CB0F77"/>
    <w:rsid w:val="00CB1063"/>
    <w:rsid w:val="00CB138E"/>
    <w:rsid w:val="00CB2060"/>
    <w:rsid w:val="00CB262B"/>
    <w:rsid w:val="00CB4647"/>
    <w:rsid w:val="00CB54A8"/>
    <w:rsid w:val="00CB5B57"/>
    <w:rsid w:val="00CB60E1"/>
    <w:rsid w:val="00CC01D7"/>
    <w:rsid w:val="00CC09D7"/>
    <w:rsid w:val="00CC1196"/>
    <w:rsid w:val="00CC11BC"/>
    <w:rsid w:val="00CC1B67"/>
    <w:rsid w:val="00CC249F"/>
    <w:rsid w:val="00CC265B"/>
    <w:rsid w:val="00CC2D61"/>
    <w:rsid w:val="00CC5EEA"/>
    <w:rsid w:val="00CD1767"/>
    <w:rsid w:val="00CD2294"/>
    <w:rsid w:val="00CD2367"/>
    <w:rsid w:val="00CD271A"/>
    <w:rsid w:val="00CD3145"/>
    <w:rsid w:val="00CD3E88"/>
    <w:rsid w:val="00CD4B07"/>
    <w:rsid w:val="00CD52EF"/>
    <w:rsid w:val="00CD5A2E"/>
    <w:rsid w:val="00CD5EF4"/>
    <w:rsid w:val="00CD6ED9"/>
    <w:rsid w:val="00CD701A"/>
    <w:rsid w:val="00CE0C81"/>
    <w:rsid w:val="00CE19ED"/>
    <w:rsid w:val="00CE1DB5"/>
    <w:rsid w:val="00CE32C5"/>
    <w:rsid w:val="00CE39CA"/>
    <w:rsid w:val="00CE512A"/>
    <w:rsid w:val="00CE57A5"/>
    <w:rsid w:val="00CE5A9A"/>
    <w:rsid w:val="00CE5F32"/>
    <w:rsid w:val="00CE6F6A"/>
    <w:rsid w:val="00CE7E03"/>
    <w:rsid w:val="00CF0431"/>
    <w:rsid w:val="00CF22E5"/>
    <w:rsid w:val="00CF2384"/>
    <w:rsid w:val="00CF3D79"/>
    <w:rsid w:val="00CF40AA"/>
    <w:rsid w:val="00CF4608"/>
    <w:rsid w:val="00CF4D9D"/>
    <w:rsid w:val="00CF4F54"/>
    <w:rsid w:val="00D00205"/>
    <w:rsid w:val="00D00C95"/>
    <w:rsid w:val="00D00F03"/>
    <w:rsid w:val="00D0118B"/>
    <w:rsid w:val="00D01D2A"/>
    <w:rsid w:val="00D02975"/>
    <w:rsid w:val="00D02D64"/>
    <w:rsid w:val="00D034AF"/>
    <w:rsid w:val="00D03ADE"/>
    <w:rsid w:val="00D03E0A"/>
    <w:rsid w:val="00D049F4"/>
    <w:rsid w:val="00D10589"/>
    <w:rsid w:val="00D11521"/>
    <w:rsid w:val="00D118E2"/>
    <w:rsid w:val="00D12262"/>
    <w:rsid w:val="00D12608"/>
    <w:rsid w:val="00D1313F"/>
    <w:rsid w:val="00D13D05"/>
    <w:rsid w:val="00D14FB9"/>
    <w:rsid w:val="00D152B1"/>
    <w:rsid w:val="00D15D3F"/>
    <w:rsid w:val="00D16485"/>
    <w:rsid w:val="00D171B1"/>
    <w:rsid w:val="00D17651"/>
    <w:rsid w:val="00D21817"/>
    <w:rsid w:val="00D24DA5"/>
    <w:rsid w:val="00D25817"/>
    <w:rsid w:val="00D26760"/>
    <w:rsid w:val="00D27025"/>
    <w:rsid w:val="00D300FA"/>
    <w:rsid w:val="00D30525"/>
    <w:rsid w:val="00D30F5E"/>
    <w:rsid w:val="00D3134D"/>
    <w:rsid w:val="00D32899"/>
    <w:rsid w:val="00D32AEF"/>
    <w:rsid w:val="00D32EED"/>
    <w:rsid w:val="00D33E10"/>
    <w:rsid w:val="00D340A5"/>
    <w:rsid w:val="00D34116"/>
    <w:rsid w:val="00D343E8"/>
    <w:rsid w:val="00D35DE4"/>
    <w:rsid w:val="00D3647B"/>
    <w:rsid w:val="00D3700A"/>
    <w:rsid w:val="00D3796E"/>
    <w:rsid w:val="00D40055"/>
    <w:rsid w:val="00D42535"/>
    <w:rsid w:val="00D5017A"/>
    <w:rsid w:val="00D5179E"/>
    <w:rsid w:val="00D5389F"/>
    <w:rsid w:val="00D547B5"/>
    <w:rsid w:val="00D55C91"/>
    <w:rsid w:val="00D5630E"/>
    <w:rsid w:val="00D56878"/>
    <w:rsid w:val="00D57716"/>
    <w:rsid w:val="00D57725"/>
    <w:rsid w:val="00D57B00"/>
    <w:rsid w:val="00D60552"/>
    <w:rsid w:val="00D60B07"/>
    <w:rsid w:val="00D612C1"/>
    <w:rsid w:val="00D63347"/>
    <w:rsid w:val="00D63B00"/>
    <w:rsid w:val="00D63FB3"/>
    <w:rsid w:val="00D64703"/>
    <w:rsid w:val="00D656A0"/>
    <w:rsid w:val="00D700E3"/>
    <w:rsid w:val="00D70218"/>
    <w:rsid w:val="00D706F8"/>
    <w:rsid w:val="00D7085D"/>
    <w:rsid w:val="00D70C24"/>
    <w:rsid w:val="00D71181"/>
    <w:rsid w:val="00D72230"/>
    <w:rsid w:val="00D7306A"/>
    <w:rsid w:val="00D731EC"/>
    <w:rsid w:val="00D73ABB"/>
    <w:rsid w:val="00D73C57"/>
    <w:rsid w:val="00D73DDA"/>
    <w:rsid w:val="00D746F4"/>
    <w:rsid w:val="00D74960"/>
    <w:rsid w:val="00D759E4"/>
    <w:rsid w:val="00D775A3"/>
    <w:rsid w:val="00D7786E"/>
    <w:rsid w:val="00D80210"/>
    <w:rsid w:val="00D81C22"/>
    <w:rsid w:val="00D821B8"/>
    <w:rsid w:val="00D82775"/>
    <w:rsid w:val="00D83B65"/>
    <w:rsid w:val="00D843F1"/>
    <w:rsid w:val="00D844AD"/>
    <w:rsid w:val="00D84F68"/>
    <w:rsid w:val="00D86125"/>
    <w:rsid w:val="00D86920"/>
    <w:rsid w:val="00D86E01"/>
    <w:rsid w:val="00D8712B"/>
    <w:rsid w:val="00D87747"/>
    <w:rsid w:val="00D908A9"/>
    <w:rsid w:val="00D9132D"/>
    <w:rsid w:val="00D91F45"/>
    <w:rsid w:val="00D91FC4"/>
    <w:rsid w:val="00D9230D"/>
    <w:rsid w:val="00D92D77"/>
    <w:rsid w:val="00D9385B"/>
    <w:rsid w:val="00D94101"/>
    <w:rsid w:val="00D947D8"/>
    <w:rsid w:val="00D94A4A"/>
    <w:rsid w:val="00D9500E"/>
    <w:rsid w:val="00D956DA"/>
    <w:rsid w:val="00D957F5"/>
    <w:rsid w:val="00D95803"/>
    <w:rsid w:val="00D95DD9"/>
    <w:rsid w:val="00D96680"/>
    <w:rsid w:val="00D97585"/>
    <w:rsid w:val="00D97A28"/>
    <w:rsid w:val="00D97D93"/>
    <w:rsid w:val="00DA0B19"/>
    <w:rsid w:val="00DA1439"/>
    <w:rsid w:val="00DA2CCD"/>
    <w:rsid w:val="00DA40AB"/>
    <w:rsid w:val="00DA4184"/>
    <w:rsid w:val="00DA4AAF"/>
    <w:rsid w:val="00DA58A1"/>
    <w:rsid w:val="00DA666C"/>
    <w:rsid w:val="00DA7603"/>
    <w:rsid w:val="00DA77FA"/>
    <w:rsid w:val="00DA7D37"/>
    <w:rsid w:val="00DB02A2"/>
    <w:rsid w:val="00DB1106"/>
    <w:rsid w:val="00DB19A6"/>
    <w:rsid w:val="00DB1D10"/>
    <w:rsid w:val="00DB3CB5"/>
    <w:rsid w:val="00DB5D7F"/>
    <w:rsid w:val="00DB6515"/>
    <w:rsid w:val="00DB6701"/>
    <w:rsid w:val="00DB7E40"/>
    <w:rsid w:val="00DC16F0"/>
    <w:rsid w:val="00DC1C43"/>
    <w:rsid w:val="00DC1EC3"/>
    <w:rsid w:val="00DC21C1"/>
    <w:rsid w:val="00DC26CB"/>
    <w:rsid w:val="00DC2ADD"/>
    <w:rsid w:val="00DC37D5"/>
    <w:rsid w:val="00DC44BB"/>
    <w:rsid w:val="00DC4985"/>
    <w:rsid w:val="00DC505F"/>
    <w:rsid w:val="00DC53C3"/>
    <w:rsid w:val="00DC62CA"/>
    <w:rsid w:val="00DC6770"/>
    <w:rsid w:val="00DC764D"/>
    <w:rsid w:val="00DD0F89"/>
    <w:rsid w:val="00DD12F9"/>
    <w:rsid w:val="00DD1A48"/>
    <w:rsid w:val="00DD3149"/>
    <w:rsid w:val="00DD3349"/>
    <w:rsid w:val="00DD3380"/>
    <w:rsid w:val="00DD3DDC"/>
    <w:rsid w:val="00DD3ECD"/>
    <w:rsid w:val="00DD401A"/>
    <w:rsid w:val="00DD682C"/>
    <w:rsid w:val="00DD73D6"/>
    <w:rsid w:val="00DD7781"/>
    <w:rsid w:val="00DE052C"/>
    <w:rsid w:val="00DE098C"/>
    <w:rsid w:val="00DE14A7"/>
    <w:rsid w:val="00DE1B81"/>
    <w:rsid w:val="00DE22EA"/>
    <w:rsid w:val="00DE266A"/>
    <w:rsid w:val="00DE3023"/>
    <w:rsid w:val="00DE4052"/>
    <w:rsid w:val="00DE5282"/>
    <w:rsid w:val="00DE6E33"/>
    <w:rsid w:val="00DF068F"/>
    <w:rsid w:val="00DF073E"/>
    <w:rsid w:val="00DF4B15"/>
    <w:rsid w:val="00DF4CC8"/>
    <w:rsid w:val="00DF50D7"/>
    <w:rsid w:val="00DF593A"/>
    <w:rsid w:val="00DF65F8"/>
    <w:rsid w:val="00DF6717"/>
    <w:rsid w:val="00DF6B39"/>
    <w:rsid w:val="00DF6EDC"/>
    <w:rsid w:val="00E00BAF"/>
    <w:rsid w:val="00E013BC"/>
    <w:rsid w:val="00E01587"/>
    <w:rsid w:val="00E015EF"/>
    <w:rsid w:val="00E01C9A"/>
    <w:rsid w:val="00E01CF7"/>
    <w:rsid w:val="00E0340C"/>
    <w:rsid w:val="00E03EA7"/>
    <w:rsid w:val="00E065B3"/>
    <w:rsid w:val="00E07D57"/>
    <w:rsid w:val="00E10DC2"/>
    <w:rsid w:val="00E111EE"/>
    <w:rsid w:val="00E114F3"/>
    <w:rsid w:val="00E11723"/>
    <w:rsid w:val="00E12E7A"/>
    <w:rsid w:val="00E141DD"/>
    <w:rsid w:val="00E15EA9"/>
    <w:rsid w:val="00E2099C"/>
    <w:rsid w:val="00E22A84"/>
    <w:rsid w:val="00E22D20"/>
    <w:rsid w:val="00E253F7"/>
    <w:rsid w:val="00E25A1D"/>
    <w:rsid w:val="00E25E85"/>
    <w:rsid w:val="00E25EB0"/>
    <w:rsid w:val="00E26E10"/>
    <w:rsid w:val="00E27520"/>
    <w:rsid w:val="00E32C66"/>
    <w:rsid w:val="00E32DCA"/>
    <w:rsid w:val="00E32FF3"/>
    <w:rsid w:val="00E348CA"/>
    <w:rsid w:val="00E34A4A"/>
    <w:rsid w:val="00E34DA0"/>
    <w:rsid w:val="00E34F6B"/>
    <w:rsid w:val="00E35547"/>
    <w:rsid w:val="00E367A1"/>
    <w:rsid w:val="00E36C33"/>
    <w:rsid w:val="00E37D2D"/>
    <w:rsid w:val="00E41B55"/>
    <w:rsid w:val="00E43128"/>
    <w:rsid w:val="00E43F9A"/>
    <w:rsid w:val="00E453EF"/>
    <w:rsid w:val="00E45546"/>
    <w:rsid w:val="00E50299"/>
    <w:rsid w:val="00E521C4"/>
    <w:rsid w:val="00E52CCE"/>
    <w:rsid w:val="00E538F8"/>
    <w:rsid w:val="00E555F1"/>
    <w:rsid w:val="00E56297"/>
    <w:rsid w:val="00E564ED"/>
    <w:rsid w:val="00E61561"/>
    <w:rsid w:val="00E62587"/>
    <w:rsid w:val="00E62ED8"/>
    <w:rsid w:val="00E638B7"/>
    <w:rsid w:val="00E63D84"/>
    <w:rsid w:val="00E648A0"/>
    <w:rsid w:val="00E662A8"/>
    <w:rsid w:val="00E6640B"/>
    <w:rsid w:val="00E66FD8"/>
    <w:rsid w:val="00E67A47"/>
    <w:rsid w:val="00E70D30"/>
    <w:rsid w:val="00E70FC0"/>
    <w:rsid w:val="00E7145C"/>
    <w:rsid w:val="00E71BA2"/>
    <w:rsid w:val="00E71C7F"/>
    <w:rsid w:val="00E71E86"/>
    <w:rsid w:val="00E7451F"/>
    <w:rsid w:val="00E757E4"/>
    <w:rsid w:val="00E75C48"/>
    <w:rsid w:val="00E76CFD"/>
    <w:rsid w:val="00E76F18"/>
    <w:rsid w:val="00E77267"/>
    <w:rsid w:val="00E77689"/>
    <w:rsid w:val="00E83118"/>
    <w:rsid w:val="00E846D3"/>
    <w:rsid w:val="00E85B1E"/>
    <w:rsid w:val="00E87613"/>
    <w:rsid w:val="00E903CF"/>
    <w:rsid w:val="00E906AE"/>
    <w:rsid w:val="00E90915"/>
    <w:rsid w:val="00E90BDF"/>
    <w:rsid w:val="00E91022"/>
    <w:rsid w:val="00E917D6"/>
    <w:rsid w:val="00E92B7E"/>
    <w:rsid w:val="00E94315"/>
    <w:rsid w:val="00E94902"/>
    <w:rsid w:val="00E951F3"/>
    <w:rsid w:val="00E95826"/>
    <w:rsid w:val="00E964DC"/>
    <w:rsid w:val="00EA0958"/>
    <w:rsid w:val="00EA17F3"/>
    <w:rsid w:val="00EA1FD5"/>
    <w:rsid w:val="00EA2491"/>
    <w:rsid w:val="00EA2512"/>
    <w:rsid w:val="00EA25CB"/>
    <w:rsid w:val="00EA37D0"/>
    <w:rsid w:val="00EA4FD8"/>
    <w:rsid w:val="00EA59F6"/>
    <w:rsid w:val="00EA5A79"/>
    <w:rsid w:val="00EA5CFD"/>
    <w:rsid w:val="00EA6BFA"/>
    <w:rsid w:val="00EA6C93"/>
    <w:rsid w:val="00EB2100"/>
    <w:rsid w:val="00EB2FBA"/>
    <w:rsid w:val="00EB5033"/>
    <w:rsid w:val="00EB54A2"/>
    <w:rsid w:val="00EB6892"/>
    <w:rsid w:val="00EB6AEF"/>
    <w:rsid w:val="00EB79FA"/>
    <w:rsid w:val="00EC032A"/>
    <w:rsid w:val="00EC0486"/>
    <w:rsid w:val="00EC22E4"/>
    <w:rsid w:val="00EC3FDF"/>
    <w:rsid w:val="00EC4418"/>
    <w:rsid w:val="00EC650A"/>
    <w:rsid w:val="00EC6C22"/>
    <w:rsid w:val="00EC6E8A"/>
    <w:rsid w:val="00EC74E6"/>
    <w:rsid w:val="00ED014E"/>
    <w:rsid w:val="00ED1628"/>
    <w:rsid w:val="00ED1EC6"/>
    <w:rsid w:val="00ED21BA"/>
    <w:rsid w:val="00ED229E"/>
    <w:rsid w:val="00ED233A"/>
    <w:rsid w:val="00ED3318"/>
    <w:rsid w:val="00ED35DE"/>
    <w:rsid w:val="00ED5E11"/>
    <w:rsid w:val="00ED659E"/>
    <w:rsid w:val="00ED7149"/>
    <w:rsid w:val="00EE1AA9"/>
    <w:rsid w:val="00EE1FB4"/>
    <w:rsid w:val="00EE267C"/>
    <w:rsid w:val="00EE2C40"/>
    <w:rsid w:val="00EE3C4A"/>
    <w:rsid w:val="00EE42DB"/>
    <w:rsid w:val="00EE53C8"/>
    <w:rsid w:val="00EE6DD2"/>
    <w:rsid w:val="00EF012E"/>
    <w:rsid w:val="00EF04C4"/>
    <w:rsid w:val="00EF2514"/>
    <w:rsid w:val="00EF3707"/>
    <w:rsid w:val="00EF3FCC"/>
    <w:rsid w:val="00EF41AE"/>
    <w:rsid w:val="00EF4899"/>
    <w:rsid w:val="00EF4906"/>
    <w:rsid w:val="00EF504D"/>
    <w:rsid w:val="00EF530B"/>
    <w:rsid w:val="00EF6E40"/>
    <w:rsid w:val="00EF77C4"/>
    <w:rsid w:val="00F000AD"/>
    <w:rsid w:val="00F020C9"/>
    <w:rsid w:val="00F02D1E"/>
    <w:rsid w:val="00F035C6"/>
    <w:rsid w:val="00F0427E"/>
    <w:rsid w:val="00F04C8B"/>
    <w:rsid w:val="00F05838"/>
    <w:rsid w:val="00F05B7B"/>
    <w:rsid w:val="00F112C6"/>
    <w:rsid w:val="00F11315"/>
    <w:rsid w:val="00F11582"/>
    <w:rsid w:val="00F13386"/>
    <w:rsid w:val="00F13495"/>
    <w:rsid w:val="00F13536"/>
    <w:rsid w:val="00F1413C"/>
    <w:rsid w:val="00F14947"/>
    <w:rsid w:val="00F169A6"/>
    <w:rsid w:val="00F17EA4"/>
    <w:rsid w:val="00F20051"/>
    <w:rsid w:val="00F217FE"/>
    <w:rsid w:val="00F21F0E"/>
    <w:rsid w:val="00F220D4"/>
    <w:rsid w:val="00F22603"/>
    <w:rsid w:val="00F22C9F"/>
    <w:rsid w:val="00F2302D"/>
    <w:rsid w:val="00F23E79"/>
    <w:rsid w:val="00F25092"/>
    <w:rsid w:val="00F25CBB"/>
    <w:rsid w:val="00F26418"/>
    <w:rsid w:val="00F2661F"/>
    <w:rsid w:val="00F27E7E"/>
    <w:rsid w:val="00F30039"/>
    <w:rsid w:val="00F306DE"/>
    <w:rsid w:val="00F307C4"/>
    <w:rsid w:val="00F31465"/>
    <w:rsid w:val="00F314DC"/>
    <w:rsid w:val="00F32835"/>
    <w:rsid w:val="00F32969"/>
    <w:rsid w:val="00F33269"/>
    <w:rsid w:val="00F332D3"/>
    <w:rsid w:val="00F33E60"/>
    <w:rsid w:val="00F33F80"/>
    <w:rsid w:val="00F33FDE"/>
    <w:rsid w:val="00F34B7E"/>
    <w:rsid w:val="00F36D80"/>
    <w:rsid w:val="00F40B38"/>
    <w:rsid w:val="00F41125"/>
    <w:rsid w:val="00F41D6A"/>
    <w:rsid w:val="00F425A9"/>
    <w:rsid w:val="00F43334"/>
    <w:rsid w:val="00F4385C"/>
    <w:rsid w:val="00F43904"/>
    <w:rsid w:val="00F43F12"/>
    <w:rsid w:val="00F440D4"/>
    <w:rsid w:val="00F44581"/>
    <w:rsid w:val="00F44A32"/>
    <w:rsid w:val="00F44B5E"/>
    <w:rsid w:val="00F44FF6"/>
    <w:rsid w:val="00F453E4"/>
    <w:rsid w:val="00F46467"/>
    <w:rsid w:val="00F50757"/>
    <w:rsid w:val="00F52065"/>
    <w:rsid w:val="00F5222E"/>
    <w:rsid w:val="00F541D1"/>
    <w:rsid w:val="00F54807"/>
    <w:rsid w:val="00F576C4"/>
    <w:rsid w:val="00F609CF"/>
    <w:rsid w:val="00F61423"/>
    <w:rsid w:val="00F614A5"/>
    <w:rsid w:val="00F6198D"/>
    <w:rsid w:val="00F62296"/>
    <w:rsid w:val="00F62690"/>
    <w:rsid w:val="00F62CD9"/>
    <w:rsid w:val="00F63EEC"/>
    <w:rsid w:val="00F6523A"/>
    <w:rsid w:val="00F6571C"/>
    <w:rsid w:val="00F672B8"/>
    <w:rsid w:val="00F67710"/>
    <w:rsid w:val="00F700E7"/>
    <w:rsid w:val="00F729B6"/>
    <w:rsid w:val="00F732FF"/>
    <w:rsid w:val="00F73BDF"/>
    <w:rsid w:val="00F743CC"/>
    <w:rsid w:val="00F75804"/>
    <w:rsid w:val="00F760FF"/>
    <w:rsid w:val="00F766CE"/>
    <w:rsid w:val="00F76EC5"/>
    <w:rsid w:val="00F778E0"/>
    <w:rsid w:val="00F8017A"/>
    <w:rsid w:val="00F8190B"/>
    <w:rsid w:val="00F81C7B"/>
    <w:rsid w:val="00F81D31"/>
    <w:rsid w:val="00F82FA8"/>
    <w:rsid w:val="00F83178"/>
    <w:rsid w:val="00F83476"/>
    <w:rsid w:val="00F85524"/>
    <w:rsid w:val="00F85D66"/>
    <w:rsid w:val="00F86C77"/>
    <w:rsid w:val="00F87258"/>
    <w:rsid w:val="00F876E4"/>
    <w:rsid w:val="00F9014B"/>
    <w:rsid w:val="00F90580"/>
    <w:rsid w:val="00F908CA"/>
    <w:rsid w:val="00F91689"/>
    <w:rsid w:val="00F941FE"/>
    <w:rsid w:val="00F943A0"/>
    <w:rsid w:val="00F95FB0"/>
    <w:rsid w:val="00FA027E"/>
    <w:rsid w:val="00FA1255"/>
    <w:rsid w:val="00FA4032"/>
    <w:rsid w:val="00FA41D3"/>
    <w:rsid w:val="00FA5838"/>
    <w:rsid w:val="00FA5DC7"/>
    <w:rsid w:val="00FA7EED"/>
    <w:rsid w:val="00FB1060"/>
    <w:rsid w:val="00FB1364"/>
    <w:rsid w:val="00FB35E6"/>
    <w:rsid w:val="00FB44A6"/>
    <w:rsid w:val="00FB4B54"/>
    <w:rsid w:val="00FB5206"/>
    <w:rsid w:val="00FB5E10"/>
    <w:rsid w:val="00FB622C"/>
    <w:rsid w:val="00FB674D"/>
    <w:rsid w:val="00FB75FF"/>
    <w:rsid w:val="00FC4FE4"/>
    <w:rsid w:val="00FC5826"/>
    <w:rsid w:val="00FC6DF5"/>
    <w:rsid w:val="00FC709D"/>
    <w:rsid w:val="00FD4DD9"/>
    <w:rsid w:val="00FD50B8"/>
    <w:rsid w:val="00FD58DE"/>
    <w:rsid w:val="00FD5CAA"/>
    <w:rsid w:val="00FD7EA4"/>
    <w:rsid w:val="00FE0BDE"/>
    <w:rsid w:val="00FE2EB3"/>
    <w:rsid w:val="00FE36F0"/>
    <w:rsid w:val="00FE39B0"/>
    <w:rsid w:val="00FE3F46"/>
    <w:rsid w:val="00FE4146"/>
    <w:rsid w:val="00FE527D"/>
    <w:rsid w:val="00FE52A1"/>
    <w:rsid w:val="00FE5A31"/>
    <w:rsid w:val="00FE6ECF"/>
    <w:rsid w:val="00FF0000"/>
    <w:rsid w:val="00FF1817"/>
    <w:rsid w:val="00FF2EF1"/>
    <w:rsid w:val="00FF300C"/>
    <w:rsid w:val="00FF44B3"/>
    <w:rsid w:val="00FF46F6"/>
    <w:rsid w:val="00FF5093"/>
    <w:rsid w:val="00FF566F"/>
    <w:rsid w:val="00FF59EE"/>
    <w:rsid w:val="00FF5F09"/>
    <w:rsid w:val="00FF6F7C"/>
    <w:rsid w:val="00FF7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092A34"/>
    <w:pPr>
      <w:spacing w:after="200" w:line="276" w:lineRule="auto"/>
    </w:pPr>
    <w:rPr>
      <w:sz w:val="24"/>
      <w:szCs w:val="24"/>
      <w:lang w:eastAsia="en-US"/>
    </w:rPr>
  </w:style>
  <w:style w:type="paragraph" w:styleId="Antrat1">
    <w:name w:val="heading 1"/>
    <w:basedOn w:val="prastasis"/>
    <w:next w:val="prastasis"/>
    <w:link w:val="Antrat1Diagrama"/>
    <w:uiPriority w:val="99"/>
    <w:qFormat/>
    <w:rsid w:val="00B44EC4"/>
    <w:pPr>
      <w:keepNext/>
      <w:keepLines/>
      <w:spacing w:before="480" w:after="0" w:line="240" w:lineRule="auto"/>
      <w:ind w:firstLine="851"/>
      <w:jc w:val="both"/>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9"/>
    <w:qFormat/>
    <w:rsid w:val="00B44EC4"/>
    <w:pPr>
      <w:keepNext/>
      <w:keepLines/>
      <w:spacing w:before="200" w:after="0" w:line="240" w:lineRule="auto"/>
      <w:ind w:firstLine="851"/>
      <w:jc w:val="both"/>
      <w:outlineLvl w:val="1"/>
    </w:pPr>
    <w:rPr>
      <w:rFonts w:ascii="Cambria" w:eastAsia="Times New Roman" w:hAnsi="Cambria"/>
      <w:b/>
      <w:bCs/>
      <w:color w:val="4F81BD"/>
      <w:sz w:val="26"/>
      <w:szCs w:val="26"/>
    </w:rPr>
  </w:style>
  <w:style w:type="paragraph" w:styleId="Antrat5">
    <w:name w:val="heading 5"/>
    <w:basedOn w:val="prastasis"/>
    <w:next w:val="prastasis"/>
    <w:link w:val="Antrat5Diagrama"/>
    <w:uiPriority w:val="99"/>
    <w:qFormat/>
    <w:rsid w:val="00B44EC4"/>
    <w:pPr>
      <w:spacing w:before="240" w:after="60" w:line="240" w:lineRule="auto"/>
      <w:ind w:firstLine="851"/>
      <w:jc w:val="both"/>
      <w:outlineLvl w:val="4"/>
    </w:pPr>
    <w:rPr>
      <w:rFonts w:ascii="Calibri" w:eastAsia="Times New Roman" w:hAnsi="Calibri"/>
      <w:b/>
      <w:bCs/>
      <w:i/>
      <w:iCs/>
      <w:sz w:val="26"/>
      <w:szCs w:val="26"/>
    </w:rPr>
  </w:style>
  <w:style w:type="paragraph" w:styleId="Antrat7">
    <w:name w:val="heading 7"/>
    <w:basedOn w:val="prastasis"/>
    <w:next w:val="prastasis"/>
    <w:link w:val="Antrat7Diagrama"/>
    <w:uiPriority w:val="99"/>
    <w:qFormat/>
    <w:rsid w:val="00B44EC4"/>
    <w:pPr>
      <w:spacing w:before="240" w:after="60" w:line="240" w:lineRule="auto"/>
      <w:ind w:firstLine="851"/>
      <w:jc w:val="both"/>
      <w:outlineLvl w:val="6"/>
    </w:pPr>
    <w:rPr>
      <w:rFonts w:ascii="Calibri" w:eastAsia="Times New Roman"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4EC4"/>
    <w:rPr>
      <w:rFonts w:ascii="Cambria" w:hAnsi="Cambria" w:cs="Times New Roman"/>
      <w:b/>
      <w:bCs/>
      <w:color w:val="365F91"/>
      <w:sz w:val="28"/>
      <w:szCs w:val="28"/>
    </w:rPr>
  </w:style>
  <w:style w:type="character" w:customStyle="1" w:styleId="Antrat2Diagrama">
    <w:name w:val="Antraštė 2 Diagrama"/>
    <w:basedOn w:val="Numatytasispastraiposriftas"/>
    <w:link w:val="Antrat2"/>
    <w:uiPriority w:val="99"/>
    <w:semiHidden/>
    <w:locked/>
    <w:rsid w:val="00B44EC4"/>
    <w:rPr>
      <w:rFonts w:ascii="Cambria" w:hAnsi="Cambria" w:cs="Times New Roman"/>
      <w:b/>
      <w:bCs/>
      <w:color w:val="4F81BD"/>
      <w:sz w:val="26"/>
      <w:szCs w:val="26"/>
    </w:rPr>
  </w:style>
  <w:style w:type="character" w:customStyle="1" w:styleId="Antrat5Diagrama">
    <w:name w:val="Antraštė 5 Diagrama"/>
    <w:basedOn w:val="Numatytasispastraiposriftas"/>
    <w:link w:val="Antrat5"/>
    <w:uiPriority w:val="99"/>
    <w:semiHidden/>
    <w:locked/>
    <w:rsid w:val="00B44EC4"/>
    <w:rPr>
      <w:rFonts w:ascii="Calibri" w:hAnsi="Calibri" w:cs="Times New Roman"/>
      <w:b/>
      <w:bCs/>
      <w:i/>
      <w:iCs/>
      <w:sz w:val="26"/>
      <w:szCs w:val="26"/>
    </w:rPr>
  </w:style>
  <w:style w:type="character" w:customStyle="1" w:styleId="Antrat7Diagrama">
    <w:name w:val="Antraštė 7 Diagrama"/>
    <w:basedOn w:val="Numatytasispastraiposriftas"/>
    <w:link w:val="Antrat7"/>
    <w:uiPriority w:val="99"/>
    <w:semiHidden/>
    <w:locked/>
    <w:rsid w:val="00B44EC4"/>
    <w:rPr>
      <w:rFonts w:ascii="Calibri" w:hAnsi="Calibri" w:cs="Times New Roman"/>
    </w:rPr>
  </w:style>
  <w:style w:type="paragraph" w:styleId="Betarp">
    <w:name w:val="No Spacing"/>
    <w:uiPriority w:val="99"/>
    <w:qFormat/>
    <w:rsid w:val="002035FB"/>
    <w:pPr>
      <w:ind w:firstLine="851"/>
      <w:jc w:val="both"/>
    </w:pPr>
    <w:rPr>
      <w:sz w:val="24"/>
      <w:szCs w:val="24"/>
      <w:lang w:eastAsia="en-US"/>
    </w:rPr>
  </w:style>
  <w:style w:type="paragraph" w:styleId="Puslapioinaostekstas">
    <w:name w:val="footnote text"/>
    <w:basedOn w:val="prastasis"/>
    <w:link w:val="PuslapioinaostekstasDiagrama"/>
    <w:uiPriority w:val="99"/>
    <w:semiHidden/>
    <w:rsid w:val="002035FB"/>
    <w:pPr>
      <w:spacing w:after="0" w:line="240" w:lineRule="auto"/>
      <w:ind w:firstLine="851"/>
      <w:jc w:val="both"/>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2035FB"/>
    <w:rPr>
      <w:rFonts w:cs="Times New Roman"/>
      <w:sz w:val="20"/>
      <w:szCs w:val="20"/>
    </w:rPr>
  </w:style>
  <w:style w:type="character" w:styleId="Puslapioinaosnuoroda">
    <w:name w:val="footnote reference"/>
    <w:basedOn w:val="Numatytasispastraiposriftas"/>
    <w:uiPriority w:val="99"/>
    <w:semiHidden/>
    <w:rsid w:val="002035FB"/>
    <w:rPr>
      <w:rFonts w:cs="Times New Roman"/>
      <w:vertAlign w:val="superscript"/>
    </w:rPr>
  </w:style>
  <w:style w:type="character" w:styleId="Hipersaitas">
    <w:name w:val="Hyperlink"/>
    <w:basedOn w:val="Numatytasispastraiposriftas"/>
    <w:uiPriority w:val="99"/>
    <w:rsid w:val="002035FB"/>
    <w:rPr>
      <w:rFonts w:cs="Times New Roman"/>
      <w:color w:val="0000FF"/>
      <w:u w:val="single"/>
    </w:rPr>
  </w:style>
  <w:style w:type="character" w:styleId="Perirtashipersaitas">
    <w:name w:val="FollowedHyperlink"/>
    <w:basedOn w:val="Numatytasispastraiposriftas"/>
    <w:uiPriority w:val="99"/>
    <w:semiHidden/>
    <w:rsid w:val="002035FB"/>
    <w:rPr>
      <w:rFonts w:cs="Times New Roman"/>
      <w:color w:val="800080"/>
      <w:u w:val="single"/>
    </w:rPr>
  </w:style>
  <w:style w:type="character" w:styleId="Vietosrezervavimoenklotekstas">
    <w:name w:val="Placeholder Text"/>
    <w:basedOn w:val="Numatytasispastraiposriftas"/>
    <w:uiPriority w:val="99"/>
    <w:semiHidden/>
    <w:rsid w:val="008E38A4"/>
    <w:rPr>
      <w:rFonts w:cs="Times New Roman"/>
      <w:color w:val="808080"/>
    </w:rPr>
  </w:style>
  <w:style w:type="paragraph" w:styleId="Debesliotekstas">
    <w:name w:val="Balloon Text"/>
    <w:basedOn w:val="prastasis"/>
    <w:link w:val="DebesliotekstasDiagrama"/>
    <w:uiPriority w:val="99"/>
    <w:semiHidden/>
    <w:rsid w:val="008E38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E38A4"/>
    <w:rPr>
      <w:rFonts w:ascii="Tahoma" w:hAnsi="Tahoma" w:cs="Tahoma"/>
      <w:sz w:val="16"/>
      <w:szCs w:val="16"/>
    </w:rPr>
  </w:style>
  <w:style w:type="paragraph" w:customStyle="1" w:styleId="Default">
    <w:name w:val="Default"/>
    <w:uiPriority w:val="99"/>
    <w:rsid w:val="008E38A4"/>
    <w:pPr>
      <w:autoSpaceDE w:val="0"/>
      <w:autoSpaceDN w:val="0"/>
      <w:adjustRightInd w:val="0"/>
    </w:pPr>
    <w:rPr>
      <w:color w:val="000000"/>
      <w:sz w:val="24"/>
      <w:szCs w:val="24"/>
      <w:lang w:eastAsia="en-US"/>
    </w:rPr>
  </w:style>
  <w:style w:type="character" w:customStyle="1" w:styleId="A0">
    <w:name w:val="A0"/>
    <w:uiPriority w:val="99"/>
    <w:rsid w:val="00E62587"/>
    <w:rPr>
      <w:color w:val="000000"/>
      <w:sz w:val="15"/>
    </w:rPr>
  </w:style>
  <w:style w:type="paragraph" w:styleId="Antrats">
    <w:name w:val="header"/>
    <w:basedOn w:val="prastasis"/>
    <w:link w:val="AntratsDiagrama"/>
    <w:uiPriority w:val="99"/>
    <w:rsid w:val="00C11C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C11C10"/>
    <w:rPr>
      <w:rFonts w:cs="Times New Roman"/>
    </w:rPr>
  </w:style>
  <w:style w:type="paragraph" w:styleId="Porat">
    <w:name w:val="footer"/>
    <w:basedOn w:val="prastasis"/>
    <w:link w:val="PoratDiagrama"/>
    <w:uiPriority w:val="99"/>
    <w:rsid w:val="00C11C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C11C10"/>
    <w:rPr>
      <w:rFonts w:cs="Times New Roman"/>
    </w:rPr>
  </w:style>
  <w:style w:type="paragraph" w:styleId="Turinys3">
    <w:name w:val="toc 3"/>
    <w:basedOn w:val="prastasis"/>
    <w:next w:val="prastasis"/>
    <w:autoRedefine/>
    <w:uiPriority w:val="99"/>
    <w:rsid w:val="002B75AF"/>
    <w:pPr>
      <w:spacing w:after="100" w:line="360" w:lineRule="auto"/>
      <w:ind w:left="284"/>
    </w:pPr>
    <w:rPr>
      <w:rFonts w:ascii="Calibri" w:eastAsia="Times New Roman" w:hAnsi="Calibri"/>
      <w:sz w:val="22"/>
      <w:szCs w:val="22"/>
      <w:lang w:eastAsia="lt-LT"/>
    </w:rPr>
  </w:style>
  <w:style w:type="paragraph" w:styleId="Dokumentoinaostekstas">
    <w:name w:val="endnote text"/>
    <w:basedOn w:val="prastasis"/>
    <w:link w:val="DokumentoinaostekstasDiagrama"/>
    <w:uiPriority w:val="99"/>
    <w:semiHidden/>
    <w:rsid w:val="00B44EC4"/>
    <w:pPr>
      <w:spacing w:after="0" w:line="240" w:lineRule="auto"/>
      <w:ind w:firstLine="851"/>
      <w:jc w:val="both"/>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B44EC4"/>
    <w:rPr>
      <w:rFonts w:eastAsia="Times New Roman" w:cs="Times New Roman"/>
      <w:sz w:val="20"/>
      <w:szCs w:val="20"/>
    </w:rPr>
  </w:style>
  <w:style w:type="character" w:styleId="Dokumentoinaosnumeris">
    <w:name w:val="endnote reference"/>
    <w:basedOn w:val="Numatytasispastraiposriftas"/>
    <w:uiPriority w:val="99"/>
    <w:semiHidden/>
    <w:rsid w:val="00B44EC4"/>
    <w:rPr>
      <w:rFonts w:cs="Times New Roman"/>
      <w:vertAlign w:val="superscript"/>
    </w:rPr>
  </w:style>
  <w:style w:type="paragraph" w:styleId="Sraopastraipa">
    <w:name w:val="List Paragraph"/>
    <w:basedOn w:val="prastasis"/>
    <w:uiPriority w:val="99"/>
    <w:qFormat/>
    <w:rsid w:val="00B44EC4"/>
    <w:pPr>
      <w:spacing w:after="0" w:line="240" w:lineRule="auto"/>
      <w:ind w:left="720" w:firstLine="851"/>
      <w:contextualSpacing/>
      <w:jc w:val="both"/>
    </w:pPr>
  </w:style>
  <w:style w:type="paragraph" w:customStyle="1" w:styleId="Pa8">
    <w:name w:val="Pa8"/>
    <w:basedOn w:val="Default"/>
    <w:next w:val="Default"/>
    <w:uiPriority w:val="99"/>
    <w:rsid w:val="00B44EC4"/>
    <w:pPr>
      <w:spacing w:line="217" w:lineRule="atLeast"/>
      <w:ind w:firstLine="851"/>
      <w:jc w:val="both"/>
    </w:pPr>
    <w:rPr>
      <w:color w:val="auto"/>
    </w:rPr>
  </w:style>
  <w:style w:type="character" w:customStyle="1" w:styleId="A11">
    <w:name w:val="A11"/>
    <w:uiPriority w:val="99"/>
    <w:rsid w:val="00B44EC4"/>
    <w:rPr>
      <w:color w:val="000000"/>
      <w:sz w:val="12"/>
    </w:rPr>
  </w:style>
  <w:style w:type="paragraph" w:customStyle="1" w:styleId="Pa11">
    <w:name w:val="Pa11"/>
    <w:basedOn w:val="Default"/>
    <w:next w:val="Default"/>
    <w:uiPriority w:val="99"/>
    <w:rsid w:val="00B44EC4"/>
    <w:pPr>
      <w:spacing w:line="167" w:lineRule="atLeast"/>
      <w:ind w:firstLine="851"/>
      <w:jc w:val="both"/>
    </w:pPr>
    <w:rPr>
      <w:color w:val="auto"/>
    </w:rPr>
  </w:style>
  <w:style w:type="character" w:customStyle="1" w:styleId="A10">
    <w:name w:val="A10"/>
    <w:uiPriority w:val="99"/>
    <w:rsid w:val="00B44EC4"/>
    <w:rPr>
      <w:color w:val="000000"/>
      <w:sz w:val="21"/>
    </w:rPr>
  </w:style>
  <w:style w:type="paragraph" w:styleId="Pagrindinistekstas">
    <w:name w:val="Body Text"/>
    <w:basedOn w:val="prastasis"/>
    <w:link w:val="PagrindinistekstasDiagrama"/>
    <w:uiPriority w:val="99"/>
    <w:rsid w:val="00B44EC4"/>
    <w:pPr>
      <w:spacing w:after="120" w:line="240" w:lineRule="auto"/>
      <w:ind w:firstLine="851"/>
      <w:jc w:val="both"/>
    </w:pPr>
  </w:style>
  <w:style w:type="character" w:customStyle="1" w:styleId="PagrindinistekstasDiagrama">
    <w:name w:val="Pagrindinis tekstas Diagrama"/>
    <w:basedOn w:val="Numatytasispastraiposriftas"/>
    <w:link w:val="Pagrindinistekstas"/>
    <w:uiPriority w:val="99"/>
    <w:locked/>
    <w:rsid w:val="00B44EC4"/>
    <w:rPr>
      <w:rFonts w:eastAsia="Times New Roman" w:cs="Times New Roman"/>
    </w:rPr>
  </w:style>
  <w:style w:type="character" w:styleId="Komentaronuoroda">
    <w:name w:val="annotation reference"/>
    <w:basedOn w:val="Numatytasispastraiposriftas"/>
    <w:uiPriority w:val="99"/>
    <w:semiHidden/>
    <w:rsid w:val="00B44EC4"/>
    <w:rPr>
      <w:rFonts w:cs="Times New Roman"/>
      <w:sz w:val="16"/>
    </w:rPr>
  </w:style>
  <w:style w:type="paragraph" w:styleId="Komentarotekstas">
    <w:name w:val="annotation text"/>
    <w:basedOn w:val="prastasis"/>
    <w:link w:val="KomentarotekstasDiagrama"/>
    <w:uiPriority w:val="99"/>
    <w:rsid w:val="00B44EC4"/>
    <w:pPr>
      <w:spacing w:after="0" w:line="240" w:lineRule="auto"/>
      <w:ind w:firstLine="851"/>
      <w:jc w:val="both"/>
    </w:pPr>
    <w:rPr>
      <w:sz w:val="20"/>
      <w:szCs w:val="20"/>
    </w:rPr>
  </w:style>
  <w:style w:type="character" w:customStyle="1" w:styleId="KomentarotekstasDiagrama">
    <w:name w:val="Komentaro tekstas Diagrama"/>
    <w:basedOn w:val="Numatytasispastraiposriftas"/>
    <w:link w:val="Komentarotekstas"/>
    <w:uiPriority w:val="99"/>
    <w:locked/>
    <w:rsid w:val="00B44EC4"/>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rsid w:val="00B44EC4"/>
    <w:rPr>
      <w:b/>
      <w:bCs/>
    </w:rPr>
  </w:style>
  <w:style w:type="character" w:customStyle="1" w:styleId="KomentarotemaDiagrama">
    <w:name w:val="Komentaro tema Diagrama"/>
    <w:basedOn w:val="KomentarotekstasDiagrama"/>
    <w:link w:val="Komentarotema"/>
    <w:uiPriority w:val="99"/>
    <w:semiHidden/>
    <w:locked/>
    <w:rsid w:val="00B44EC4"/>
    <w:rPr>
      <w:rFonts w:eastAsia="Times New Roman" w:cs="Times New Roman"/>
      <w:b/>
      <w:bCs/>
      <w:sz w:val="20"/>
      <w:szCs w:val="20"/>
    </w:rPr>
  </w:style>
  <w:style w:type="paragraph" w:styleId="Turinioantrat">
    <w:name w:val="TOC Heading"/>
    <w:basedOn w:val="Antrat1"/>
    <w:next w:val="prastasis"/>
    <w:uiPriority w:val="99"/>
    <w:qFormat/>
    <w:rsid w:val="00B44EC4"/>
    <w:pPr>
      <w:spacing w:line="276" w:lineRule="auto"/>
      <w:ind w:firstLine="0"/>
      <w:jc w:val="left"/>
      <w:outlineLvl w:val="9"/>
    </w:pPr>
    <w:rPr>
      <w:lang w:eastAsia="lt-LT"/>
    </w:rPr>
  </w:style>
  <w:style w:type="paragraph" w:styleId="Turinys2">
    <w:name w:val="toc 2"/>
    <w:basedOn w:val="prastasis"/>
    <w:next w:val="prastasis"/>
    <w:autoRedefine/>
    <w:uiPriority w:val="99"/>
    <w:rsid w:val="00B44EC4"/>
    <w:pPr>
      <w:spacing w:after="100"/>
      <w:ind w:left="220"/>
    </w:pPr>
    <w:rPr>
      <w:rFonts w:ascii="Calibri" w:eastAsia="Times New Roman" w:hAnsi="Calibri"/>
      <w:sz w:val="22"/>
      <w:szCs w:val="22"/>
      <w:lang w:eastAsia="lt-LT"/>
    </w:rPr>
  </w:style>
  <w:style w:type="paragraph" w:styleId="Turinys1">
    <w:name w:val="toc 1"/>
    <w:basedOn w:val="prastasis"/>
    <w:next w:val="prastasis"/>
    <w:autoRedefine/>
    <w:uiPriority w:val="99"/>
    <w:rsid w:val="00B44EC4"/>
    <w:pPr>
      <w:spacing w:after="100" w:line="360" w:lineRule="auto"/>
    </w:pPr>
    <w:rPr>
      <w:rFonts w:eastAsia="Times New Roman"/>
      <w:bCs/>
      <w:lang w:eastAsia="lt-LT"/>
    </w:rPr>
  </w:style>
  <w:style w:type="paragraph" w:customStyle="1" w:styleId="statymopavad">
    <w:name w:val="statymopavad"/>
    <w:basedOn w:val="prastasis"/>
    <w:uiPriority w:val="99"/>
    <w:rsid w:val="00B44EC4"/>
    <w:pPr>
      <w:spacing w:before="100" w:beforeAutospacing="1" w:after="100" w:afterAutospacing="1" w:line="240" w:lineRule="auto"/>
    </w:pPr>
    <w:rPr>
      <w:rFonts w:eastAsia="Times New Roman"/>
      <w:lang w:eastAsia="lt-LT"/>
    </w:rPr>
  </w:style>
  <w:style w:type="paragraph" w:styleId="Pagrindinistekstas3">
    <w:name w:val="Body Text 3"/>
    <w:basedOn w:val="prastasis"/>
    <w:link w:val="Pagrindinistekstas3Diagrama"/>
    <w:uiPriority w:val="99"/>
    <w:semiHidden/>
    <w:rsid w:val="00B44EC4"/>
    <w:pPr>
      <w:spacing w:after="120" w:line="240" w:lineRule="auto"/>
      <w:ind w:firstLine="851"/>
      <w:jc w:val="both"/>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B44EC4"/>
    <w:rPr>
      <w:rFonts w:eastAsia="Times New Roman" w:cs="Times New Roman"/>
      <w:sz w:val="16"/>
      <w:szCs w:val="16"/>
    </w:rPr>
  </w:style>
  <w:style w:type="character" w:styleId="Grietas">
    <w:name w:val="Strong"/>
    <w:basedOn w:val="Numatytasispastraiposriftas"/>
    <w:uiPriority w:val="99"/>
    <w:qFormat/>
    <w:rsid w:val="00B44EC4"/>
    <w:rPr>
      <w:rFonts w:cs="Times New Roman"/>
      <w:b/>
    </w:rPr>
  </w:style>
  <w:style w:type="character" w:customStyle="1" w:styleId="CODE">
    <w:name w:val="CODE"/>
    <w:uiPriority w:val="99"/>
    <w:rsid w:val="00B44EC4"/>
    <w:rPr>
      <w:rFonts w:ascii="Courier New" w:hAnsi="Courier New"/>
      <w:sz w:val="20"/>
    </w:rPr>
  </w:style>
  <w:style w:type="character" w:customStyle="1" w:styleId="def">
    <w:name w:val="def"/>
    <w:basedOn w:val="Numatytasispastraiposriftas"/>
    <w:uiPriority w:val="99"/>
    <w:rsid w:val="00B44EC4"/>
    <w:rPr>
      <w:rFonts w:cs="Times New Roman"/>
    </w:rPr>
  </w:style>
  <w:style w:type="paragraph" w:styleId="prastasistinklapis">
    <w:name w:val="Normal (Web)"/>
    <w:basedOn w:val="prastasis"/>
    <w:uiPriority w:val="99"/>
    <w:semiHidden/>
    <w:rsid w:val="00B44EC4"/>
    <w:pPr>
      <w:spacing w:before="100" w:beforeAutospacing="1" w:after="100" w:afterAutospacing="1" w:line="240" w:lineRule="auto"/>
    </w:pPr>
    <w:rPr>
      <w:rFonts w:eastAsia="Times New Roman"/>
      <w:lang w:eastAsia="lt-LT"/>
    </w:rPr>
  </w:style>
  <w:style w:type="paragraph" w:customStyle="1" w:styleId="Num-DocParagraph">
    <w:name w:val="Num-Doc Paragraph"/>
    <w:basedOn w:val="Default"/>
    <w:next w:val="Default"/>
    <w:uiPriority w:val="99"/>
    <w:rsid w:val="00B44EC4"/>
    <w:rPr>
      <w:rFonts w:ascii="HIFCED+TimesNewRoman,Bold" w:hAnsi="HIFCED+TimesNewRoman,Bold"/>
      <w:color w:val="auto"/>
    </w:rPr>
  </w:style>
  <w:style w:type="paragraph" w:styleId="Pataisymai">
    <w:name w:val="Revision"/>
    <w:hidden/>
    <w:uiPriority w:val="99"/>
    <w:semiHidden/>
    <w:rsid w:val="00B44EC4"/>
    <w:rPr>
      <w:sz w:val="24"/>
      <w:szCs w:val="24"/>
      <w:lang w:eastAsia="en-US"/>
    </w:rPr>
  </w:style>
  <w:style w:type="paragraph" w:styleId="Pagrindiniotekstotrauka">
    <w:name w:val="Body Text Indent"/>
    <w:basedOn w:val="prastasis"/>
    <w:link w:val="PagrindiniotekstotraukaDiagrama"/>
    <w:uiPriority w:val="99"/>
    <w:semiHidden/>
    <w:rsid w:val="00B44EC4"/>
    <w:pPr>
      <w:spacing w:after="120" w:line="240" w:lineRule="auto"/>
      <w:ind w:left="283" w:firstLine="851"/>
      <w:jc w:val="both"/>
    </w:pPr>
  </w:style>
  <w:style w:type="character" w:customStyle="1" w:styleId="PagrindiniotekstotraukaDiagrama">
    <w:name w:val="Pagrindinio teksto įtrauka Diagrama"/>
    <w:basedOn w:val="Numatytasispastraiposriftas"/>
    <w:link w:val="Pagrindiniotekstotrauka"/>
    <w:uiPriority w:val="99"/>
    <w:semiHidden/>
    <w:locked/>
    <w:rsid w:val="00B44EC4"/>
    <w:rPr>
      <w:rFonts w:eastAsia="Times New Roman" w:cs="Times New Roman"/>
    </w:rPr>
  </w:style>
  <w:style w:type="character" w:customStyle="1" w:styleId="ddat">
    <w:name w:val="ddat"/>
    <w:uiPriority w:val="99"/>
    <w:rsid w:val="00B44EC4"/>
  </w:style>
  <w:style w:type="character" w:customStyle="1" w:styleId="hps">
    <w:name w:val="hps"/>
    <w:basedOn w:val="Numatytasispastraiposriftas"/>
    <w:uiPriority w:val="99"/>
    <w:rsid w:val="00DA40AB"/>
    <w:rPr>
      <w:rFonts w:cs="Times New Roman"/>
    </w:rPr>
  </w:style>
  <w:style w:type="character" w:customStyle="1" w:styleId="atn">
    <w:name w:val="atn"/>
    <w:basedOn w:val="Numatytasispastraiposriftas"/>
    <w:uiPriority w:val="99"/>
    <w:rsid w:val="00E95826"/>
    <w:rPr>
      <w:rFonts w:cs="Times New Roman"/>
    </w:rPr>
  </w:style>
  <w:style w:type="table" w:styleId="Lentelstinklelis">
    <w:name w:val="Table Grid"/>
    <w:basedOn w:val="prastojilentel"/>
    <w:uiPriority w:val="99"/>
    <w:rsid w:val="002354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uiPriority w:val="20"/>
    <w:qFormat/>
    <w:locked/>
    <w:rsid w:val="002160E3"/>
    <w:rPr>
      <w:i/>
      <w:iCs/>
    </w:rPr>
  </w:style>
  <w:style w:type="character" w:styleId="HTMLcitata">
    <w:name w:val="HTML Cite"/>
    <w:basedOn w:val="Numatytasispastraiposriftas"/>
    <w:uiPriority w:val="99"/>
    <w:semiHidden/>
    <w:unhideWhenUsed/>
    <w:rsid w:val="003161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092A34"/>
    <w:pPr>
      <w:spacing w:after="200" w:line="276" w:lineRule="auto"/>
    </w:pPr>
    <w:rPr>
      <w:sz w:val="24"/>
      <w:szCs w:val="24"/>
      <w:lang w:eastAsia="en-US"/>
    </w:rPr>
  </w:style>
  <w:style w:type="paragraph" w:styleId="Antrat1">
    <w:name w:val="heading 1"/>
    <w:basedOn w:val="prastasis"/>
    <w:next w:val="prastasis"/>
    <w:link w:val="Antrat1Diagrama"/>
    <w:uiPriority w:val="99"/>
    <w:qFormat/>
    <w:rsid w:val="00B44EC4"/>
    <w:pPr>
      <w:keepNext/>
      <w:keepLines/>
      <w:spacing w:before="480" w:after="0" w:line="240" w:lineRule="auto"/>
      <w:ind w:firstLine="851"/>
      <w:jc w:val="both"/>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9"/>
    <w:qFormat/>
    <w:rsid w:val="00B44EC4"/>
    <w:pPr>
      <w:keepNext/>
      <w:keepLines/>
      <w:spacing w:before="200" w:after="0" w:line="240" w:lineRule="auto"/>
      <w:ind w:firstLine="851"/>
      <w:jc w:val="both"/>
      <w:outlineLvl w:val="1"/>
    </w:pPr>
    <w:rPr>
      <w:rFonts w:ascii="Cambria" w:eastAsia="Times New Roman" w:hAnsi="Cambria"/>
      <w:b/>
      <w:bCs/>
      <w:color w:val="4F81BD"/>
      <w:sz w:val="26"/>
      <w:szCs w:val="26"/>
    </w:rPr>
  </w:style>
  <w:style w:type="paragraph" w:styleId="Antrat5">
    <w:name w:val="heading 5"/>
    <w:basedOn w:val="prastasis"/>
    <w:next w:val="prastasis"/>
    <w:link w:val="Antrat5Diagrama"/>
    <w:uiPriority w:val="99"/>
    <w:qFormat/>
    <w:rsid w:val="00B44EC4"/>
    <w:pPr>
      <w:spacing w:before="240" w:after="60" w:line="240" w:lineRule="auto"/>
      <w:ind w:firstLine="851"/>
      <w:jc w:val="both"/>
      <w:outlineLvl w:val="4"/>
    </w:pPr>
    <w:rPr>
      <w:rFonts w:ascii="Calibri" w:eastAsia="Times New Roman" w:hAnsi="Calibri"/>
      <w:b/>
      <w:bCs/>
      <w:i/>
      <w:iCs/>
      <w:sz w:val="26"/>
      <w:szCs w:val="26"/>
    </w:rPr>
  </w:style>
  <w:style w:type="paragraph" w:styleId="Antrat7">
    <w:name w:val="heading 7"/>
    <w:basedOn w:val="prastasis"/>
    <w:next w:val="prastasis"/>
    <w:link w:val="Antrat7Diagrama"/>
    <w:uiPriority w:val="99"/>
    <w:qFormat/>
    <w:rsid w:val="00B44EC4"/>
    <w:pPr>
      <w:spacing w:before="240" w:after="60" w:line="240" w:lineRule="auto"/>
      <w:ind w:firstLine="851"/>
      <w:jc w:val="both"/>
      <w:outlineLvl w:val="6"/>
    </w:pPr>
    <w:rPr>
      <w:rFonts w:ascii="Calibri" w:eastAsia="Times New Roman"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4EC4"/>
    <w:rPr>
      <w:rFonts w:ascii="Cambria" w:hAnsi="Cambria" w:cs="Times New Roman"/>
      <w:b/>
      <w:bCs/>
      <w:color w:val="365F91"/>
      <w:sz w:val="28"/>
      <w:szCs w:val="28"/>
    </w:rPr>
  </w:style>
  <w:style w:type="character" w:customStyle="1" w:styleId="Antrat2Diagrama">
    <w:name w:val="Antraštė 2 Diagrama"/>
    <w:basedOn w:val="Numatytasispastraiposriftas"/>
    <w:link w:val="Antrat2"/>
    <w:uiPriority w:val="99"/>
    <w:semiHidden/>
    <w:locked/>
    <w:rsid w:val="00B44EC4"/>
    <w:rPr>
      <w:rFonts w:ascii="Cambria" w:hAnsi="Cambria" w:cs="Times New Roman"/>
      <w:b/>
      <w:bCs/>
      <w:color w:val="4F81BD"/>
      <w:sz w:val="26"/>
      <w:szCs w:val="26"/>
    </w:rPr>
  </w:style>
  <w:style w:type="character" w:customStyle="1" w:styleId="Antrat5Diagrama">
    <w:name w:val="Antraštė 5 Diagrama"/>
    <w:basedOn w:val="Numatytasispastraiposriftas"/>
    <w:link w:val="Antrat5"/>
    <w:uiPriority w:val="99"/>
    <w:semiHidden/>
    <w:locked/>
    <w:rsid w:val="00B44EC4"/>
    <w:rPr>
      <w:rFonts w:ascii="Calibri" w:hAnsi="Calibri" w:cs="Times New Roman"/>
      <w:b/>
      <w:bCs/>
      <w:i/>
      <w:iCs/>
      <w:sz w:val="26"/>
      <w:szCs w:val="26"/>
    </w:rPr>
  </w:style>
  <w:style w:type="character" w:customStyle="1" w:styleId="Antrat7Diagrama">
    <w:name w:val="Antraštė 7 Diagrama"/>
    <w:basedOn w:val="Numatytasispastraiposriftas"/>
    <w:link w:val="Antrat7"/>
    <w:uiPriority w:val="99"/>
    <w:semiHidden/>
    <w:locked/>
    <w:rsid w:val="00B44EC4"/>
    <w:rPr>
      <w:rFonts w:ascii="Calibri" w:hAnsi="Calibri" w:cs="Times New Roman"/>
    </w:rPr>
  </w:style>
  <w:style w:type="paragraph" w:styleId="Betarp">
    <w:name w:val="No Spacing"/>
    <w:uiPriority w:val="99"/>
    <w:qFormat/>
    <w:rsid w:val="002035FB"/>
    <w:pPr>
      <w:ind w:firstLine="851"/>
      <w:jc w:val="both"/>
    </w:pPr>
    <w:rPr>
      <w:sz w:val="24"/>
      <w:szCs w:val="24"/>
      <w:lang w:eastAsia="en-US"/>
    </w:rPr>
  </w:style>
  <w:style w:type="paragraph" w:styleId="Puslapioinaostekstas">
    <w:name w:val="footnote text"/>
    <w:basedOn w:val="prastasis"/>
    <w:link w:val="PuslapioinaostekstasDiagrama"/>
    <w:uiPriority w:val="99"/>
    <w:semiHidden/>
    <w:rsid w:val="002035FB"/>
    <w:pPr>
      <w:spacing w:after="0" w:line="240" w:lineRule="auto"/>
      <w:ind w:firstLine="851"/>
      <w:jc w:val="both"/>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2035FB"/>
    <w:rPr>
      <w:rFonts w:cs="Times New Roman"/>
      <w:sz w:val="20"/>
      <w:szCs w:val="20"/>
    </w:rPr>
  </w:style>
  <w:style w:type="character" w:styleId="Puslapioinaosnuoroda">
    <w:name w:val="footnote reference"/>
    <w:basedOn w:val="Numatytasispastraiposriftas"/>
    <w:uiPriority w:val="99"/>
    <w:semiHidden/>
    <w:rsid w:val="002035FB"/>
    <w:rPr>
      <w:rFonts w:cs="Times New Roman"/>
      <w:vertAlign w:val="superscript"/>
    </w:rPr>
  </w:style>
  <w:style w:type="character" w:styleId="Hipersaitas">
    <w:name w:val="Hyperlink"/>
    <w:basedOn w:val="Numatytasispastraiposriftas"/>
    <w:uiPriority w:val="99"/>
    <w:rsid w:val="002035FB"/>
    <w:rPr>
      <w:rFonts w:cs="Times New Roman"/>
      <w:color w:val="0000FF"/>
      <w:u w:val="single"/>
    </w:rPr>
  </w:style>
  <w:style w:type="character" w:styleId="Perirtashipersaitas">
    <w:name w:val="FollowedHyperlink"/>
    <w:basedOn w:val="Numatytasispastraiposriftas"/>
    <w:uiPriority w:val="99"/>
    <w:semiHidden/>
    <w:rsid w:val="002035FB"/>
    <w:rPr>
      <w:rFonts w:cs="Times New Roman"/>
      <w:color w:val="800080"/>
      <w:u w:val="single"/>
    </w:rPr>
  </w:style>
  <w:style w:type="character" w:styleId="Vietosrezervavimoenklotekstas">
    <w:name w:val="Placeholder Text"/>
    <w:basedOn w:val="Numatytasispastraiposriftas"/>
    <w:uiPriority w:val="99"/>
    <w:semiHidden/>
    <w:rsid w:val="008E38A4"/>
    <w:rPr>
      <w:rFonts w:cs="Times New Roman"/>
      <w:color w:val="808080"/>
    </w:rPr>
  </w:style>
  <w:style w:type="paragraph" w:styleId="Debesliotekstas">
    <w:name w:val="Balloon Text"/>
    <w:basedOn w:val="prastasis"/>
    <w:link w:val="DebesliotekstasDiagrama"/>
    <w:uiPriority w:val="99"/>
    <w:semiHidden/>
    <w:rsid w:val="008E38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E38A4"/>
    <w:rPr>
      <w:rFonts w:ascii="Tahoma" w:hAnsi="Tahoma" w:cs="Tahoma"/>
      <w:sz w:val="16"/>
      <w:szCs w:val="16"/>
    </w:rPr>
  </w:style>
  <w:style w:type="paragraph" w:customStyle="1" w:styleId="Default">
    <w:name w:val="Default"/>
    <w:uiPriority w:val="99"/>
    <w:rsid w:val="008E38A4"/>
    <w:pPr>
      <w:autoSpaceDE w:val="0"/>
      <w:autoSpaceDN w:val="0"/>
      <w:adjustRightInd w:val="0"/>
    </w:pPr>
    <w:rPr>
      <w:color w:val="000000"/>
      <w:sz w:val="24"/>
      <w:szCs w:val="24"/>
      <w:lang w:eastAsia="en-US"/>
    </w:rPr>
  </w:style>
  <w:style w:type="character" w:customStyle="1" w:styleId="A0">
    <w:name w:val="A0"/>
    <w:uiPriority w:val="99"/>
    <w:rsid w:val="00E62587"/>
    <w:rPr>
      <w:color w:val="000000"/>
      <w:sz w:val="15"/>
    </w:rPr>
  </w:style>
  <w:style w:type="paragraph" w:styleId="Antrats">
    <w:name w:val="header"/>
    <w:basedOn w:val="prastasis"/>
    <w:link w:val="AntratsDiagrama"/>
    <w:uiPriority w:val="99"/>
    <w:rsid w:val="00C11C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C11C10"/>
    <w:rPr>
      <w:rFonts w:cs="Times New Roman"/>
    </w:rPr>
  </w:style>
  <w:style w:type="paragraph" w:styleId="Porat">
    <w:name w:val="footer"/>
    <w:basedOn w:val="prastasis"/>
    <w:link w:val="PoratDiagrama"/>
    <w:uiPriority w:val="99"/>
    <w:rsid w:val="00C11C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C11C10"/>
    <w:rPr>
      <w:rFonts w:cs="Times New Roman"/>
    </w:rPr>
  </w:style>
  <w:style w:type="paragraph" w:styleId="Turinys3">
    <w:name w:val="toc 3"/>
    <w:basedOn w:val="prastasis"/>
    <w:next w:val="prastasis"/>
    <w:autoRedefine/>
    <w:uiPriority w:val="99"/>
    <w:rsid w:val="002B75AF"/>
    <w:pPr>
      <w:spacing w:after="100" w:line="360" w:lineRule="auto"/>
      <w:ind w:left="284"/>
    </w:pPr>
    <w:rPr>
      <w:rFonts w:ascii="Calibri" w:eastAsia="Times New Roman" w:hAnsi="Calibri"/>
      <w:sz w:val="22"/>
      <w:szCs w:val="22"/>
      <w:lang w:eastAsia="lt-LT"/>
    </w:rPr>
  </w:style>
  <w:style w:type="paragraph" w:styleId="Dokumentoinaostekstas">
    <w:name w:val="endnote text"/>
    <w:basedOn w:val="prastasis"/>
    <w:link w:val="DokumentoinaostekstasDiagrama"/>
    <w:uiPriority w:val="99"/>
    <w:semiHidden/>
    <w:rsid w:val="00B44EC4"/>
    <w:pPr>
      <w:spacing w:after="0" w:line="240" w:lineRule="auto"/>
      <w:ind w:firstLine="851"/>
      <w:jc w:val="both"/>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B44EC4"/>
    <w:rPr>
      <w:rFonts w:eastAsia="Times New Roman" w:cs="Times New Roman"/>
      <w:sz w:val="20"/>
      <w:szCs w:val="20"/>
    </w:rPr>
  </w:style>
  <w:style w:type="character" w:styleId="Dokumentoinaosnumeris">
    <w:name w:val="endnote reference"/>
    <w:basedOn w:val="Numatytasispastraiposriftas"/>
    <w:uiPriority w:val="99"/>
    <w:semiHidden/>
    <w:rsid w:val="00B44EC4"/>
    <w:rPr>
      <w:rFonts w:cs="Times New Roman"/>
      <w:vertAlign w:val="superscript"/>
    </w:rPr>
  </w:style>
  <w:style w:type="paragraph" w:styleId="Sraopastraipa">
    <w:name w:val="List Paragraph"/>
    <w:basedOn w:val="prastasis"/>
    <w:uiPriority w:val="99"/>
    <w:qFormat/>
    <w:rsid w:val="00B44EC4"/>
    <w:pPr>
      <w:spacing w:after="0" w:line="240" w:lineRule="auto"/>
      <w:ind w:left="720" w:firstLine="851"/>
      <w:contextualSpacing/>
      <w:jc w:val="both"/>
    </w:pPr>
  </w:style>
  <w:style w:type="paragraph" w:customStyle="1" w:styleId="Pa8">
    <w:name w:val="Pa8"/>
    <w:basedOn w:val="Default"/>
    <w:next w:val="Default"/>
    <w:uiPriority w:val="99"/>
    <w:rsid w:val="00B44EC4"/>
    <w:pPr>
      <w:spacing w:line="217" w:lineRule="atLeast"/>
      <w:ind w:firstLine="851"/>
      <w:jc w:val="both"/>
    </w:pPr>
    <w:rPr>
      <w:color w:val="auto"/>
    </w:rPr>
  </w:style>
  <w:style w:type="character" w:customStyle="1" w:styleId="A11">
    <w:name w:val="A11"/>
    <w:uiPriority w:val="99"/>
    <w:rsid w:val="00B44EC4"/>
    <w:rPr>
      <w:color w:val="000000"/>
      <w:sz w:val="12"/>
    </w:rPr>
  </w:style>
  <w:style w:type="paragraph" w:customStyle="1" w:styleId="Pa11">
    <w:name w:val="Pa11"/>
    <w:basedOn w:val="Default"/>
    <w:next w:val="Default"/>
    <w:uiPriority w:val="99"/>
    <w:rsid w:val="00B44EC4"/>
    <w:pPr>
      <w:spacing w:line="167" w:lineRule="atLeast"/>
      <w:ind w:firstLine="851"/>
      <w:jc w:val="both"/>
    </w:pPr>
    <w:rPr>
      <w:color w:val="auto"/>
    </w:rPr>
  </w:style>
  <w:style w:type="character" w:customStyle="1" w:styleId="A10">
    <w:name w:val="A10"/>
    <w:uiPriority w:val="99"/>
    <w:rsid w:val="00B44EC4"/>
    <w:rPr>
      <w:color w:val="000000"/>
      <w:sz w:val="21"/>
    </w:rPr>
  </w:style>
  <w:style w:type="paragraph" w:styleId="Pagrindinistekstas">
    <w:name w:val="Body Text"/>
    <w:basedOn w:val="prastasis"/>
    <w:link w:val="PagrindinistekstasDiagrama"/>
    <w:uiPriority w:val="99"/>
    <w:rsid w:val="00B44EC4"/>
    <w:pPr>
      <w:spacing w:after="120" w:line="240" w:lineRule="auto"/>
      <w:ind w:firstLine="851"/>
      <w:jc w:val="both"/>
    </w:pPr>
  </w:style>
  <w:style w:type="character" w:customStyle="1" w:styleId="PagrindinistekstasDiagrama">
    <w:name w:val="Pagrindinis tekstas Diagrama"/>
    <w:basedOn w:val="Numatytasispastraiposriftas"/>
    <w:link w:val="Pagrindinistekstas"/>
    <w:uiPriority w:val="99"/>
    <w:locked/>
    <w:rsid w:val="00B44EC4"/>
    <w:rPr>
      <w:rFonts w:eastAsia="Times New Roman" w:cs="Times New Roman"/>
    </w:rPr>
  </w:style>
  <w:style w:type="character" w:styleId="Komentaronuoroda">
    <w:name w:val="annotation reference"/>
    <w:basedOn w:val="Numatytasispastraiposriftas"/>
    <w:uiPriority w:val="99"/>
    <w:semiHidden/>
    <w:rsid w:val="00B44EC4"/>
    <w:rPr>
      <w:rFonts w:cs="Times New Roman"/>
      <w:sz w:val="16"/>
    </w:rPr>
  </w:style>
  <w:style w:type="paragraph" w:styleId="Komentarotekstas">
    <w:name w:val="annotation text"/>
    <w:basedOn w:val="prastasis"/>
    <w:link w:val="KomentarotekstasDiagrama"/>
    <w:uiPriority w:val="99"/>
    <w:rsid w:val="00B44EC4"/>
    <w:pPr>
      <w:spacing w:after="0" w:line="240" w:lineRule="auto"/>
      <w:ind w:firstLine="851"/>
      <w:jc w:val="both"/>
    </w:pPr>
    <w:rPr>
      <w:sz w:val="20"/>
      <w:szCs w:val="20"/>
    </w:rPr>
  </w:style>
  <w:style w:type="character" w:customStyle="1" w:styleId="KomentarotekstasDiagrama">
    <w:name w:val="Komentaro tekstas Diagrama"/>
    <w:basedOn w:val="Numatytasispastraiposriftas"/>
    <w:link w:val="Komentarotekstas"/>
    <w:uiPriority w:val="99"/>
    <w:locked/>
    <w:rsid w:val="00B44EC4"/>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rsid w:val="00B44EC4"/>
    <w:rPr>
      <w:b/>
      <w:bCs/>
    </w:rPr>
  </w:style>
  <w:style w:type="character" w:customStyle="1" w:styleId="KomentarotemaDiagrama">
    <w:name w:val="Komentaro tema Diagrama"/>
    <w:basedOn w:val="KomentarotekstasDiagrama"/>
    <w:link w:val="Komentarotema"/>
    <w:uiPriority w:val="99"/>
    <w:semiHidden/>
    <w:locked/>
    <w:rsid w:val="00B44EC4"/>
    <w:rPr>
      <w:rFonts w:eastAsia="Times New Roman" w:cs="Times New Roman"/>
      <w:b/>
      <w:bCs/>
      <w:sz w:val="20"/>
      <w:szCs w:val="20"/>
    </w:rPr>
  </w:style>
  <w:style w:type="paragraph" w:styleId="Turinioantrat">
    <w:name w:val="TOC Heading"/>
    <w:basedOn w:val="Antrat1"/>
    <w:next w:val="prastasis"/>
    <w:uiPriority w:val="99"/>
    <w:qFormat/>
    <w:rsid w:val="00B44EC4"/>
    <w:pPr>
      <w:spacing w:line="276" w:lineRule="auto"/>
      <w:ind w:firstLine="0"/>
      <w:jc w:val="left"/>
      <w:outlineLvl w:val="9"/>
    </w:pPr>
    <w:rPr>
      <w:lang w:eastAsia="lt-LT"/>
    </w:rPr>
  </w:style>
  <w:style w:type="paragraph" w:styleId="Turinys2">
    <w:name w:val="toc 2"/>
    <w:basedOn w:val="prastasis"/>
    <w:next w:val="prastasis"/>
    <w:autoRedefine/>
    <w:uiPriority w:val="99"/>
    <w:rsid w:val="00B44EC4"/>
    <w:pPr>
      <w:spacing w:after="100"/>
      <w:ind w:left="220"/>
    </w:pPr>
    <w:rPr>
      <w:rFonts w:ascii="Calibri" w:eastAsia="Times New Roman" w:hAnsi="Calibri"/>
      <w:sz w:val="22"/>
      <w:szCs w:val="22"/>
      <w:lang w:eastAsia="lt-LT"/>
    </w:rPr>
  </w:style>
  <w:style w:type="paragraph" w:styleId="Turinys1">
    <w:name w:val="toc 1"/>
    <w:basedOn w:val="prastasis"/>
    <w:next w:val="prastasis"/>
    <w:autoRedefine/>
    <w:uiPriority w:val="99"/>
    <w:rsid w:val="00B44EC4"/>
    <w:pPr>
      <w:spacing w:after="100" w:line="360" w:lineRule="auto"/>
    </w:pPr>
    <w:rPr>
      <w:rFonts w:eastAsia="Times New Roman"/>
      <w:bCs/>
      <w:lang w:eastAsia="lt-LT"/>
    </w:rPr>
  </w:style>
  <w:style w:type="paragraph" w:customStyle="1" w:styleId="statymopavad">
    <w:name w:val="statymopavad"/>
    <w:basedOn w:val="prastasis"/>
    <w:uiPriority w:val="99"/>
    <w:rsid w:val="00B44EC4"/>
    <w:pPr>
      <w:spacing w:before="100" w:beforeAutospacing="1" w:after="100" w:afterAutospacing="1" w:line="240" w:lineRule="auto"/>
    </w:pPr>
    <w:rPr>
      <w:rFonts w:eastAsia="Times New Roman"/>
      <w:lang w:eastAsia="lt-LT"/>
    </w:rPr>
  </w:style>
  <w:style w:type="paragraph" w:styleId="Pagrindinistekstas3">
    <w:name w:val="Body Text 3"/>
    <w:basedOn w:val="prastasis"/>
    <w:link w:val="Pagrindinistekstas3Diagrama"/>
    <w:uiPriority w:val="99"/>
    <w:semiHidden/>
    <w:rsid w:val="00B44EC4"/>
    <w:pPr>
      <w:spacing w:after="120" w:line="240" w:lineRule="auto"/>
      <w:ind w:firstLine="851"/>
      <w:jc w:val="both"/>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B44EC4"/>
    <w:rPr>
      <w:rFonts w:eastAsia="Times New Roman" w:cs="Times New Roman"/>
      <w:sz w:val="16"/>
      <w:szCs w:val="16"/>
    </w:rPr>
  </w:style>
  <w:style w:type="character" w:styleId="Grietas">
    <w:name w:val="Strong"/>
    <w:basedOn w:val="Numatytasispastraiposriftas"/>
    <w:uiPriority w:val="99"/>
    <w:qFormat/>
    <w:rsid w:val="00B44EC4"/>
    <w:rPr>
      <w:rFonts w:cs="Times New Roman"/>
      <w:b/>
    </w:rPr>
  </w:style>
  <w:style w:type="character" w:customStyle="1" w:styleId="CODE">
    <w:name w:val="CODE"/>
    <w:uiPriority w:val="99"/>
    <w:rsid w:val="00B44EC4"/>
    <w:rPr>
      <w:rFonts w:ascii="Courier New" w:hAnsi="Courier New"/>
      <w:sz w:val="20"/>
    </w:rPr>
  </w:style>
  <w:style w:type="character" w:customStyle="1" w:styleId="def">
    <w:name w:val="def"/>
    <w:basedOn w:val="Numatytasispastraiposriftas"/>
    <w:uiPriority w:val="99"/>
    <w:rsid w:val="00B44EC4"/>
    <w:rPr>
      <w:rFonts w:cs="Times New Roman"/>
    </w:rPr>
  </w:style>
  <w:style w:type="paragraph" w:styleId="prastasistinklapis">
    <w:name w:val="Normal (Web)"/>
    <w:basedOn w:val="prastasis"/>
    <w:uiPriority w:val="99"/>
    <w:semiHidden/>
    <w:rsid w:val="00B44EC4"/>
    <w:pPr>
      <w:spacing w:before="100" w:beforeAutospacing="1" w:after="100" w:afterAutospacing="1" w:line="240" w:lineRule="auto"/>
    </w:pPr>
    <w:rPr>
      <w:rFonts w:eastAsia="Times New Roman"/>
      <w:lang w:eastAsia="lt-LT"/>
    </w:rPr>
  </w:style>
  <w:style w:type="paragraph" w:customStyle="1" w:styleId="Num-DocParagraph">
    <w:name w:val="Num-Doc Paragraph"/>
    <w:basedOn w:val="Default"/>
    <w:next w:val="Default"/>
    <w:uiPriority w:val="99"/>
    <w:rsid w:val="00B44EC4"/>
    <w:rPr>
      <w:rFonts w:ascii="HIFCED+TimesNewRoman,Bold" w:hAnsi="HIFCED+TimesNewRoman,Bold"/>
      <w:color w:val="auto"/>
    </w:rPr>
  </w:style>
  <w:style w:type="paragraph" w:styleId="Pataisymai">
    <w:name w:val="Revision"/>
    <w:hidden/>
    <w:uiPriority w:val="99"/>
    <w:semiHidden/>
    <w:rsid w:val="00B44EC4"/>
    <w:rPr>
      <w:sz w:val="24"/>
      <w:szCs w:val="24"/>
      <w:lang w:eastAsia="en-US"/>
    </w:rPr>
  </w:style>
  <w:style w:type="paragraph" w:styleId="Pagrindiniotekstotrauka">
    <w:name w:val="Body Text Indent"/>
    <w:basedOn w:val="prastasis"/>
    <w:link w:val="PagrindiniotekstotraukaDiagrama"/>
    <w:uiPriority w:val="99"/>
    <w:semiHidden/>
    <w:rsid w:val="00B44EC4"/>
    <w:pPr>
      <w:spacing w:after="120" w:line="240" w:lineRule="auto"/>
      <w:ind w:left="283" w:firstLine="851"/>
      <w:jc w:val="both"/>
    </w:pPr>
  </w:style>
  <w:style w:type="character" w:customStyle="1" w:styleId="PagrindiniotekstotraukaDiagrama">
    <w:name w:val="Pagrindinio teksto įtrauka Diagrama"/>
    <w:basedOn w:val="Numatytasispastraiposriftas"/>
    <w:link w:val="Pagrindiniotekstotrauka"/>
    <w:uiPriority w:val="99"/>
    <w:semiHidden/>
    <w:locked/>
    <w:rsid w:val="00B44EC4"/>
    <w:rPr>
      <w:rFonts w:eastAsia="Times New Roman" w:cs="Times New Roman"/>
    </w:rPr>
  </w:style>
  <w:style w:type="character" w:customStyle="1" w:styleId="ddat">
    <w:name w:val="ddat"/>
    <w:uiPriority w:val="99"/>
    <w:rsid w:val="00B44EC4"/>
  </w:style>
  <w:style w:type="character" w:customStyle="1" w:styleId="hps">
    <w:name w:val="hps"/>
    <w:basedOn w:val="Numatytasispastraiposriftas"/>
    <w:uiPriority w:val="99"/>
    <w:rsid w:val="00DA40AB"/>
    <w:rPr>
      <w:rFonts w:cs="Times New Roman"/>
    </w:rPr>
  </w:style>
  <w:style w:type="character" w:customStyle="1" w:styleId="atn">
    <w:name w:val="atn"/>
    <w:basedOn w:val="Numatytasispastraiposriftas"/>
    <w:uiPriority w:val="99"/>
    <w:rsid w:val="00E95826"/>
    <w:rPr>
      <w:rFonts w:cs="Times New Roman"/>
    </w:rPr>
  </w:style>
  <w:style w:type="table" w:styleId="Lentelstinklelis">
    <w:name w:val="Table Grid"/>
    <w:basedOn w:val="prastojilentel"/>
    <w:uiPriority w:val="99"/>
    <w:rsid w:val="002354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uiPriority w:val="20"/>
    <w:qFormat/>
    <w:locked/>
    <w:rsid w:val="002160E3"/>
    <w:rPr>
      <w:i/>
      <w:iCs/>
    </w:rPr>
  </w:style>
  <w:style w:type="character" w:styleId="HTMLcitata">
    <w:name w:val="HTML Cite"/>
    <w:basedOn w:val="Numatytasispastraiposriftas"/>
    <w:uiPriority w:val="99"/>
    <w:semiHidden/>
    <w:unhideWhenUsed/>
    <w:rsid w:val="00316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5590">
      <w:marLeft w:val="0"/>
      <w:marRight w:val="0"/>
      <w:marTop w:val="0"/>
      <w:marBottom w:val="0"/>
      <w:divBdr>
        <w:top w:val="none" w:sz="0" w:space="0" w:color="auto"/>
        <w:left w:val="none" w:sz="0" w:space="0" w:color="auto"/>
        <w:bottom w:val="none" w:sz="0" w:space="0" w:color="auto"/>
        <w:right w:val="none" w:sz="0" w:space="0" w:color="auto"/>
      </w:divBdr>
      <w:divsChild>
        <w:div w:id="106775598">
          <w:marLeft w:val="0"/>
          <w:marRight w:val="0"/>
          <w:marTop w:val="0"/>
          <w:marBottom w:val="0"/>
          <w:divBdr>
            <w:top w:val="none" w:sz="0" w:space="0" w:color="auto"/>
            <w:left w:val="none" w:sz="0" w:space="0" w:color="auto"/>
            <w:bottom w:val="none" w:sz="0" w:space="0" w:color="auto"/>
            <w:right w:val="none" w:sz="0" w:space="0" w:color="auto"/>
          </w:divBdr>
        </w:div>
        <w:div w:id="106775617">
          <w:marLeft w:val="0"/>
          <w:marRight w:val="0"/>
          <w:marTop w:val="0"/>
          <w:marBottom w:val="0"/>
          <w:divBdr>
            <w:top w:val="none" w:sz="0" w:space="0" w:color="auto"/>
            <w:left w:val="none" w:sz="0" w:space="0" w:color="auto"/>
            <w:bottom w:val="none" w:sz="0" w:space="0" w:color="auto"/>
            <w:right w:val="none" w:sz="0" w:space="0" w:color="auto"/>
          </w:divBdr>
        </w:div>
        <w:div w:id="106775623">
          <w:marLeft w:val="0"/>
          <w:marRight w:val="0"/>
          <w:marTop w:val="0"/>
          <w:marBottom w:val="0"/>
          <w:divBdr>
            <w:top w:val="none" w:sz="0" w:space="0" w:color="auto"/>
            <w:left w:val="none" w:sz="0" w:space="0" w:color="auto"/>
            <w:bottom w:val="none" w:sz="0" w:space="0" w:color="auto"/>
            <w:right w:val="none" w:sz="0" w:space="0" w:color="auto"/>
          </w:divBdr>
        </w:div>
        <w:div w:id="106775636">
          <w:marLeft w:val="0"/>
          <w:marRight w:val="0"/>
          <w:marTop w:val="0"/>
          <w:marBottom w:val="0"/>
          <w:divBdr>
            <w:top w:val="none" w:sz="0" w:space="0" w:color="auto"/>
            <w:left w:val="none" w:sz="0" w:space="0" w:color="auto"/>
            <w:bottom w:val="none" w:sz="0" w:space="0" w:color="auto"/>
            <w:right w:val="none" w:sz="0" w:space="0" w:color="auto"/>
          </w:divBdr>
        </w:div>
        <w:div w:id="106775639">
          <w:marLeft w:val="0"/>
          <w:marRight w:val="0"/>
          <w:marTop w:val="0"/>
          <w:marBottom w:val="0"/>
          <w:divBdr>
            <w:top w:val="none" w:sz="0" w:space="0" w:color="auto"/>
            <w:left w:val="none" w:sz="0" w:space="0" w:color="auto"/>
            <w:bottom w:val="none" w:sz="0" w:space="0" w:color="auto"/>
            <w:right w:val="none" w:sz="0" w:space="0" w:color="auto"/>
          </w:divBdr>
        </w:div>
      </w:divsChild>
    </w:div>
    <w:div w:id="106775591">
      <w:marLeft w:val="0"/>
      <w:marRight w:val="0"/>
      <w:marTop w:val="0"/>
      <w:marBottom w:val="0"/>
      <w:divBdr>
        <w:top w:val="none" w:sz="0" w:space="0" w:color="auto"/>
        <w:left w:val="none" w:sz="0" w:space="0" w:color="auto"/>
        <w:bottom w:val="none" w:sz="0" w:space="0" w:color="auto"/>
        <w:right w:val="none" w:sz="0" w:space="0" w:color="auto"/>
      </w:divBdr>
      <w:divsChild>
        <w:div w:id="106775596">
          <w:marLeft w:val="0"/>
          <w:marRight w:val="0"/>
          <w:marTop w:val="0"/>
          <w:marBottom w:val="0"/>
          <w:divBdr>
            <w:top w:val="none" w:sz="0" w:space="0" w:color="auto"/>
            <w:left w:val="none" w:sz="0" w:space="0" w:color="auto"/>
            <w:bottom w:val="none" w:sz="0" w:space="0" w:color="auto"/>
            <w:right w:val="none" w:sz="0" w:space="0" w:color="auto"/>
          </w:divBdr>
        </w:div>
        <w:div w:id="106775600">
          <w:marLeft w:val="0"/>
          <w:marRight w:val="0"/>
          <w:marTop w:val="0"/>
          <w:marBottom w:val="0"/>
          <w:divBdr>
            <w:top w:val="none" w:sz="0" w:space="0" w:color="auto"/>
            <w:left w:val="none" w:sz="0" w:space="0" w:color="auto"/>
            <w:bottom w:val="none" w:sz="0" w:space="0" w:color="auto"/>
            <w:right w:val="none" w:sz="0" w:space="0" w:color="auto"/>
          </w:divBdr>
        </w:div>
        <w:div w:id="106775620">
          <w:marLeft w:val="0"/>
          <w:marRight w:val="0"/>
          <w:marTop w:val="0"/>
          <w:marBottom w:val="0"/>
          <w:divBdr>
            <w:top w:val="none" w:sz="0" w:space="0" w:color="auto"/>
            <w:left w:val="none" w:sz="0" w:space="0" w:color="auto"/>
            <w:bottom w:val="none" w:sz="0" w:space="0" w:color="auto"/>
            <w:right w:val="none" w:sz="0" w:space="0" w:color="auto"/>
          </w:divBdr>
        </w:div>
        <w:div w:id="106775633">
          <w:marLeft w:val="0"/>
          <w:marRight w:val="0"/>
          <w:marTop w:val="0"/>
          <w:marBottom w:val="0"/>
          <w:divBdr>
            <w:top w:val="none" w:sz="0" w:space="0" w:color="auto"/>
            <w:left w:val="none" w:sz="0" w:space="0" w:color="auto"/>
            <w:bottom w:val="none" w:sz="0" w:space="0" w:color="auto"/>
            <w:right w:val="none" w:sz="0" w:space="0" w:color="auto"/>
          </w:divBdr>
        </w:div>
        <w:div w:id="106775635">
          <w:marLeft w:val="0"/>
          <w:marRight w:val="0"/>
          <w:marTop w:val="0"/>
          <w:marBottom w:val="0"/>
          <w:divBdr>
            <w:top w:val="none" w:sz="0" w:space="0" w:color="auto"/>
            <w:left w:val="none" w:sz="0" w:space="0" w:color="auto"/>
            <w:bottom w:val="none" w:sz="0" w:space="0" w:color="auto"/>
            <w:right w:val="none" w:sz="0" w:space="0" w:color="auto"/>
          </w:divBdr>
        </w:div>
        <w:div w:id="106775638">
          <w:marLeft w:val="0"/>
          <w:marRight w:val="0"/>
          <w:marTop w:val="0"/>
          <w:marBottom w:val="0"/>
          <w:divBdr>
            <w:top w:val="none" w:sz="0" w:space="0" w:color="auto"/>
            <w:left w:val="none" w:sz="0" w:space="0" w:color="auto"/>
            <w:bottom w:val="none" w:sz="0" w:space="0" w:color="auto"/>
            <w:right w:val="none" w:sz="0" w:space="0" w:color="auto"/>
          </w:divBdr>
        </w:div>
        <w:div w:id="106775646">
          <w:marLeft w:val="0"/>
          <w:marRight w:val="0"/>
          <w:marTop w:val="0"/>
          <w:marBottom w:val="0"/>
          <w:divBdr>
            <w:top w:val="none" w:sz="0" w:space="0" w:color="auto"/>
            <w:left w:val="none" w:sz="0" w:space="0" w:color="auto"/>
            <w:bottom w:val="none" w:sz="0" w:space="0" w:color="auto"/>
            <w:right w:val="none" w:sz="0" w:space="0" w:color="auto"/>
          </w:divBdr>
        </w:div>
      </w:divsChild>
    </w:div>
    <w:div w:id="106775597">
      <w:marLeft w:val="0"/>
      <w:marRight w:val="0"/>
      <w:marTop w:val="0"/>
      <w:marBottom w:val="0"/>
      <w:divBdr>
        <w:top w:val="none" w:sz="0" w:space="0" w:color="auto"/>
        <w:left w:val="none" w:sz="0" w:space="0" w:color="auto"/>
        <w:bottom w:val="none" w:sz="0" w:space="0" w:color="auto"/>
        <w:right w:val="none" w:sz="0" w:space="0" w:color="auto"/>
      </w:divBdr>
      <w:divsChild>
        <w:div w:id="106775592">
          <w:marLeft w:val="0"/>
          <w:marRight w:val="0"/>
          <w:marTop w:val="0"/>
          <w:marBottom w:val="0"/>
          <w:divBdr>
            <w:top w:val="none" w:sz="0" w:space="0" w:color="auto"/>
            <w:left w:val="none" w:sz="0" w:space="0" w:color="auto"/>
            <w:bottom w:val="none" w:sz="0" w:space="0" w:color="auto"/>
            <w:right w:val="none" w:sz="0" w:space="0" w:color="auto"/>
          </w:divBdr>
        </w:div>
        <w:div w:id="106775606">
          <w:marLeft w:val="0"/>
          <w:marRight w:val="0"/>
          <w:marTop w:val="0"/>
          <w:marBottom w:val="0"/>
          <w:divBdr>
            <w:top w:val="none" w:sz="0" w:space="0" w:color="auto"/>
            <w:left w:val="none" w:sz="0" w:space="0" w:color="auto"/>
            <w:bottom w:val="none" w:sz="0" w:space="0" w:color="auto"/>
            <w:right w:val="none" w:sz="0" w:space="0" w:color="auto"/>
          </w:divBdr>
        </w:div>
        <w:div w:id="106775621">
          <w:marLeft w:val="0"/>
          <w:marRight w:val="0"/>
          <w:marTop w:val="0"/>
          <w:marBottom w:val="0"/>
          <w:divBdr>
            <w:top w:val="none" w:sz="0" w:space="0" w:color="auto"/>
            <w:left w:val="none" w:sz="0" w:space="0" w:color="auto"/>
            <w:bottom w:val="none" w:sz="0" w:space="0" w:color="auto"/>
            <w:right w:val="none" w:sz="0" w:space="0" w:color="auto"/>
          </w:divBdr>
        </w:div>
      </w:divsChild>
    </w:div>
    <w:div w:id="106775603">
      <w:marLeft w:val="0"/>
      <w:marRight w:val="0"/>
      <w:marTop w:val="0"/>
      <w:marBottom w:val="0"/>
      <w:divBdr>
        <w:top w:val="none" w:sz="0" w:space="0" w:color="auto"/>
        <w:left w:val="none" w:sz="0" w:space="0" w:color="auto"/>
        <w:bottom w:val="none" w:sz="0" w:space="0" w:color="auto"/>
        <w:right w:val="none" w:sz="0" w:space="0" w:color="auto"/>
      </w:divBdr>
      <w:divsChild>
        <w:div w:id="106775619">
          <w:marLeft w:val="0"/>
          <w:marRight w:val="0"/>
          <w:marTop w:val="0"/>
          <w:marBottom w:val="0"/>
          <w:divBdr>
            <w:top w:val="none" w:sz="0" w:space="0" w:color="auto"/>
            <w:left w:val="none" w:sz="0" w:space="0" w:color="auto"/>
            <w:bottom w:val="none" w:sz="0" w:space="0" w:color="auto"/>
            <w:right w:val="none" w:sz="0" w:space="0" w:color="auto"/>
          </w:divBdr>
        </w:div>
        <w:div w:id="106775624">
          <w:marLeft w:val="0"/>
          <w:marRight w:val="0"/>
          <w:marTop w:val="0"/>
          <w:marBottom w:val="0"/>
          <w:divBdr>
            <w:top w:val="none" w:sz="0" w:space="0" w:color="auto"/>
            <w:left w:val="none" w:sz="0" w:space="0" w:color="auto"/>
            <w:bottom w:val="none" w:sz="0" w:space="0" w:color="auto"/>
            <w:right w:val="none" w:sz="0" w:space="0" w:color="auto"/>
          </w:divBdr>
        </w:div>
        <w:div w:id="106775627">
          <w:marLeft w:val="0"/>
          <w:marRight w:val="0"/>
          <w:marTop w:val="0"/>
          <w:marBottom w:val="0"/>
          <w:divBdr>
            <w:top w:val="none" w:sz="0" w:space="0" w:color="auto"/>
            <w:left w:val="none" w:sz="0" w:space="0" w:color="auto"/>
            <w:bottom w:val="none" w:sz="0" w:space="0" w:color="auto"/>
            <w:right w:val="none" w:sz="0" w:space="0" w:color="auto"/>
          </w:divBdr>
        </w:div>
        <w:div w:id="106775631">
          <w:marLeft w:val="0"/>
          <w:marRight w:val="0"/>
          <w:marTop w:val="0"/>
          <w:marBottom w:val="0"/>
          <w:divBdr>
            <w:top w:val="none" w:sz="0" w:space="0" w:color="auto"/>
            <w:left w:val="none" w:sz="0" w:space="0" w:color="auto"/>
            <w:bottom w:val="none" w:sz="0" w:space="0" w:color="auto"/>
            <w:right w:val="none" w:sz="0" w:space="0" w:color="auto"/>
          </w:divBdr>
        </w:div>
        <w:div w:id="106775634">
          <w:marLeft w:val="0"/>
          <w:marRight w:val="0"/>
          <w:marTop w:val="0"/>
          <w:marBottom w:val="0"/>
          <w:divBdr>
            <w:top w:val="none" w:sz="0" w:space="0" w:color="auto"/>
            <w:left w:val="none" w:sz="0" w:space="0" w:color="auto"/>
            <w:bottom w:val="none" w:sz="0" w:space="0" w:color="auto"/>
            <w:right w:val="none" w:sz="0" w:space="0" w:color="auto"/>
          </w:divBdr>
        </w:div>
      </w:divsChild>
    </w:div>
    <w:div w:id="106775605">
      <w:marLeft w:val="0"/>
      <w:marRight w:val="0"/>
      <w:marTop w:val="0"/>
      <w:marBottom w:val="0"/>
      <w:divBdr>
        <w:top w:val="none" w:sz="0" w:space="0" w:color="auto"/>
        <w:left w:val="none" w:sz="0" w:space="0" w:color="auto"/>
        <w:bottom w:val="none" w:sz="0" w:space="0" w:color="auto"/>
        <w:right w:val="none" w:sz="0" w:space="0" w:color="auto"/>
      </w:divBdr>
      <w:divsChild>
        <w:div w:id="106775599">
          <w:marLeft w:val="0"/>
          <w:marRight w:val="0"/>
          <w:marTop w:val="0"/>
          <w:marBottom w:val="0"/>
          <w:divBdr>
            <w:top w:val="none" w:sz="0" w:space="0" w:color="auto"/>
            <w:left w:val="none" w:sz="0" w:space="0" w:color="auto"/>
            <w:bottom w:val="none" w:sz="0" w:space="0" w:color="auto"/>
            <w:right w:val="none" w:sz="0" w:space="0" w:color="auto"/>
          </w:divBdr>
        </w:div>
        <w:div w:id="106775610">
          <w:marLeft w:val="0"/>
          <w:marRight w:val="0"/>
          <w:marTop w:val="0"/>
          <w:marBottom w:val="0"/>
          <w:divBdr>
            <w:top w:val="none" w:sz="0" w:space="0" w:color="auto"/>
            <w:left w:val="none" w:sz="0" w:space="0" w:color="auto"/>
            <w:bottom w:val="none" w:sz="0" w:space="0" w:color="auto"/>
            <w:right w:val="none" w:sz="0" w:space="0" w:color="auto"/>
          </w:divBdr>
        </w:div>
        <w:div w:id="106775611">
          <w:marLeft w:val="0"/>
          <w:marRight w:val="0"/>
          <w:marTop w:val="0"/>
          <w:marBottom w:val="0"/>
          <w:divBdr>
            <w:top w:val="none" w:sz="0" w:space="0" w:color="auto"/>
            <w:left w:val="none" w:sz="0" w:space="0" w:color="auto"/>
            <w:bottom w:val="none" w:sz="0" w:space="0" w:color="auto"/>
            <w:right w:val="none" w:sz="0" w:space="0" w:color="auto"/>
          </w:divBdr>
        </w:div>
        <w:div w:id="106775615">
          <w:marLeft w:val="0"/>
          <w:marRight w:val="0"/>
          <w:marTop w:val="0"/>
          <w:marBottom w:val="0"/>
          <w:divBdr>
            <w:top w:val="none" w:sz="0" w:space="0" w:color="auto"/>
            <w:left w:val="none" w:sz="0" w:space="0" w:color="auto"/>
            <w:bottom w:val="none" w:sz="0" w:space="0" w:color="auto"/>
            <w:right w:val="none" w:sz="0" w:space="0" w:color="auto"/>
          </w:divBdr>
        </w:div>
        <w:div w:id="106775618">
          <w:marLeft w:val="0"/>
          <w:marRight w:val="0"/>
          <w:marTop w:val="0"/>
          <w:marBottom w:val="0"/>
          <w:divBdr>
            <w:top w:val="none" w:sz="0" w:space="0" w:color="auto"/>
            <w:left w:val="none" w:sz="0" w:space="0" w:color="auto"/>
            <w:bottom w:val="none" w:sz="0" w:space="0" w:color="auto"/>
            <w:right w:val="none" w:sz="0" w:space="0" w:color="auto"/>
          </w:divBdr>
        </w:div>
        <w:div w:id="106775622">
          <w:marLeft w:val="0"/>
          <w:marRight w:val="0"/>
          <w:marTop w:val="0"/>
          <w:marBottom w:val="0"/>
          <w:divBdr>
            <w:top w:val="none" w:sz="0" w:space="0" w:color="auto"/>
            <w:left w:val="none" w:sz="0" w:space="0" w:color="auto"/>
            <w:bottom w:val="none" w:sz="0" w:space="0" w:color="auto"/>
            <w:right w:val="none" w:sz="0" w:space="0" w:color="auto"/>
          </w:divBdr>
        </w:div>
        <w:div w:id="106775626">
          <w:marLeft w:val="0"/>
          <w:marRight w:val="0"/>
          <w:marTop w:val="0"/>
          <w:marBottom w:val="0"/>
          <w:divBdr>
            <w:top w:val="none" w:sz="0" w:space="0" w:color="auto"/>
            <w:left w:val="none" w:sz="0" w:space="0" w:color="auto"/>
            <w:bottom w:val="none" w:sz="0" w:space="0" w:color="auto"/>
            <w:right w:val="none" w:sz="0" w:space="0" w:color="auto"/>
          </w:divBdr>
        </w:div>
        <w:div w:id="106775630">
          <w:marLeft w:val="0"/>
          <w:marRight w:val="0"/>
          <w:marTop w:val="0"/>
          <w:marBottom w:val="0"/>
          <w:divBdr>
            <w:top w:val="none" w:sz="0" w:space="0" w:color="auto"/>
            <w:left w:val="none" w:sz="0" w:space="0" w:color="auto"/>
            <w:bottom w:val="none" w:sz="0" w:space="0" w:color="auto"/>
            <w:right w:val="none" w:sz="0" w:space="0" w:color="auto"/>
          </w:divBdr>
        </w:div>
        <w:div w:id="106775641">
          <w:marLeft w:val="0"/>
          <w:marRight w:val="0"/>
          <w:marTop w:val="0"/>
          <w:marBottom w:val="0"/>
          <w:divBdr>
            <w:top w:val="none" w:sz="0" w:space="0" w:color="auto"/>
            <w:left w:val="none" w:sz="0" w:space="0" w:color="auto"/>
            <w:bottom w:val="none" w:sz="0" w:space="0" w:color="auto"/>
            <w:right w:val="none" w:sz="0" w:space="0" w:color="auto"/>
          </w:divBdr>
        </w:div>
        <w:div w:id="106775642">
          <w:marLeft w:val="0"/>
          <w:marRight w:val="0"/>
          <w:marTop w:val="0"/>
          <w:marBottom w:val="0"/>
          <w:divBdr>
            <w:top w:val="none" w:sz="0" w:space="0" w:color="auto"/>
            <w:left w:val="none" w:sz="0" w:space="0" w:color="auto"/>
            <w:bottom w:val="none" w:sz="0" w:space="0" w:color="auto"/>
            <w:right w:val="none" w:sz="0" w:space="0" w:color="auto"/>
          </w:divBdr>
        </w:div>
        <w:div w:id="106775643">
          <w:marLeft w:val="0"/>
          <w:marRight w:val="0"/>
          <w:marTop w:val="0"/>
          <w:marBottom w:val="0"/>
          <w:divBdr>
            <w:top w:val="none" w:sz="0" w:space="0" w:color="auto"/>
            <w:left w:val="none" w:sz="0" w:space="0" w:color="auto"/>
            <w:bottom w:val="none" w:sz="0" w:space="0" w:color="auto"/>
            <w:right w:val="none" w:sz="0" w:space="0" w:color="auto"/>
          </w:divBdr>
        </w:div>
        <w:div w:id="106775647">
          <w:marLeft w:val="0"/>
          <w:marRight w:val="0"/>
          <w:marTop w:val="0"/>
          <w:marBottom w:val="0"/>
          <w:divBdr>
            <w:top w:val="none" w:sz="0" w:space="0" w:color="auto"/>
            <w:left w:val="none" w:sz="0" w:space="0" w:color="auto"/>
            <w:bottom w:val="none" w:sz="0" w:space="0" w:color="auto"/>
            <w:right w:val="none" w:sz="0" w:space="0" w:color="auto"/>
          </w:divBdr>
        </w:div>
      </w:divsChild>
    </w:div>
    <w:div w:id="106775609">
      <w:marLeft w:val="0"/>
      <w:marRight w:val="0"/>
      <w:marTop w:val="0"/>
      <w:marBottom w:val="0"/>
      <w:divBdr>
        <w:top w:val="none" w:sz="0" w:space="0" w:color="auto"/>
        <w:left w:val="none" w:sz="0" w:space="0" w:color="auto"/>
        <w:bottom w:val="none" w:sz="0" w:space="0" w:color="auto"/>
        <w:right w:val="none" w:sz="0" w:space="0" w:color="auto"/>
      </w:divBdr>
    </w:div>
    <w:div w:id="106775612">
      <w:marLeft w:val="0"/>
      <w:marRight w:val="0"/>
      <w:marTop w:val="0"/>
      <w:marBottom w:val="0"/>
      <w:divBdr>
        <w:top w:val="none" w:sz="0" w:space="0" w:color="auto"/>
        <w:left w:val="none" w:sz="0" w:space="0" w:color="auto"/>
        <w:bottom w:val="none" w:sz="0" w:space="0" w:color="auto"/>
        <w:right w:val="none" w:sz="0" w:space="0" w:color="auto"/>
      </w:divBdr>
      <w:divsChild>
        <w:div w:id="106775629">
          <w:marLeft w:val="0"/>
          <w:marRight w:val="0"/>
          <w:marTop w:val="0"/>
          <w:marBottom w:val="0"/>
          <w:divBdr>
            <w:top w:val="none" w:sz="0" w:space="0" w:color="auto"/>
            <w:left w:val="none" w:sz="0" w:space="0" w:color="auto"/>
            <w:bottom w:val="none" w:sz="0" w:space="0" w:color="auto"/>
            <w:right w:val="none" w:sz="0" w:space="0" w:color="auto"/>
          </w:divBdr>
        </w:div>
      </w:divsChild>
    </w:div>
    <w:div w:id="106775628">
      <w:marLeft w:val="0"/>
      <w:marRight w:val="0"/>
      <w:marTop w:val="0"/>
      <w:marBottom w:val="0"/>
      <w:divBdr>
        <w:top w:val="none" w:sz="0" w:space="0" w:color="auto"/>
        <w:left w:val="none" w:sz="0" w:space="0" w:color="auto"/>
        <w:bottom w:val="none" w:sz="0" w:space="0" w:color="auto"/>
        <w:right w:val="none" w:sz="0" w:space="0" w:color="auto"/>
      </w:divBdr>
      <w:divsChild>
        <w:div w:id="106775593">
          <w:marLeft w:val="0"/>
          <w:marRight w:val="0"/>
          <w:marTop w:val="0"/>
          <w:marBottom w:val="0"/>
          <w:divBdr>
            <w:top w:val="none" w:sz="0" w:space="0" w:color="auto"/>
            <w:left w:val="none" w:sz="0" w:space="0" w:color="auto"/>
            <w:bottom w:val="none" w:sz="0" w:space="0" w:color="auto"/>
            <w:right w:val="none" w:sz="0" w:space="0" w:color="auto"/>
          </w:divBdr>
        </w:div>
        <w:div w:id="106775594">
          <w:marLeft w:val="0"/>
          <w:marRight w:val="0"/>
          <w:marTop w:val="0"/>
          <w:marBottom w:val="0"/>
          <w:divBdr>
            <w:top w:val="none" w:sz="0" w:space="0" w:color="auto"/>
            <w:left w:val="none" w:sz="0" w:space="0" w:color="auto"/>
            <w:bottom w:val="none" w:sz="0" w:space="0" w:color="auto"/>
            <w:right w:val="none" w:sz="0" w:space="0" w:color="auto"/>
          </w:divBdr>
        </w:div>
        <w:div w:id="106775595">
          <w:marLeft w:val="0"/>
          <w:marRight w:val="0"/>
          <w:marTop w:val="0"/>
          <w:marBottom w:val="0"/>
          <w:divBdr>
            <w:top w:val="none" w:sz="0" w:space="0" w:color="auto"/>
            <w:left w:val="none" w:sz="0" w:space="0" w:color="auto"/>
            <w:bottom w:val="none" w:sz="0" w:space="0" w:color="auto"/>
            <w:right w:val="none" w:sz="0" w:space="0" w:color="auto"/>
          </w:divBdr>
        </w:div>
        <w:div w:id="106775602">
          <w:marLeft w:val="0"/>
          <w:marRight w:val="0"/>
          <w:marTop w:val="0"/>
          <w:marBottom w:val="0"/>
          <w:divBdr>
            <w:top w:val="none" w:sz="0" w:space="0" w:color="auto"/>
            <w:left w:val="none" w:sz="0" w:space="0" w:color="auto"/>
            <w:bottom w:val="none" w:sz="0" w:space="0" w:color="auto"/>
            <w:right w:val="none" w:sz="0" w:space="0" w:color="auto"/>
          </w:divBdr>
        </w:div>
        <w:div w:id="106775604">
          <w:marLeft w:val="0"/>
          <w:marRight w:val="0"/>
          <w:marTop w:val="0"/>
          <w:marBottom w:val="0"/>
          <w:divBdr>
            <w:top w:val="none" w:sz="0" w:space="0" w:color="auto"/>
            <w:left w:val="none" w:sz="0" w:space="0" w:color="auto"/>
            <w:bottom w:val="none" w:sz="0" w:space="0" w:color="auto"/>
            <w:right w:val="none" w:sz="0" w:space="0" w:color="auto"/>
          </w:divBdr>
        </w:div>
        <w:div w:id="106775608">
          <w:marLeft w:val="0"/>
          <w:marRight w:val="0"/>
          <w:marTop w:val="0"/>
          <w:marBottom w:val="0"/>
          <w:divBdr>
            <w:top w:val="none" w:sz="0" w:space="0" w:color="auto"/>
            <w:left w:val="none" w:sz="0" w:space="0" w:color="auto"/>
            <w:bottom w:val="none" w:sz="0" w:space="0" w:color="auto"/>
            <w:right w:val="none" w:sz="0" w:space="0" w:color="auto"/>
          </w:divBdr>
        </w:div>
        <w:div w:id="106775613">
          <w:marLeft w:val="0"/>
          <w:marRight w:val="0"/>
          <w:marTop w:val="0"/>
          <w:marBottom w:val="0"/>
          <w:divBdr>
            <w:top w:val="none" w:sz="0" w:space="0" w:color="auto"/>
            <w:left w:val="none" w:sz="0" w:space="0" w:color="auto"/>
            <w:bottom w:val="none" w:sz="0" w:space="0" w:color="auto"/>
            <w:right w:val="none" w:sz="0" w:space="0" w:color="auto"/>
          </w:divBdr>
        </w:div>
        <w:div w:id="106775614">
          <w:marLeft w:val="0"/>
          <w:marRight w:val="0"/>
          <w:marTop w:val="0"/>
          <w:marBottom w:val="0"/>
          <w:divBdr>
            <w:top w:val="none" w:sz="0" w:space="0" w:color="auto"/>
            <w:left w:val="none" w:sz="0" w:space="0" w:color="auto"/>
            <w:bottom w:val="none" w:sz="0" w:space="0" w:color="auto"/>
            <w:right w:val="none" w:sz="0" w:space="0" w:color="auto"/>
          </w:divBdr>
        </w:div>
        <w:div w:id="106775616">
          <w:marLeft w:val="0"/>
          <w:marRight w:val="0"/>
          <w:marTop w:val="0"/>
          <w:marBottom w:val="0"/>
          <w:divBdr>
            <w:top w:val="none" w:sz="0" w:space="0" w:color="auto"/>
            <w:left w:val="none" w:sz="0" w:space="0" w:color="auto"/>
            <w:bottom w:val="none" w:sz="0" w:space="0" w:color="auto"/>
            <w:right w:val="none" w:sz="0" w:space="0" w:color="auto"/>
          </w:divBdr>
        </w:div>
        <w:div w:id="106775625">
          <w:marLeft w:val="0"/>
          <w:marRight w:val="0"/>
          <w:marTop w:val="0"/>
          <w:marBottom w:val="0"/>
          <w:divBdr>
            <w:top w:val="none" w:sz="0" w:space="0" w:color="auto"/>
            <w:left w:val="none" w:sz="0" w:space="0" w:color="auto"/>
            <w:bottom w:val="none" w:sz="0" w:space="0" w:color="auto"/>
            <w:right w:val="none" w:sz="0" w:space="0" w:color="auto"/>
          </w:divBdr>
        </w:div>
        <w:div w:id="106775632">
          <w:marLeft w:val="0"/>
          <w:marRight w:val="0"/>
          <w:marTop w:val="0"/>
          <w:marBottom w:val="0"/>
          <w:divBdr>
            <w:top w:val="none" w:sz="0" w:space="0" w:color="auto"/>
            <w:left w:val="none" w:sz="0" w:space="0" w:color="auto"/>
            <w:bottom w:val="none" w:sz="0" w:space="0" w:color="auto"/>
            <w:right w:val="none" w:sz="0" w:space="0" w:color="auto"/>
          </w:divBdr>
        </w:div>
        <w:div w:id="106775645">
          <w:marLeft w:val="0"/>
          <w:marRight w:val="0"/>
          <w:marTop w:val="0"/>
          <w:marBottom w:val="0"/>
          <w:divBdr>
            <w:top w:val="none" w:sz="0" w:space="0" w:color="auto"/>
            <w:left w:val="none" w:sz="0" w:space="0" w:color="auto"/>
            <w:bottom w:val="none" w:sz="0" w:space="0" w:color="auto"/>
            <w:right w:val="none" w:sz="0" w:space="0" w:color="auto"/>
          </w:divBdr>
        </w:div>
      </w:divsChild>
    </w:div>
    <w:div w:id="106775640">
      <w:marLeft w:val="0"/>
      <w:marRight w:val="0"/>
      <w:marTop w:val="0"/>
      <w:marBottom w:val="0"/>
      <w:divBdr>
        <w:top w:val="none" w:sz="0" w:space="0" w:color="auto"/>
        <w:left w:val="none" w:sz="0" w:space="0" w:color="auto"/>
        <w:bottom w:val="none" w:sz="0" w:space="0" w:color="auto"/>
        <w:right w:val="none" w:sz="0" w:space="0" w:color="auto"/>
      </w:divBdr>
      <w:divsChild>
        <w:div w:id="106775601">
          <w:marLeft w:val="0"/>
          <w:marRight w:val="0"/>
          <w:marTop w:val="0"/>
          <w:marBottom w:val="0"/>
          <w:divBdr>
            <w:top w:val="none" w:sz="0" w:space="0" w:color="auto"/>
            <w:left w:val="none" w:sz="0" w:space="0" w:color="auto"/>
            <w:bottom w:val="none" w:sz="0" w:space="0" w:color="auto"/>
            <w:right w:val="none" w:sz="0" w:space="0" w:color="auto"/>
          </w:divBdr>
        </w:div>
        <w:div w:id="106775607">
          <w:marLeft w:val="0"/>
          <w:marRight w:val="0"/>
          <w:marTop w:val="0"/>
          <w:marBottom w:val="0"/>
          <w:divBdr>
            <w:top w:val="none" w:sz="0" w:space="0" w:color="auto"/>
            <w:left w:val="none" w:sz="0" w:space="0" w:color="auto"/>
            <w:bottom w:val="none" w:sz="0" w:space="0" w:color="auto"/>
            <w:right w:val="none" w:sz="0" w:space="0" w:color="auto"/>
          </w:divBdr>
        </w:div>
        <w:div w:id="106775637">
          <w:marLeft w:val="0"/>
          <w:marRight w:val="0"/>
          <w:marTop w:val="0"/>
          <w:marBottom w:val="0"/>
          <w:divBdr>
            <w:top w:val="none" w:sz="0" w:space="0" w:color="auto"/>
            <w:left w:val="none" w:sz="0" w:space="0" w:color="auto"/>
            <w:bottom w:val="none" w:sz="0" w:space="0" w:color="auto"/>
            <w:right w:val="none" w:sz="0" w:space="0" w:color="auto"/>
          </w:divBdr>
        </w:div>
        <w:div w:id="106775644">
          <w:marLeft w:val="0"/>
          <w:marRight w:val="0"/>
          <w:marTop w:val="0"/>
          <w:marBottom w:val="0"/>
          <w:divBdr>
            <w:top w:val="none" w:sz="0" w:space="0" w:color="auto"/>
            <w:left w:val="none" w:sz="0" w:space="0" w:color="auto"/>
            <w:bottom w:val="none" w:sz="0" w:space="0" w:color="auto"/>
            <w:right w:val="none" w:sz="0" w:space="0" w:color="auto"/>
          </w:divBdr>
        </w:div>
      </w:divsChild>
    </w:div>
    <w:div w:id="382752200">
      <w:bodyDiv w:val="1"/>
      <w:marLeft w:val="0"/>
      <w:marRight w:val="0"/>
      <w:marTop w:val="0"/>
      <w:marBottom w:val="0"/>
      <w:divBdr>
        <w:top w:val="none" w:sz="0" w:space="0" w:color="auto"/>
        <w:left w:val="none" w:sz="0" w:space="0" w:color="auto"/>
        <w:bottom w:val="none" w:sz="0" w:space="0" w:color="auto"/>
        <w:right w:val="none" w:sz="0" w:space="0" w:color="auto"/>
      </w:divBdr>
      <w:divsChild>
        <w:div w:id="1803765962">
          <w:marLeft w:val="0"/>
          <w:marRight w:val="0"/>
          <w:marTop w:val="0"/>
          <w:marBottom w:val="0"/>
          <w:divBdr>
            <w:top w:val="none" w:sz="0" w:space="0" w:color="auto"/>
            <w:left w:val="none" w:sz="0" w:space="0" w:color="auto"/>
            <w:bottom w:val="none" w:sz="0" w:space="0" w:color="auto"/>
            <w:right w:val="none" w:sz="0" w:space="0" w:color="auto"/>
          </w:divBdr>
        </w:div>
        <w:div w:id="212274149">
          <w:marLeft w:val="0"/>
          <w:marRight w:val="0"/>
          <w:marTop w:val="0"/>
          <w:marBottom w:val="0"/>
          <w:divBdr>
            <w:top w:val="none" w:sz="0" w:space="0" w:color="auto"/>
            <w:left w:val="none" w:sz="0" w:space="0" w:color="auto"/>
            <w:bottom w:val="none" w:sz="0" w:space="0" w:color="auto"/>
            <w:right w:val="none" w:sz="0" w:space="0" w:color="auto"/>
          </w:divBdr>
        </w:div>
        <w:div w:id="1413161489">
          <w:marLeft w:val="0"/>
          <w:marRight w:val="0"/>
          <w:marTop w:val="0"/>
          <w:marBottom w:val="0"/>
          <w:divBdr>
            <w:top w:val="none" w:sz="0" w:space="0" w:color="auto"/>
            <w:left w:val="none" w:sz="0" w:space="0" w:color="auto"/>
            <w:bottom w:val="none" w:sz="0" w:space="0" w:color="auto"/>
            <w:right w:val="none" w:sz="0" w:space="0" w:color="auto"/>
          </w:divBdr>
        </w:div>
        <w:div w:id="2001032117">
          <w:marLeft w:val="0"/>
          <w:marRight w:val="0"/>
          <w:marTop w:val="0"/>
          <w:marBottom w:val="0"/>
          <w:divBdr>
            <w:top w:val="none" w:sz="0" w:space="0" w:color="auto"/>
            <w:left w:val="none" w:sz="0" w:space="0" w:color="auto"/>
            <w:bottom w:val="none" w:sz="0" w:space="0" w:color="auto"/>
            <w:right w:val="none" w:sz="0" w:space="0" w:color="auto"/>
          </w:divBdr>
        </w:div>
        <w:div w:id="1923177014">
          <w:marLeft w:val="0"/>
          <w:marRight w:val="0"/>
          <w:marTop w:val="0"/>
          <w:marBottom w:val="0"/>
          <w:divBdr>
            <w:top w:val="none" w:sz="0" w:space="0" w:color="auto"/>
            <w:left w:val="none" w:sz="0" w:space="0" w:color="auto"/>
            <w:bottom w:val="none" w:sz="0" w:space="0" w:color="auto"/>
            <w:right w:val="none" w:sz="0" w:space="0" w:color="auto"/>
          </w:divBdr>
        </w:div>
        <w:div w:id="1773357654">
          <w:marLeft w:val="0"/>
          <w:marRight w:val="0"/>
          <w:marTop w:val="0"/>
          <w:marBottom w:val="0"/>
          <w:divBdr>
            <w:top w:val="none" w:sz="0" w:space="0" w:color="auto"/>
            <w:left w:val="none" w:sz="0" w:space="0" w:color="auto"/>
            <w:bottom w:val="none" w:sz="0" w:space="0" w:color="auto"/>
            <w:right w:val="none" w:sz="0" w:space="0" w:color="auto"/>
          </w:divBdr>
        </w:div>
        <w:div w:id="1966042825">
          <w:marLeft w:val="0"/>
          <w:marRight w:val="0"/>
          <w:marTop w:val="0"/>
          <w:marBottom w:val="0"/>
          <w:divBdr>
            <w:top w:val="none" w:sz="0" w:space="0" w:color="auto"/>
            <w:left w:val="none" w:sz="0" w:space="0" w:color="auto"/>
            <w:bottom w:val="none" w:sz="0" w:space="0" w:color="auto"/>
            <w:right w:val="none" w:sz="0" w:space="0" w:color="auto"/>
          </w:divBdr>
        </w:div>
        <w:div w:id="816652593">
          <w:marLeft w:val="0"/>
          <w:marRight w:val="0"/>
          <w:marTop w:val="0"/>
          <w:marBottom w:val="0"/>
          <w:divBdr>
            <w:top w:val="none" w:sz="0" w:space="0" w:color="auto"/>
            <w:left w:val="none" w:sz="0" w:space="0" w:color="auto"/>
            <w:bottom w:val="none" w:sz="0" w:space="0" w:color="auto"/>
            <w:right w:val="none" w:sz="0" w:space="0" w:color="auto"/>
          </w:divBdr>
        </w:div>
        <w:div w:id="2022002793">
          <w:marLeft w:val="0"/>
          <w:marRight w:val="0"/>
          <w:marTop w:val="0"/>
          <w:marBottom w:val="0"/>
          <w:divBdr>
            <w:top w:val="none" w:sz="0" w:space="0" w:color="auto"/>
            <w:left w:val="none" w:sz="0" w:space="0" w:color="auto"/>
            <w:bottom w:val="none" w:sz="0" w:space="0" w:color="auto"/>
            <w:right w:val="none" w:sz="0" w:space="0" w:color="auto"/>
          </w:divBdr>
        </w:div>
        <w:div w:id="1498154639">
          <w:marLeft w:val="0"/>
          <w:marRight w:val="0"/>
          <w:marTop w:val="0"/>
          <w:marBottom w:val="0"/>
          <w:divBdr>
            <w:top w:val="none" w:sz="0" w:space="0" w:color="auto"/>
            <w:left w:val="none" w:sz="0" w:space="0" w:color="auto"/>
            <w:bottom w:val="none" w:sz="0" w:space="0" w:color="auto"/>
            <w:right w:val="none" w:sz="0" w:space="0" w:color="auto"/>
          </w:divBdr>
        </w:div>
        <w:div w:id="384913890">
          <w:marLeft w:val="0"/>
          <w:marRight w:val="0"/>
          <w:marTop w:val="0"/>
          <w:marBottom w:val="0"/>
          <w:divBdr>
            <w:top w:val="none" w:sz="0" w:space="0" w:color="auto"/>
            <w:left w:val="none" w:sz="0" w:space="0" w:color="auto"/>
            <w:bottom w:val="none" w:sz="0" w:space="0" w:color="auto"/>
            <w:right w:val="none" w:sz="0" w:space="0" w:color="auto"/>
          </w:divBdr>
        </w:div>
        <w:div w:id="1796826568">
          <w:marLeft w:val="0"/>
          <w:marRight w:val="0"/>
          <w:marTop w:val="0"/>
          <w:marBottom w:val="0"/>
          <w:divBdr>
            <w:top w:val="none" w:sz="0" w:space="0" w:color="auto"/>
            <w:left w:val="none" w:sz="0" w:space="0" w:color="auto"/>
            <w:bottom w:val="none" w:sz="0" w:space="0" w:color="auto"/>
            <w:right w:val="none" w:sz="0" w:space="0" w:color="auto"/>
          </w:divBdr>
        </w:div>
        <w:div w:id="1631472616">
          <w:marLeft w:val="0"/>
          <w:marRight w:val="0"/>
          <w:marTop w:val="0"/>
          <w:marBottom w:val="0"/>
          <w:divBdr>
            <w:top w:val="none" w:sz="0" w:space="0" w:color="auto"/>
            <w:left w:val="none" w:sz="0" w:space="0" w:color="auto"/>
            <w:bottom w:val="none" w:sz="0" w:space="0" w:color="auto"/>
            <w:right w:val="none" w:sz="0" w:space="0" w:color="auto"/>
          </w:divBdr>
        </w:div>
        <w:div w:id="738942517">
          <w:marLeft w:val="0"/>
          <w:marRight w:val="0"/>
          <w:marTop w:val="0"/>
          <w:marBottom w:val="0"/>
          <w:divBdr>
            <w:top w:val="none" w:sz="0" w:space="0" w:color="auto"/>
            <w:left w:val="none" w:sz="0" w:space="0" w:color="auto"/>
            <w:bottom w:val="none" w:sz="0" w:space="0" w:color="auto"/>
            <w:right w:val="none" w:sz="0" w:space="0" w:color="auto"/>
          </w:divBdr>
        </w:div>
        <w:div w:id="1247688425">
          <w:marLeft w:val="0"/>
          <w:marRight w:val="0"/>
          <w:marTop w:val="0"/>
          <w:marBottom w:val="0"/>
          <w:divBdr>
            <w:top w:val="none" w:sz="0" w:space="0" w:color="auto"/>
            <w:left w:val="none" w:sz="0" w:space="0" w:color="auto"/>
            <w:bottom w:val="none" w:sz="0" w:space="0" w:color="auto"/>
            <w:right w:val="none" w:sz="0" w:space="0" w:color="auto"/>
          </w:divBdr>
        </w:div>
        <w:div w:id="840199237">
          <w:marLeft w:val="0"/>
          <w:marRight w:val="0"/>
          <w:marTop w:val="0"/>
          <w:marBottom w:val="0"/>
          <w:divBdr>
            <w:top w:val="none" w:sz="0" w:space="0" w:color="auto"/>
            <w:left w:val="none" w:sz="0" w:space="0" w:color="auto"/>
            <w:bottom w:val="none" w:sz="0" w:space="0" w:color="auto"/>
            <w:right w:val="none" w:sz="0" w:space="0" w:color="auto"/>
          </w:divBdr>
        </w:div>
        <w:div w:id="741877076">
          <w:marLeft w:val="0"/>
          <w:marRight w:val="0"/>
          <w:marTop w:val="0"/>
          <w:marBottom w:val="0"/>
          <w:divBdr>
            <w:top w:val="none" w:sz="0" w:space="0" w:color="auto"/>
            <w:left w:val="none" w:sz="0" w:space="0" w:color="auto"/>
            <w:bottom w:val="none" w:sz="0" w:space="0" w:color="auto"/>
            <w:right w:val="none" w:sz="0" w:space="0" w:color="auto"/>
          </w:divBdr>
        </w:div>
        <w:div w:id="296953612">
          <w:marLeft w:val="0"/>
          <w:marRight w:val="0"/>
          <w:marTop w:val="0"/>
          <w:marBottom w:val="0"/>
          <w:divBdr>
            <w:top w:val="none" w:sz="0" w:space="0" w:color="auto"/>
            <w:left w:val="none" w:sz="0" w:space="0" w:color="auto"/>
            <w:bottom w:val="none" w:sz="0" w:space="0" w:color="auto"/>
            <w:right w:val="none" w:sz="0" w:space="0" w:color="auto"/>
          </w:divBdr>
        </w:div>
        <w:div w:id="339234848">
          <w:marLeft w:val="0"/>
          <w:marRight w:val="0"/>
          <w:marTop w:val="0"/>
          <w:marBottom w:val="0"/>
          <w:divBdr>
            <w:top w:val="none" w:sz="0" w:space="0" w:color="auto"/>
            <w:left w:val="none" w:sz="0" w:space="0" w:color="auto"/>
            <w:bottom w:val="none" w:sz="0" w:space="0" w:color="auto"/>
            <w:right w:val="none" w:sz="0" w:space="0" w:color="auto"/>
          </w:divBdr>
        </w:div>
        <w:div w:id="1848977334">
          <w:marLeft w:val="0"/>
          <w:marRight w:val="0"/>
          <w:marTop w:val="0"/>
          <w:marBottom w:val="0"/>
          <w:divBdr>
            <w:top w:val="none" w:sz="0" w:space="0" w:color="auto"/>
            <w:left w:val="none" w:sz="0" w:space="0" w:color="auto"/>
            <w:bottom w:val="none" w:sz="0" w:space="0" w:color="auto"/>
            <w:right w:val="none" w:sz="0" w:space="0" w:color="auto"/>
          </w:divBdr>
        </w:div>
        <w:div w:id="2038038919">
          <w:marLeft w:val="0"/>
          <w:marRight w:val="0"/>
          <w:marTop w:val="0"/>
          <w:marBottom w:val="0"/>
          <w:divBdr>
            <w:top w:val="none" w:sz="0" w:space="0" w:color="auto"/>
            <w:left w:val="none" w:sz="0" w:space="0" w:color="auto"/>
            <w:bottom w:val="none" w:sz="0" w:space="0" w:color="auto"/>
            <w:right w:val="none" w:sz="0" w:space="0" w:color="auto"/>
          </w:divBdr>
        </w:div>
        <w:div w:id="792091586">
          <w:marLeft w:val="0"/>
          <w:marRight w:val="0"/>
          <w:marTop w:val="0"/>
          <w:marBottom w:val="0"/>
          <w:divBdr>
            <w:top w:val="none" w:sz="0" w:space="0" w:color="auto"/>
            <w:left w:val="none" w:sz="0" w:space="0" w:color="auto"/>
            <w:bottom w:val="none" w:sz="0" w:space="0" w:color="auto"/>
            <w:right w:val="none" w:sz="0" w:space="0" w:color="auto"/>
          </w:divBdr>
        </w:div>
        <w:div w:id="1181703815">
          <w:marLeft w:val="0"/>
          <w:marRight w:val="0"/>
          <w:marTop w:val="0"/>
          <w:marBottom w:val="0"/>
          <w:divBdr>
            <w:top w:val="none" w:sz="0" w:space="0" w:color="auto"/>
            <w:left w:val="none" w:sz="0" w:space="0" w:color="auto"/>
            <w:bottom w:val="none" w:sz="0" w:space="0" w:color="auto"/>
            <w:right w:val="none" w:sz="0" w:space="0" w:color="auto"/>
          </w:divBdr>
        </w:div>
        <w:div w:id="95365963">
          <w:marLeft w:val="0"/>
          <w:marRight w:val="0"/>
          <w:marTop w:val="0"/>
          <w:marBottom w:val="0"/>
          <w:divBdr>
            <w:top w:val="none" w:sz="0" w:space="0" w:color="auto"/>
            <w:left w:val="none" w:sz="0" w:space="0" w:color="auto"/>
            <w:bottom w:val="none" w:sz="0" w:space="0" w:color="auto"/>
            <w:right w:val="none" w:sz="0" w:space="0" w:color="auto"/>
          </w:divBdr>
        </w:div>
        <w:div w:id="2026712752">
          <w:marLeft w:val="0"/>
          <w:marRight w:val="0"/>
          <w:marTop w:val="0"/>
          <w:marBottom w:val="0"/>
          <w:divBdr>
            <w:top w:val="none" w:sz="0" w:space="0" w:color="auto"/>
            <w:left w:val="none" w:sz="0" w:space="0" w:color="auto"/>
            <w:bottom w:val="none" w:sz="0" w:space="0" w:color="auto"/>
            <w:right w:val="none" w:sz="0" w:space="0" w:color="auto"/>
          </w:divBdr>
        </w:div>
        <w:div w:id="714350205">
          <w:marLeft w:val="0"/>
          <w:marRight w:val="0"/>
          <w:marTop w:val="0"/>
          <w:marBottom w:val="0"/>
          <w:divBdr>
            <w:top w:val="none" w:sz="0" w:space="0" w:color="auto"/>
            <w:left w:val="none" w:sz="0" w:space="0" w:color="auto"/>
            <w:bottom w:val="none" w:sz="0" w:space="0" w:color="auto"/>
            <w:right w:val="none" w:sz="0" w:space="0" w:color="auto"/>
          </w:divBdr>
        </w:div>
        <w:div w:id="747970195">
          <w:marLeft w:val="0"/>
          <w:marRight w:val="0"/>
          <w:marTop w:val="0"/>
          <w:marBottom w:val="0"/>
          <w:divBdr>
            <w:top w:val="none" w:sz="0" w:space="0" w:color="auto"/>
            <w:left w:val="none" w:sz="0" w:space="0" w:color="auto"/>
            <w:bottom w:val="none" w:sz="0" w:space="0" w:color="auto"/>
            <w:right w:val="none" w:sz="0" w:space="0" w:color="auto"/>
          </w:divBdr>
        </w:div>
        <w:div w:id="2110075347">
          <w:marLeft w:val="0"/>
          <w:marRight w:val="0"/>
          <w:marTop w:val="0"/>
          <w:marBottom w:val="0"/>
          <w:divBdr>
            <w:top w:val="none" w:sz="0" w:space="0" w:color="auto"/>
            <w:left w:val="none" w:sz="0" w:space="0" w:color="auto"/>
            <w:bottom w:val="none" w:sz="0" w:space="0" w:color="auto"/>
            <w:right w:val="none" w:sz="0" w:space="0" w:color="auto"/>
          </w:divBdr>
        </w:div>
        <w:div w:id="1874463504">
          <w:marLeft w:val="0"/>
          <w:marRight w:val="0"/>
          <w:marTop w:val="0"/>
          <w:marBottom w:val="0"/>
          <w:divBdr>
            <w:top w:val="none" w:sz="0" w:space="0" w:color="auto"/>
            <w:left w:val="none" w:sz="0" w:space="0" w:color="auto"/>
            <w:bottom w:val="none" w:sz="0" w:space="0" w:color="auto"/>
            <w:right w:val="none" w:sz="0" w:space="0" w:color="auto"/>
          </w:divBdr>
        </w:div>
        <w:div w:id="2082746759">
          <w:marLeft w:val="0"/>
          <w:marRight w:val="0"/>
          <w:marTop w:val="0"/>
          <w:marBottom w:val="0"/>
          <w:divBdr>
            <w:top w:val="none" w:sz="0" w:space="0" w:color="auto"/>
            <w:left w:val="none" w:sz="0" w:space="0" w:color="auto"/>
            <w:bottom w:val="none" w:sz="0" w:space="0" w:color="auto"/>
            <w:right w:val="none" w:sz="0" w:space="0" w:color="auto"/>
          </w:divBdr>
        </w:div>
        <w:div w:id="784270577">
          <w:marLeft w:val="0"/>
          <w:marRight w:val="0"/>
          <w:marTop w:val="0"/>
          <w:marBottom w:val="0"/>
          <w:divBdr>
            <w:top w:val="none" w:sz="0" w:space="0" w:color="auto"/>
            <w:left w:val="none" w:sz="0" w:space="0" w:color="auto"/>
            <w:bottom w:val="none" w:sz="0" w:space="0" w:color="auto"/>
            <w:right w:val="none" w:sz="0" w:space="0" w:color="auto"/>
          </w:divBdr>
        </w:div>
        <w:div w:id="295456069">
          <w:marLeft w:val="0"/>
          <w:marRight w:val="0"/>
          <w:marTop w:val="0"/>
          <w:marBottom w:val="0"/>
          <w:divBdr>
            <w:top w:val="none" w:sz="0" w:space="0" w:color="auto"/>
            <w:left w:val="none" w:sz="0" w:space="0" w:color="auto"/>
            <w:bottom w:val="none" w:sz="0" w:space="0" w:color="auto"/>
            <w:right w:val="none" w:sz="0" w:space="0" w:color="auto"/>
          </w:divBdr>
        </w:div>
        <w:div w:id="33315370">
          <w:marLeft w:val="0"/>
          <w:marRight w:val="0"/>
          <w:marTop w:val="0"/>
          <w:marBottom w:val="0"/>
          <w:divBdr>
            <w:top w:val="none" w:sz="0" w:space="0" w:color="auto"/>
            <w:left w:val="none" w:sz="0" w:space="0" w:color="auto"/>
            <w:bottom w:val="none" w:sz="0" w:space="0" w:color="auto"/>
            <w:right w:val="none" w:sz="0" w:space="0" w:color="auto"/>
          </w:divBdr>
        </w:div>
        <w:div w:id="414908793">
          <w:marLeft w:val="0"/>
          <w:marRight w:val="0"/>
          <w:marTop w:val="0"/>
          <w:marBottom w:val="0"/>
          <w:divBdr>
            <w:top w:val="none" w:sz="0" w:space="0" w:color="auto"/>
            <w:left w:val="none" w:sz="0" w:space="0" w:color="auto"/>
            <w:bottom w:val="none" w:sz="0" w:space="0" w:color="auto"/>
            <w:right w:val="none" w:sz="0" w:space="0" w:color="auto"/>
          </w:divBdr>
        </w:div>
        <w:div w:id="419371929">
          <w:marLeft w:val="0"/>
          <w:marRight w:val="0"/>
          <w:marTop w:val="0"/>
          <w:marBottom w:val="0"/>
          <w:divBdr>
            <w:top w:val="none" w:sz="0" w:space="0" w:color="auto"/>
            <w:left w:val="none" w:sz="0" w:space="0" w:color="auto"/>
            <w:bottom w:val="none" w:sz="0" w:space="0" w:color="auto"/>
            <w:right w:val="none" w:sz="0" w:space="0" w:color="auto"/>
          </w:divBdr>
        </w:div>
        <w:div w:id="1608463156">
          <w:marLeft w:val="0"/>
          <w:marRight w:val="0"/>
          <w:marTop w:val="0"/>
          <w:marBottom w:val="0"/>
          <w:divBdr>
            <w:top w:val="none" w:sz="0" w:space="0" w:color="auto"/>
            <w:left w:val="none" w:sz="0" w:space="0" w:color="auto"/>
            <w:bottom w:val="none" w:sz="0" w:space="0" w:color="auto"/>
            <w:right w:val="none" w:sz="0" w:space="0" w:color="auto"/>
          </w:divBdr>
        </w:div>
        <w:div w:id="1847137935">
          <w:marLeft w:val="0"/>
          <w:marRight w:val="0"/>
          <w:marTop w:val="0"/>
          <w:marBottom w:val="0"/>
          <w:divBdr>
            <w:top w:val="none" w:sz="0" w:space="0" w:color="auto"/>
            <w:left w:val="none" w:sz="0" w:space="0" w:color="auto"/>
            <w:bottom w:val="none" w:sz="0" w:space="0" w:color="auto"/>
            <w:right w:val="none" w:sz="0" w:space="0" w:color="auto"/>
          </w:divBdr>
        </w:div>
        <w:div w:id="2055541551">
          <w:marLeft w:val="0"/>
          <w:marRight w:val="0"/>
          <w:marTop w:val="0"/>
          <w:marBottom w:val="0"/>
          <w:divBdr>
            <w:top w:val="none" w:sz="0" w:space="0" w:color="auto"/>
            <w:left w:val="none" w:sz="0" w:space="0" w:color="auto"/>
            <w:bottom w:val="none" w:sz="0" w:space="0" w:color="auto"/>
            <w:right w:val="none" w:sz="0" w:space="0" w:color="auto"/>
          </w:divBdr>
        </w:div>
        <w:div w:id="1985812827">
          <w:marLeft w:val="0"/>
          <w:marRight w:val="0"/>
          <w:marTop w:val="0"/>
          <w:marBottom w:val="0"/>
          <w:divBdr>
            <w:top w:val="none" w:sz="0" w:space="0" w:color="auto"/>
            <w:left w:val="none" w:sz="0" w:space="0" w:color="auto"/>
            <w:bottom w:val="none" w:sz="0" w:space="0" w:color="auto"/>
            <w:right w:val="none" w:sz="0" w:space="0" w:color="auto"/>
          </w:divBdr>
        </w:div>
        <w:div w:id="946817322">
          <w:marLeft w:val="0"/>
          <w:marRight w:val="0"/>
          <w:marTop w:val="0"/>
          <w:marBottom w:val="0"/>
          <w:divBdr>
            <w:top w:val="none" w:sz="0" w:space="0" w:color="auto"/>
            <w:left w:val="none" w:sz="0" w:space="0" w:color="auto"/>
            <w:bottom w:val="none" w:sz="0" w:space="0" w:color="auto"/>
            <w:right w:val="none" w:sz="0" w:space="0" w:color="auto"/>
          </w:divBdr>
        </w:div>
        <w:div w:id="2028602004">
          <w:marLeft w:val="0"/>
          <w:marRight w:val="0"/>
          <w:marTop w:val="0"/>
          <w:marBottom w:val="0"/>
          <w:divBdr>
            <w:top w:val="none" w:sz="0" w:space="0" w:color="auto"/>
            <w:left w:val="none" w:sz="0" w:space="0" w:color="auto"/>
            <w:bottom w:val="none" w:sz="0" w:space="0" w:color="auto"/>
            <w:right w:val="none" w:sz="0" w:space="0" w:color="auto"/>
          </w:divBdr>
        </w:div>
        <w:div w:id="1653096962">
          <w:marLeft w:val="0"/>
          <w:marRight w:val="0"/>
          <w:marTop w:val="0"/>
          <w:marBottom w:val="0"/>
          <w:divBdr>
            <w:top w:val="none" w:sz="0" w:space="0" w:color="auto"/>
            <w:left w:val="none" w:sz="0" w:space="0" w:color="auto"/>
            <w:bottom w:val="none" w:sz="0" w:space="0" w:color="auto"/>
            <w:right w:val="none" w:sz="0" w:space="0" w:color="auto"/>
          </w:divBdr>
        </w:div>
        <w:div w:id="1482579483">
          <w:marLeft w:val="0"/>
          <w:marRight w:val="0"/>
          <w:marTop w:val="0"/>
          <w:marBottom w:val="0"/>
          <w:divBdr>
            <w:top w:val="none" w:sz="0" w:space="0" w:color="auto"/>
            <w:left w:val="none" w:sz="0" w:space="0" w:color="auto"/>
            <w:bottom w:val="none" w:sz="0" w:space="0" w:color="auto"/>
            <w:right w:val="none" w:sz="0" w:space="0" w:color="auto"/>
          </w:divBdr>
        </w:div>
        <w:div w:id="1469786586">
          <w:marLeft w:val="0"/>
          <w:marRight w:val="0"/>
          <w:marTop w:val="0"/>
          <w:marBottom w:val="0"/>
          <w:divBdr>
            <w:top w:val="none" w:sz="0" w:space="0" w:color="auto"/>
            <w:left w:val="none" w:sz="0" w:space="0" w:color="auto"/>
            <w:bottom w:val="none" w:sz="0" w:space="0" w:color="auto"/>
            <w:right w:val="none" w:sz="0" w:space="0" w:color="auto"/>
          </w:divBdr>
        </w:div>
        <w:div w:id="524831930">
          <w:marLeft w:val="0"/>
          <w:marRight w:val="0"/>
          <w:marTop w:val="0"/>
          <w:marBottom w:val="0"/>
          <w:divBdr>
            <w:top w:val="none" w:sz="0" w:space="0" w:color="auto"/>
            <w:left w:val="none" w:sz="0" w:space="0" w:color="auto"/>
            <w:bottom w:val="none" w:sz="0" w:space="0" w:color="auto"/>
            <w:right w:val="none" w:sz="0" w:space="0" w:color="auto"/>
          </w:divBdr>
        </w:div>
        <w:div w:id="584456531">
          <w:marLeft w:val="0"/>
          <w:marRight w:val="0"/>
          <w:marTop w:val="0"/>
          <w:marBottom w:val="0"/>
          <w:divBdr>
            <w:top w:val="none" w:sz="0" w:space="0" w:color="auto"/>
            <w:left w:val="none" w:sz="0" w:space="0" w:color="auto"/>
            <w:bottom w:val="none" w:sz="0" w:space="0" w:color="auto"/>
            <w:right w:val="none" w:sz="0" w:space="0" w:color="auto"/>
          </w:divBdr>
        </w:div>
        <w:div w:id="518860126">
          <w:marLeft w:val="0"/>
          <w:marRight w:val="0"/>
          <w:marTop w:val="0"/>
          <w:marBottom w:val="0"/>
          <w:divBdr>
            <w:top w:val="none" w:sz="0" w:space="0" w:color="auto"/>
            <w:left w:val="none" w:sz="0" w:space="0" w:color="auto"/>
            <w:bottom w:val="none" w:sz="0" w:space="0" w:color="auto"/>
            <w:right w:val="none" w:sz="0" w:space="0" w:color="auto"/>
          </w:divBdr>
        </w:div>
      </w:divsChild>
    </w:div>
    <w:div w:id="646323671">
      <w:bodyDiv w:val="1"/>
      <w:marLeft w:val="0"/>
      <w:marRight w:val="0"/>
      <w:marTop w:val="0"/>
      <w:marBottom w:val="0"/>
      <w:divBdr>
        <w:top w:val="none" w:sz="0" w:space="0" w:color="auto"/>
        <w:left w:val="none" w:sz="0" w:space="0" w:color="auto"/>
        <w:bottom w:val="none" w:sz="0" w:space="0" w:color="auto"/>
        <w:right w:val="none" w:sz="0" w:space="0" w:color="auto"/>
      </w:divBdr>
      <w:divsChild>
        <w:div w:id="1655646713">
          <w:marLeft w:val="0"/>
          <w:marRight w:val="0"/>
          <w:marTop w:val="0"/>
          <w:marBottom w:val="0"/>
          <w:divBdr>
            <w:top w:val="none" w:sz="0" w:space="0" w:color="auto"/>
            <w:left w:val="none" w:sz="0" w:space="0" w:color="auto"/>
            <w:bottom w:val="none" w:sz="0" w:space="0" w:color="auto"/>
            <w:right w:val="none" w:sz="0" w:space="0" w:color="auto"/>
          </w:divBdr>
        </w:div>
        <w:div w:id="1167476099">
          <w:marLeft w:val="0"/>
          <w:marRight w:val="0"/>
          <w:marTop w:val="0"/>
          <w:marBottom w:val="0"/>
          <w:divBdr>
            <w:top w:val="none" w:sz="0" w:space="0" w:color="auto"/>
            <w:left w:val="none" w:sz="0" w:space="0" w:color="auto"/>
            <w:bottom w:val="none" w:sz="0" w:space="0" w:color="auto"/>
            <w:right w:val="none" w:sz="0" w:space="0" w:color="auto"/>
          </w:divBdr>
        </w:div>
        <w:div w:id="1609778594">
          <w:marLeft w:val="0"/>
          <w:marRight w:val="0"/>
          <w:marTop w:val="0"/>
          <w:marBottom w:val="0"/>
          <w:divBdr>
            <w:top w:val="none" w:sz="0" w:space="0" w:color="auto"/>
            <w:left w:val="none" w:sz="0" w:space="0" w:color="auto"/>
            <w:bottom w:val="none" w:sz="0" w:space="0" w:color="auto"/>
            <w:right w:val="none" w:sz="0" w:space="0" w:color="auto"/>
          </w:divBdr>
        </w:div>
        <w:div w:id="2081905103">
          <w:marLeft w:val="0"/>
          <w:marRight w:val="0"/>
          <w:marTop w:val="0"/>
          <w:marBottom w:val="0"/>
          <w:divBdr>
            <w:top w:val="none" w:sz="0" w:space="0" w:color="auto"/>
            <w:left w:val="none" w:sz="0" w:space="0" w:color="auto"/>
            <w:bottom w:val="none" w:sz="0" w:space="0" w:color="auto"/>
            <w:right w:val="none" w:sz="0" w:space="0" w:color="auto"/>
          </w:divBdr>
        </w:div>
        <w:div w:id="1998873382">
          <w:marLeft w:val="0"/>
          <w:marRight w:val="0"/>
          <w:marTop w:val="0"/>
          <w:marBottom w:val="0"/>
          <w:divBdr>
            <w:top w:val="none" w:sz="0" w:space="0" w:color="auto"/>
            <w:left w:val="none" w:sz="0" w:space="0" w:color="auto"/>
            <w:bottom w:val="none" w:sz="0" w:space="0" w:color="auto"/>
            <w:right w:val="none" w:sz="0" w:space="0" w:color="auto"/>
          </w:divBdr>
        </w:div>
        <w:div w:id="1093744532">
          <w:marLeft w:val="0"/>
          <w:marRight w:val="0"/>
          <w:marTop w:val="0"/>
          <w:marBottom w:val="0"/>
          <w:divBdr>
            <w:top w:val="none" w:sz="0" w:space="0" w:color="auto"/>
            <w:left w:val="none" w:sz="0" w:space="0" w:color="auto"/>
            <w:bottom w:val="none" w:sz="0" w:space="0" w:color="auto"/>
            <w:right w:val="none" w:sz="0" w:space="0" w:color="auto"/>
          </w:divBdr>
        </w:div>
        <w:div w:id="1269267963">
          <w:marLeft w:val="0"/>
          <w:marRight w:val="0"/>
          <w:marTop w:val="0"/>
          <w:marBottom w:val="0"/>
          <w:divBdr>
            <w:top w:val="none" w:sz="0" w:space="0" w:color="auto"/>
            <w:left w:val="none" w:sz="0" w:space="0" w:color="auto"/>
            <w:bottom w:val="none" w:sz="0" w:space="0" w:color="auto"/>
            <w:right w:val="none" w:sz="0" w:space="0" w:color="auto"/>
          </w:divBdr>
        </w:div>
        <w:div w:id="1168714817">
          <w:marLeft w:val="0"/>
          <w:marRight w:val="0"/>
          <w:marTop w:val="0"/>
          <w:marBottom w:val="0"/>
          <w:divBdr>
            <w:top w:val="none" w:sz="0" w:space="0" w:color="auto"/>
            <w:left w:val="none" w:sz="0" w:space="0" w:color="auto"/>
            <w:bottom w:val="none" w:sz="0" w:space="0" w:color="auto"/>
            <w:right w:val="none" w:sz="0" w:space="0" w:color="auto"/>
          </w:divBdr>
        </w:div>
        <w:div w:id="1060593643">
          <w:marLeft w:val="0"/>
          <w:marRight w:val="0"/>
          <w:marTop w:val="0"/>
          <w:marBottom w:val="0"/>
          <w:divBdr>
            <w:top w:val="none" w:sz="0" w:space="0" w:color="auto"/>
            <w:left w:val="none" w:sz="0" w:space="0" w:color="auto"/>
            <w:bottom w:val="none" w:sz="0" w:space="0" w:color="auto"/>
            <w:right w:val="none" w:sz="0" w:space="0" w:color="auto"/>
          </w:divBdr>
        </w:div>
        <w:div w:id="1634869597">
          <w:marLeft w:val="0"/>
          <w:marRight w:val="0"/>
          <w:marTop w:val="0"/>
          <w:marBottom w:val="0"/>
          <w:divBdr>
            <w:top w:val="none" w:sz="0" w:space="0" w:color="auto"/>
            <w:left w:val="none" w:sz="0" w:space="0" w:color="auto"/>
            <w:bottom w:val="none" w:sz="0" w:space="0" w:color="auto"/>
            <w:right w:val="none" w:sz="0" w:space="0" w:color="auto"/>
          </w:divBdr>
        </w:div>
        <w:div w:id="1821574505">
          <w:marLeft w:val="0"/>
          <w:marRight w:val="0"/>
          <w:marTop w:val="0"/>
          <w:marBottom w:val="0"/>
          <w:divBdr>
            <w:top w:val="none" w:sz="0" w:space="0" w:color="auto"/>
            <w:left w:val="none" w:sz="0" w:space="0" w:color="auto"/>
            <w:bottom w:val="none" w:sz="0" w:space="0" w:color="auto"/>
            <w:right w:val="none" w:sz="0" w:space="0" w:color="auto"/>
          </w:divBdr>
        </w:div>
      </w:divsChild>
    </w:div>
    <w:div w:id="1016074801">
      <w:bodyDiv w:val="1"/>
      <w:marLeft w:val="0"/>
      <w:marRight w:val="0"/>
      <w:marTop w:val="0"/>
      <w:marBottom w:val="0"/>
      <w:divBdr>
        <w:top w:val="none" w:sz="0" w:space="0" w:color="auto"/>
        <w:left w:val="none" w:sz="0" w:space="0" w:color="auto"/>
        <w:bottom w:val="none" w:sz="0" w:space="0" w:color="auto"/>
        <w:right w:val="none" w:sz="0" w:space="0" w:color="auto"/>
      </w:divBdr>
    </w:div>
    <w:div w:id="1087385540">
      <w:bodyDiv w:val="1"/>
      <w:marLeft w:val="0"/>
      <w:marRight w:val="0"/>
      <w:marTop w:val="0"/>
      <w:marBottom w:val="0"/>
      <w:divBdr>
        <w:top w:val="none" w:sz="0" w:space="0" w:color="auto"/>
        <w:left w:val="none" w:sz="0" w:space="0" w:color="auto"/>
        <w:bottom w:val="none" w:sz="0" w:space="0" w:color="auto"/>
        <w:right w:val="none" w:sz="0" w:space="0" w:color="auto"/>
      </w:divBdr>
      <w:divsChild>
        <w:div w:id="731080603">
          <w:marLeft w:val="0"/>
          <w:marRight w:val="0"/>
          <w:marTop w:val="0"/>
          <w:marBottom w:val="0"/>
          <w:divBdr>
            <w:top w:val="none" w:sz="0" w:space="0" w:color="auto"/>
            <w:left w:val="none" w:sz="0" w:space="0" w:color="auto"/>
            <w:bottom w:val="none" w:sz="0" w:space="0" w:color="auto"/>
            <w:right w:val="none" w:sz="0" w:space="0" w:color="auto"/>
          </w:divBdr>
        </w:div>
        <w:div w:id="1532381895">
          <w:marLeft w:val="0"/>
          <w:marRight w:val="0"/>
          <w:marTop w:val="0"/>
          <w:marBottom w:val="0"/>
          <w:divBdr>
            <w:top w:val="none" w:sz="0" w:space="0" w:color="auto"/>
            <w:left w:val="none" w:sz="0" w:space="0" w:color="auto"/>
            <w:bottom w:val="none" w:sz="0" w:space="0" w:color="auto"/>
            <w:right w:val="none" w:sz="0" w:space="0" w:color="auto"/>
          </w:divBdr>
        </w:div>
        <w:div w:id="1168978208">
          <w:marLeft w:val="0"/>
          <w:marRight w:val="0"/>
          <w:marTop w:val="0"/>
          <w:marBottom w:val="0"/>
          <w:divBdr>
            <w:top w:val="none" w:sz="0" w:space="0" w:color="auto"/>
            <w:left w:val="none" w:sz="0" w:space="0" w:color="auto"/>
            <w:bottom w:val="none" w:sz="0" w:space="0" w:color="auto"/>
            <w:right w:val="none" w:sz="0" w:space="0" w:color="auto"/>
          </w:divBdr>
        </w:div>
        <w:div w:id="697242177">
          <w:marLeft w:val="0"/>
          <w:marRight w:val="0"/>
          <w:marTop w:val="0"/>
          <w:marBottom w:val="0"/>
          <w:divBdr>
            <w:top w:val="none" w:sz="0" w:space="0" w:color="auto"/>
            <w:left w:val="none" w:sz="0" w:space="0" w:color="auto"/>
            <w:bottom w:val="none" w:sz="0" w:space="0" w:color="auto"/>
            <w:right w:val="none" w:sz="0" w:space="0" w:color="auto"/>
          </w:divBdr>
        </w:div>
        <w:div w:id="1291472762">
          <w:marLeft w:val="0"/>
          <w:marRight w:val="0"/>
          <w:marTop w:val="0"/>
          <w:marBottom w:val="0"/>
          <w:divBdr>
            <w:top w:val="none" w:sz="0" w:space="0" w:color="auto"/>
            <w:left w:val="none" w:sz="0" w:space="0" w:color="auto"/>
            <w:bottom w:val="none" w:sz="0" w:space="0" w:color="auto"/>
            <w:right w:val="none" w:sz="0" w:space="0" w:color="auto"/>
          </w:divBdr>
        </w:div>
        <w:div w:id="183517999">
          <w:marLeft w:val="0"/>
          <w:marRight w:val="0"/>
          <w:marTop w:val="0"/>
          <w:marBottom w:val="0"/>
          <w:divBdr>
            <w:top w:val="none" w:sz="0" w:space="0" w:color="auto"/>
            <w:left w:val="none" w:sz="0" w:space="0" w:color="auto"/>
            <w:bottom w:val="none" w:sz="0" w:space="0" w:color="auto"/>
            <w:right w:val="none" w:sz="0" w:space="0" w:color="auto"/>
          </w:divBdr>
        </w:div>
        <w:div w:id="1812018687">
          <w:marLeft w:val="0"/>
          <w:marRight w:val="0"/>
          <w:marTop w:val="0"/>
          <w:marBottom w:val="0"/>
          <w:divBdr>
            <w:top w:val="none" w:sz="0" w:space="0" w:color="auto"/>
            <w:left w:val="none" w:sz="0" w:space="0" w:color="auto"/>
            <w:bottom w:val="none" w:sz="0" w:space="0" w:color="auto"/>
            <w:right w:val="none" w:sz="0" w:space="0" w:color="auto"/>
          </w:divBdr>
        </w:div>
        <w:div w:id="2126079434">
          <w:marLeft w:val="0"/>
          <w:marRight w:val="0"/>
          <w:marTop w:val="0"/>
          <w:marBottom w:val="0"/>
          <w:divBdr>
            <w:top w:val="none" w:sz="0" w:space="0" w:color="auto"/>
            <w:left w:val="none" w:sz="0" w:space="0" w:color="auto"/>
            <w:bottom w:val="none" w:sz="0" w:space="0" w:color="auto"/>
            <w:right w:val="none" w:sz="0" w:space="0" w:color="auto"/>
          </w:divBdr>
        </w:div>
        <w:div w:id="792289566">
          <w:marLeft w:val="0"/>
          <w:marRight w:val="0"/>
          <w:marTop w:val="0"/>
          <w:marBottom w:val="0"/>
          <w:divBdr>
            <w:top w:val="none" w:sz="0" w:space="0" w:color="auto"/>
            <w:left w:val="none" w:sz="0" w:space="0" w:color="auto"/>
            <w:bottom w:val="none" w:sz="0" w:space="0" w:color="auto"/>
            <w:right w:val="none" w:sz="0" w:space="0" w:color="auto"/>
          </w:divBdr>
        </w:div>
        <w:div w:id="1527476096">
          <w:marLeft w:val="0"/>
          <w:marRight w:val="0"/>
          <w:marTop w:val="0"/>
          <w:marBottom w:val="0"/>
          <w:divBdr>
            <w:top w:val="none" w:sz="0" w:space="0" w:color="auto"/>
            <w:left w:val="none" w:sz="0" w:space="0" w:color="auto"/>
            <w:bottom w:val="none" w:sz="0" w:space="0" w:color="auto"/>
            <w:right w:val="none" w:sz="0" w:space="0" w:color="auto"/>
          </w:divBdr>
        </w:div>
        <w:div w:id="102898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eur-lex.europa.eu/lt/treaties/dat/12007L/htm/C2007306LT.01015001.htm" TargetMode="External"/><Relationship Id="rId26" Type="http://schemas.openxmlformats.org/officeDocument/2006/relationships/hyperlink" Target="http://ukiuva.wordpress.com/2001/10/12/alternatyvus-pensiju-reformos-modeliai/" TargetMode="External"/><Relationship Id="rId39" Type="http://schemas.openxmlformats.org/officeDocument/2006/relationships/hyperlink" Target="http://www.lb.lt/ii_ir_iii_pakopos_pensiju_fondu_bei_kolektyvinio_investavimo_subjektu_rinkos_apzvalga_2012_m_iv_ketv_ir_2012_m" TargetMode="External"/><Relationship Id="rId21" Type="http://schemas.openxmlformats.org/officeDocument/2006/relationships/hyperlink" Target="http://politika.osf.lt/eurointegracija/santraukos/dalyvavimaspensijureformoje.htm" TargetMode="External"/><Relationship Id="rId34" Type="http://schemas.openxmlformats.org/officeDocument/2006/relationships/hyperlink" Target="http://www.oecd.org/finance/privatepensions/2488700.pdf" TargetMode="External"/><Relationship Id="rId42" Type="http://schemas.openxmlformats.org/officeDocument/2006/relationships/hyperlink" Target="http://www.lrinka.lt/n/index.php/meniu/ziniasklaidai/straipsniai_ir_komentarai/llri_siulo_tobulinti_pensiju_fondu_prieziura/2093" TargetMode="External"/><Relationship Id="rId47" Type="http://schemas.openxmlformats.org/officeDocument/2006/relationships/hyperlink" Target="http://ec.europa.eu/social/main.jsp?catId=752&amp;langId=en&amp;moreDocuments=yes" TargetMode="External"/><Relationship Id="rId50" Type="http://schemas.openxmlformats.org/officeDocument/2006/relationships/hyperlink" Target="http://www.lrinka.lt/index.php//1480" TargetMode="External"/><Relationship Id="rId55" Type="http://schemas.openxmlformats.org/officeDocument/2006/relationships/hyperlink" Target="http://www.pension.kiev.ua/files/Pension_Investment_Regulation_EN.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vddb.library.lt/fedora/get/LT-eLABa-0001:E.02~2010~D_20100507_093219-29272/DS.005.0.01.ETD" TargetMode="External"/><Relationship Id="rId29" Type="http://schemas.openxmlformats.org/officeDocument/2006/relationships/hyperlink" Target="http://ec.europa.eu/social/BlobServlet?docId=7341&amp;langId=lt" TargetMode="External"/><Relationship Id="rId41" Type="http://schemas.openxmlformats.org/officeDocument/2006/relationships/hyperlink" Target="http://iq.lt/komentarai/pensiju-reformu-dilemos/" TargetMode="External"/><Relationship Id="rId54" Type="http://schemas.openxmlformats.org/officeDocument/2006/relationships/hyperlink" Target="http://www.oecd.org/finance/privatepensions/240140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sup.org/html/book_pages/0804745218/Chapter_1.pdf" TargetMode="External"/><Relationship Id="rId32" Type="http://schemas.openxmlformats.org/officeDocument/2006/relationships/hyperlink" Target="http://www.europarl.europa.eu/document/activities/cont/201111/20111121ATT32055/20111121ATT32055EN.pdf" TargetMode="External"/><Relationship Id="rId37" Type="http://schemas.openxmlformats.org/officeDocument/2006/relationships/hyperlink" Target="http://www.marketnews.lt/naujiena/kodel_svarbu_diversifikuoti_savo_lesas_2010-10-03;itemid=20496" TargetMode="External"/><Relationship Id="rId40" Type="http://schemas.openxmlformats.org/officeDocument/2006/relationships/hyperlink" Target="http://www.vkontrole.lt/failas_senas.aspx?id=2582" TargetMode="External"/><Relationship Id="rId45" Type="http://schemas.openxmlformats.org/officeDocument/2006/relationships/hyperlink" Target="http://www.infolex.lt/portal/start.asp?Tema=43&amp;str=9070" TargetMode="External"/><Relationship Id="rId53" Type="http://schemas.openxmlformats.org/officeDocument/2006/relationships/hyperlink" Target="http://www.oecd.org/daf/fin/private-pensions/2011SurveyOfInvestmentRegulationsOfPensionFunds.pdf"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uroparl.europa.eu/document/activities/cont/201111/20111121ATT32055/20111121ATT32055EN.pdf" TargetMode="External"/><Relationship Id="rId23" Type="http://schemas.openxmlformats.org/officeDocument/2006/relationships/hyperlink" Target="http://www.mruni.eu/lt/mokslo_darbai/st/archyvas/dwn.php?id=307479" TargetMode="External"/><Relationship Id="rId28" Type="http://schemas.openxmlformats.org/officeDocument/2006/relationships/hyperlink" Target="http://jaunasis-mokslininkas.asu.lt/smk_2007/finansai/Ausiuraityte_Vaida.pdf" TargetMode="External"/><Relationship Id="rId36" Type="http://schemas.openxmlformats.org/officeDocument/2006/relationships/hyperlink" Target="https://secure3.gov.mt/socialpolicy/download.aspx?id=1035" TargetMode="External"/><Relationship Id="rId49" Type="http://schemas.openxmlformats.org/officeDocument/2006/relationships/hyperlink" Target="http://www3.lrs.lt/docs3/kad5/w5_istorija.show5-p_r=5695&amp;p_d=75801&amp;p_k=1.html" TargetMode="External"/><Relationship Id="rId57" Type="http://schemas.openxmlformats.org/officeDocument/2006/relationships/hyperlink" Target="http://alkas.lt/2012/03/07/vyriausybe-siulo-lankstesne-pensiju-kaupimo-privaciuose-fonduose-sistema/" TargetMode="External"/><Relationship Id="rId61"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www.leidykla.eu/fileadmin/Politologija/60/142-172.pdf" TargetMode="External"/><Relationship Id="rId31" Type="http://schemas.openxmlformats.org/officeDocument/2006/relationships/hyperlink" Target="http://ec.europa.eu/social/main.jsp?catId=738&amp;langId=lt&amp;pubId=494&amp;type=2&amp;furtherPubs=yes" TargetMode="External"/><Relationship Id="rId44" Type="http://schemas.openxmlformats.org/officeDocument/2006/relationships/hyperlink" Target="http://www.lrinka.lt/index.php//1815" TargetMode="External"/><Relationship Id="rId52" Type="http://schemas.openxmlformats.org/officeDocument/2006/relationships/hyperlink" Target="http://www.oecd.org/insurance/private-pensions/41013956.pdf"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hyperlink" Target="http://politika.osf.lt/eurointegracija/santraukos/dalyvavimaspensijureformoje.htm" TargetMode="External"/><Relationship Id="rId27" Type="http://schemas.openxmlformats.org/officeDocument/2006/relationships/hyperlink" Target="http://www.oecd.org/finance/private-pensions/41218144.pdf" TargetMode="External"/><Relationship Id="rId30" Type="http://schemas.openxmlformats.org/officeDocument/2006/relationships/hyperlink" Target="http://www.ldf.lt/get.php?f.3211" TargetMode="External"/><Relationship Id="rId35" Type="http://schemas.openxmlformats.org/officeDocument/2006/relationships/hyperlink" Target="http://www.pensijusistema.lt/index.php?-1913099046" TargetMode="External"/><Relationship Id="rId43" Type="http://schemas.openxmlformats.org/officeDocument/2006/relationships/hyperlink" Target="http://www.lrinka.lt/index.php/pranesimai_prezentacijos/pasauline_pensiju_fondu_praktika_ir_patirtis/2140" TargetMode="External"/><Relationship Id="rId48" Type="http://schemas.openxmlformats.org/officeDocument/2006/relationships/hyperlink" Target="http://www.socmin.lt/index.php?-1351634479" TargetMode="External"/><Relationship Id="rId56" Type="http://schemas.openxmlformats.org/officeDocument/2006/relationships/hyperlink" Target="http://www3.lrs.lt/docs3/kad5/w5_istorija.show5-p_r=5695&amp;p_d=77151&amp;p_k=1.html" TargetMode="External"/><Relationship Id="rId8" Type="http://schemas.openxmlformats.org/officeDocument/2006/relationships/endnotes" Target="endnotes.xml"/><Relationship Id="rId51" Type="http://schemas.openxmlformats.org/officeDocument/2006/relationships/hyperlink" Target="http://www.lrinka.lt/index.php/meniu/ziniasklaidai/straipsniai_ir_komentarai/pensiju_sistema_pokyciai_neisvengiami/4167;from_topic_id;19"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www3.lrs.lt/cgi-bin/preps2?a=197455&amp;b=" TargetMode="External"/><Relationship Id="rId25" Type="http://schemas.openxmlformats.org/officeDocument/2006/relationships/hyperlink" Target="http://www.lrs.lt/pls/proj/dokpaieska.showdoc_l?p_id=126224&amp;p_org=231&amp;p_fix=y&amp;p_gov=n" TargetMode="External"/><Relationship Id="rId33" Type="http://schemas.openxmlformats.org/officeDocument/2006/relationships/hyperlink" Target="http://www.finansai.lt/component/option,com_docman/task,doc_view/gid,78/" TargetMode="External"/><Relationship Id="rId38" Type="http://schemas.openxmlformats.org/officeDocument/2006/relationships/hyperlink" Target="http://www.lrinka.lt/uploads/files/dir2/9_0.php" TargetMode="External"/><Relationship Id="rId46" Type="http://schemas.openxmlformats.org/officeDocument/2006/relationships/hyperlink" Target="http://www.fiap.cl/prontus_fiap/site/artic/20070611/asocfile/20070611102152/pension_fund_investment_and_its_role_on_corporate_governance__oecd_.pdf" TargetMode="External"/><Relationship Id="rId59"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mruni.eu/lt/mokslo_darbai/st/archyvas/dwn.php?id=307479" TargetMode="External"/><Relationship Id="rId13" Type="http://schemas.openxmlformats.org/officeDocument/2006/relationships/hyperlink" Target="http://www.pension.kiev.ua/files/Pension_Investment_Regulation_EN.pdf" TargetMode="External"/><Relationship Id="rId18" Type="http://schemas.openxmlformats.org/officeDocument/2006/relationships/hyperlink" Target="https://secure3.gov.mt/socialpolicy/download.aspx?id=1035" TargetMode="External"/><Relationship Id="rId26" Type="http://schemas.openxmlformats.org/officeDocument/2006/relationships/hyperlink" Target="http://ec.europa.eu/social/main.jsp?catId=738&amp;langId=lt&amp;pubId=494&amp;type=2&amp;furtherPubs=yes" TargetMode="External"/><Relationship Id="rId39" Type="http://schemas.openxmlformats.org/officeDocument/2006/relationships/hyperlink" Target="http://www3.lrs.lt/docs3/kad5/w5_istorija.show5-p_r=5695&amp;p_d=75801&amp;p_k=1.html" TargetMode="External"/><Relationship Id="rId3" Type="http://schemas.openxmlformats.org/officeDocument/2006/relationships/hyperlink" Target="http://www.ldf.lt/get.php?f.3211" TargetMode="External"/><Relationship Id="rId21" Type="http://schemas.openxmlformats.org/officeDocument/2006/relationships/hyperlink" Target="http://www.fiap.cl/prontus_fiap/site/artic/20070611/asocfile/20070611102152/pension_fund_investment_and_its_role_on_corporate_governance__oecd_.pdf" TargetMode="External"/><Relationship Id="rId34" Type="http://schemas.openxmlformats.org/officeDocument/2006/relationships/hyperlink" Target="http://www.infolex.lt/portal/start.asp?Tema=43&amp;str=9070" TargetMode="External"/><Relationship Id="rId42" Type="http://schemas.openxmlformats.org/officeDocument/2006/relationships/hyperlink" Target="http://www3.lrs.lt/docs3/kad5/w5_istorija.show5-p_r=5695&amp;p_d=77151&amp;p_k=1.html" TargetMode="External"/><Relationship Id="rId7" Type="http://schemas.openxmlformats.org/officeDocument/2006/relationships/hyperlink" Target="http://vddb.library.lt/fedora/get/LT-eLABa-0001:E.02~2010~D_20100507_093219-29272/DS.005.0.01.ETD" TargetMode="External"/><Relationship Id="rId12" Type="http://schemas.openxmlformats.org/officeDocument/2006/relationships/hyperlink" Target="http://www.oecd.org/daf/fin/private-pensions/2011SurveyOfInvestmentRegulationsOfPensionFunds.pdf" TargetMode="External"/><Relationship Id="rId17" Type="http://schemas.openxmlformats.org/officeDocument/2006/relationships/hyperlink" Target="http://www.lrinka.lt/uploads/files/dir2/9_0.php" TargetMode="External"/><Relationship Id="rId25" Type="http://schemas.openxmlformats.org/officeDocument/2006/relationships/hyperlink" Target="http://www.oecd.org/finance/private-pensions/41218144.pdf" TargetMode="External"/><Relationship Id="rId33" Type="http://schemas.openxmlformats.org/officeDocument/2006/relationships/hyperlink" Target="http://jaunasis-mokslininkas.asu.lt/smk_2007/finansai/Ausiuraityte_Vaida.pdf" TargetMode="External"/><Relationship Id="rId38" Type="http://schemas.openxmlformats.org/officeDocument/2006/relationships/hyperlink" Target="http://alkas.lt/2012/03/07/vyriausybe-siulo-lankstesne-pensiju-kaupimo-privaciuose-fonduose-sistema/" TargetMode="External"/><Relationship Id="rId2" Type="http://schemas.openxmlformats.org/officeDocument/2006/relationships/hyperlink" Target="http://politika.osf.lt/eurointegracija/santraukos/dalyvavimaspensijureformoje.htm" TargetMode="External"/><Relationship Id="rId16" Type="http://schemas.openxmlformats.org/officeDocument/2006/relationships/hyperlink" Target="http://www.oecd.org/finance/privatepensions/2488700.pdf" TargetMode="External"/><Relationship Id="rId20" Type="http://schemas.openxmlformats.org/officeDocument/2006/relationships/hyperlink" Target="http://www.oecd.org/finance/privatepensions/2401405.pdf" TargetMode="External"/><Relationship Id="rId29" Type="http://schemas.openxmlformats.org/officeDocument/2006/relationships/hyperlink" Target="http://ukiuva.wordpress.com/2001/10/12/alternatyvus-pensiju-reformos-modeliai/" TargetMode="External"/><Relationship Id="rId41" Type="http://schemas.openxmlformats.org/officeDocument/2006/relationships/hyperlink" Target="http://www.lrv.lt/Posed_medz/2012/120307/21.pdf" TargetMode="External"/><Relationship Id="rId1" Type="http://schemas.openxmlformats.org/officeDocument/2006/relationships/hyperlink" Target="http://www.sup.org/html/book_pages/0804745218/Chapter_1.pdf" TargetMode="External"/><Relationship Id="rId6" Type="http://schemas.openxmlformats.org/officeDocument/2006/relationships/hyperlink" Target="http://www.socmin.lt/index.php?-1351634479" TargetMode="External"/><Relationship Id="rId11" Type="http://schemas.openxmlformats.org/officeDocument/2006/relationships/hyperlink" Target="http://www.lb.lt/ii_ir_iii_pakopos_pensiju_fondu_bei_kolektyvinio_investavimo_subjektu_rinkos_apzvalga_2012_m_iv_ketv_ir_2012_m" TargetMode="External"/><Relationship Id="rId24" Type="http://schemas.openxmlformats.org/officeDocument/2006/relationships/hyperlink" Target="http://www.lrinka.lt/index.php//1480" TargetMode="External"/><Relationship Id="rId32" Type="http://schemas.openxmlformats.org/officeDocument/2006/relationships/hyperlink" Target="http://www.finansai.lt/component/option,com_docman/task,doc_view/gid,78/" TargetMode="External"/><Relationship Id="rId37" Type="http://schemas.openxmlformats.org/officeDocument/2006/relationships/hyperlink" Target="http://www.vkontrole.lt/failas_senas.aspx?id=2582" TargetMode="External"/><Relationship Id="rId40" Type="http://schemas.openxmlformats.org/officeDocument/2006/relationships/hyperlink" Target="http://iq.lt/komentarai/pensiju-reformu-dilemos/" TargetMode="External"/><Relationship Id="rId5" Type="http://schemas.openxmlformats.org/officeDocument/2006/relationships/hyperlink" Target="http://www.europarl.europa.eu/document/activities/cont/201111/20111121ATT32055/20111121ATT32055EN.pdf" TargetMode="External"/><Relationship Id="rId15" Type="http://schemas.openxmlformats.org/officeDocument/2006/relationships/hyperlink" Target="http://www.marketnews.lt/naujiena/kodel_svarbu_diversifikuoti_savo_lesas_2010-10-03;itemid=20496" TargetMode="External"/><Relationship Id="rId23" Type="http://schemas.openxmlformats.org/officeDocument/2006/relationships/hyperlink" Target="http://www.lrinka.lt/index.php/pranesimai_prezentacijos/pasauline_pensiju_fondu_praktika_ir_patirtis/2140" TargetMode="External"/><Relationship Id="rId28" Type="http://schemas.openxmlformats.org/officeDocument/2006/relationships/hyperlink" Target="http://ec.europa.eu/social/main.jsp?catId=752&amp;langId=en&amp;moreDocuments=yes" TargetMode="External"/><Relationship Id="rId36" Type="http://schemas.openxmlformats.org/officeDocument/2006/relationships/hyperlink" Target="http://www.lrinka.lt/n/index.php/meniu/ziniasklaidai/straipsniai_ir_komentarai/llri_siulo_tobulinti_pensiju_fondu_prieziura/2093" TargetMode="External"/><Relationship Id="rId10" Type="http://schemas.openxmlformats.org/officeDocument/2006/relationships/hyperlink" Target="http://www.lrinka.lt/index.php/meniu/ziniasklaidai/straipsniai_ir_komentarai/pensiju_sistema_pokyciai_neisvengiami/4167;from_topic_id;19" TargetMode="External"/><Relationship Id="rId19" Type="http://schemas.openxmlformats.org/officeDocument/2006/relationships/hyperlink" Target="http://politika.osf.lt/eurointegracija/santraukos/dalyvavimaspensijureformoje.htm" TargetMode="External"/><Relationship Id="rId31" Type="http://schemas.openxmlformats.org/officeDocument/2006/relationships/hyperlink" Target="http://www.pensijusistema.lt/index.php?-1913099046" TargetMode="External"/><Relationship Id="rId4" Type="http://schemas.openxmlformats.org/officeDocument/2006/relationships/hyperlink" Target="http://ec.europa.eu/internal_market/capital/docs/oxera_report_en.pdf" TargetMode="External"/><Relationship Id="rId9" Type="http://schemas.openxmlformats.org/officeDocument/2006/relationships/hyperlink" Target="http://ec.europa.eu/social/BlobServlet?docId=7341&amp;langId=lt" TargetMode="External"/><Relationship Id="rId14" Type="http://schemas.openxmlformats.org/officeDocument/2006/relationships/hyperlink" Target="http://www.leidykla.eu/fileadmin/Politologija/60/142-172.pdf" TargetMode="External"/><Relationship Id="rId22" Type="http://schemas.openxmlformats.org/officeDocument/2006/relationships/hyperlink" Target="http://www.oecd.org/insurance/private-pensions/41013956.pdf" TargetMode="External"/><Relationship Id="rId27" Type="http://schemas.openxmlformats.org/officeDocument/2006/relationships/hyperlink" Target="http://www3.lrs.lt/cgi-bin/preps2?a=197455&amp;b=" TargetMode="External"/><Relationship Id="rId30" Type="http://schemas.openxmlformats.org/officeDocument/2006/relationships/hyperlink" Target="http://eur-lex.europa.eu/lt/treaties/dat/12007L/htm/C2007306LT.01015001.htm" TargetMode="External"/><Relationship Id="rId35" Type="http://schemas.openxmlformats.org/officeDocument/2006/relationships/hyperlink" Target="http://www.lrinka.lt/index.php//181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357742853416741"/>
          <c:w val="1"/>
          <c:h val="0.5672502642372016"/>
        </c:manualLayout>
      </c:layout>
      <c:pie3DChart>
        <c:varyColors val="1"/>
        <c:ser>
          <c:idx val="0"/>
          <c:order val="0"/>
          <c:tx>
            <c:strRef>
              <c:f>Lapas1!$B$1</c:f>
              <c:strCache>
                <c:ptCount val="1"/>
                <c:pt idx="0">
                  <c:v>Pardavimas</c:v>
                </c:pt>
              </c:strCache>
            </c:strRef>
          </c:tx>
          <c:explosion val="25"/>
          <c:dPt>
            <c:idx val="1"/>
            <c:bubble3D val="0"/>
            <c:explosion val="45"/>
          </c:dPt>
          <c:dLbls>
            <c:dLbl>
              <c:idx val="0"/>
              <c:layout>
                <c:manualLayout>
                  <c:x val="-3.048780487804878E-2"/>
                  <c:y val="-0.11342344018021369"/>
                </c:manualLayout>
              </c:layout>
              <c:dLblPos val="bestFit"/>
              <c:showLegendKey val="1"/>
              <c:showVal val="1"/>
              <c:showCatName val="0"/>
              <c:showSerName val="0"/>
              <c:showPercent val="0"/>
              <c:showBubbleSize val="0"/>
              <c:separator>; </c:separator>
            </c:dLbl>
            <c:dLbl>
              <c:idx val="1"/>
              <c:layout>
                <c:manualLayout>
                  <c:x val="-4.3853021051749909E-2"/>
                  <c:y val="0.12918677464634901"/>
                </c:manualLayout>
              </c:layout>
              <c:dLblPos val="bestFit"/>
              <c:showLegendKey val="1"/>
              <c:showVal val="1"/>
              <c:showCatName val="0"/>
              <c:showSerName val="0"/>
              <c:showPercent val="0"/>
              <c:showBubbleSize val="0"/>
              <c:separator>; </c:separator>
            </c:dLbl>
            <c:dLbl>
              <c:idx val="2"/>
              <c:layout>
                <c:manualLayout>
                  <c:x val="6.101081876960502E-3"/>
                  <c:y val="0.11201727736788797"/>
                </c:manualLayout>
              </c:layout>
              <c:dLblPos val="bestFit"/>
              <c:showLegendKey val="1"/>
              <c:showVal val="1"/>
              <c:showCatName val="0"/>
              <c:showSerName val="0"/>
              <c:showPercent val="0"/>
              <c:showBubbleSize val="0"/>
              <c:separator>; </c:separator>
            </c:dLbl>
            <c:dLbl>
              <c:idx val="3"/>
              <c:layout>
                <c:manualLayout>
                  <c:x val="-2.0313681632465039E-2"/>
                  <c:y val="-5.1587301587301584E-2"/>
                </c:manualLayout>
              </c:layout>
              <c:dLblPos val="bestFit"/>
              <c:showLegendKey val="1"/>
              <c:showVal val="1"/>
              <c:showCatName val="0"/>
              <c:showSerName val="0"/>
              <c:showPercent val="0"/>
              <c:showBubbleSize val="0"/>
              <c:separator>; </c:separator>
            </c:dLbl>
            <c:dLbl>
              <c:idx val="4"/>
              <c:layout>
                <c:manualLayout>
                  <c:x val="2.4415709504201882E-2"/>
                  <c:y val="-0.17556497745474123"/>
                </c:manualLayout>
              </c:layout>
              <c:dLblPos val="bestFit"/>
              <c:showLegendKey val="1"/>
              <c:showVal val="1"/>
              <c:showCatName val="0"/>
              <c:showSerName val="0"/>
              <c:showPercent val="0"/>
              <c:showBubbleSize val="0"/>
              <c:separator>; </c:separator>
            </c:dLbl>
            <c:dLblPos val="outEnd"/>
            <c:showLegendKey val="1"/>
            <c:showVal val="1"/>
            <c:showCatName val="0"/>
            <c:showSerName val="0"/>
            <c:showPercent val="0"/>
            <c:showBubbleSize val="0"/>
            <c:separator>; </c:separator>
            <c:showLeaderLines val="1"/>
          </c:dLbls>
          <c:cat>
            <c:strRef>
              <c:f>Lapas1!$A$2:$A$6</c:f>
              <c:strCache>
                <c:ptCount val="5"/>
                <c:pt idx="0">
                  <c:v>Lietuva</c:v>
                </c:pt>
                <c:pt idx="1">
                  <c:v>Liuksenburgas</c:v>
                </c:pt>
                <c:pt idx="2">
                  <c:v>Vokietija</c:v>
                </c:pt>
                <c:pt idx="3">
                  <c:v>Airija</c:v>
                </c:pt>
                <c:pt idx="4">
                  <c:v>Kita</c:v>
                </c:pt>
              </c:strCache>
            </c:strRef>
          </c:cat>
          <c:val>
            <c:numRef>
              <c:f>Lapas1!$B$2:$B$6</c:f>
              <c:numCache>
                <c:formatCode>General</c:formatCode>
                <c:ptCount val="5"/>
                <c:pt idx="0">
                  <c:v>30.11</c:v>
                </c:pt>
                <c:pt idx="1">
                  <c:v>29.42</c:v>
                </c:pt>
                <c:pt idx="2">
                  <c:v>10.52</c:v>
                </c:pt>
                <c:pt idx="3">
                  <c:v>7.4</c:v>
                </c:pt>
                <c:pt idx="4">
                  <c:v>22.549999999999997</c:v>
                </c:pt>
              </c:numCache>
            </c:numRef>
          </c:val>
        </c:ser>
        <c:dLbls>
          <c:dLblPos val="outEnd"/>
          <c:showLegendKey val="0"/>
          <c:showVal val="1"/>
          <c:showCatName val="0"/>
          <c:showSerName val="0"/>
          <c:showPercent val="0"/>
          <c:showBubbleSize val="0"/>
          <c:showLeaderLines val="1"/>
        </c:dLbls>
      </c:pie3DChart>
    </c:plotArea>
    <c:legend>
      <c:legendPos val="r"/>
      <c:layout>
        <c:manualLayout>
          <c:xMode val="edge"/>
          <c:yMode val="edge"/>
          <c:x val="0.74869990311028822"/>
          <c:y val="0.12214130748107355"/>
          <c:w val="0.21101528921439147"/>
          <c:h val="0.61866455238969331"/>
        </c:manualLayout>
      </c:layout>
      <c:overlay val="0"/>
    </c:legend>
    <c:plotVisOnly val="1"/>
    <c:dispBlanksAs val="gap"/>
    <c:showDLblsOverMax val="0"/>
  </c:chart>
  <c:spPr>
    <a:ln>
      <a:solidFill>
        <a:schemeClr val="bg1"/>
      </a:solid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CE8958-1718-4484-8749-A28B613E8185}" type="doc">
      <dgm:prSet loTypeId="urn:microsoft.com/office/officeart/2005/8/layout/orgChart1" loCatId="hierarchy" qsTypeId="urn:microsoft.com/office/officeart/2005/8/quickstyle/simple1#1" qsCatId="simple" csTypeId="urn:microsoft.com/office/officeart/2005/8/colors/accent1_2#1" csCatId="accent1" phldr="1"/>
      <dgm:spPr/>
    </dgm:pt>
    <dgm:pt modelId="{305A2A0F-5CE9-4B1B-B237-3B95896B6C87}">
      <dgm:prSet custT="1">
        <dgm:style>
          <a:lnRef idx="2">
            <a:schemeClr val="dk1"/>
          </a:lnRef>
          <a:fillRef idx="1">
            <a:schemeClr val="lt1"/>
          </a:fillRef>
          <a:effectRef idx="0">
            <a:schemeClr val="dk1"/>
          </a:effectRef>
          <a:fontRef idx="minor">
            <a:schemeClr val="dk1"/>
          </a:fontRef>
        </dgm:style>
      </dgm:prSet>
      <dgm:spPr>
        <a:ln w="3175"/>
      </dgm:spPr>
      <dgm:t>
        <a:bodyPr/>
        <a:lstStyle/>
        <a:p>
          <a:pPr marR="0" algn="ctr" rtl="0"/>
          <a:r>
            <a:rPr lang="lt-LT" sz="1400" b="1" i="0" u="none" strike="noStrike" baseline="0" smtClean="0">
              <a:latin typeface="Times New Roman"/>
            </a:rPr>
            <a:t>Pensijų</a:t>
          </a:r>
          <a:r>
            <a:rPr lang="lt-LT" sz="1000" b="1" i="0" u="none" strike="noStrike" baseline="0" smtClean="0">
              <a:latin typeface="Times New Roman"/>
            </a:rPr>
            <a:t> </a:t>
          </a:r>
          <a:r>
            <a:rPr lang="lt-LT" sz="1400" b="1" i="0" u="none" strike="noStrike" baseline="0" smtClean="0">
              <a:latin typeface="Times New Roman"/>
            </a:rPr>
            <a:t>sistema</a:t>
          </a:r>
          <a:endParaRPr lang="lt-LT" sz="1400" smtClean="0"/>
        </a:p>
      </dgm:t>
    </dgm:pt>
    <dgm:pt modelId="{A2463C14-8342-4272-97D9-0220AB38A277}" type="parTrans" cxnId="{30AA1AEC-B666-4599-9ACF-8D6FA08F6447}">
      <dgm:prSet/>
      <dgm:spPr/>
      <dgm:t>
        <a:bodyPr/>
        <a:lstStyle/>
        <a:p>
          <a:endParaRPr lang="lt-LT"/>
        </a:p>
      </dgm:t>
    </dgm:pt>
    <dgm:pt modelId="{4D74A235-E44D-46E0-A7E8-A452F27B7AFF}" type="sibTrans" cxnId="{30AA1AEC-B666-4599-9ACF-8D6FA08F6447}">
      <dgm:prSet/>
      <dgm:spPr/>
      <dgm:t>
        <a:bodyPr/>
        <a:lstStyle/>
        <a:p>
          <a:endParaRPr lang="lt-LT"/>
        </a:p>
      </dgm:t>
    </dgm:pt>
    <dgm:pt modelId="{5F5203D9-0F09-46CD-A45C-6DB70FD10344}">
      <dgm:prSet custT="1">
        <dgm:style>
          <a:lnRef idx="2">
            <a:schemeClr val="dk1"/>
          </a:lnRef>
          <a:fillRef idx="1">
            <a:schemeClr val="lt1"/>
          </a:fillRef>
          <a:effectRef idx="0">
            <a:schemeClr val="dk1"/>
          </a:effectRef>
          <a:fontRef idx="minor">
            <a:schemeClr val="dk1"/>
          </a:fontRef>
        </dgm:style>
      </dgm:prSet>
      <dgm:spPr>
        <a:ln w="3175"/>
      </dgm:spPr>
      <dgm:t>
        <a:bodyPr/>
        <a:lstStyle/>
        <a:p>
          <a:pPr marR="0" algn="l" rtl="0"/>
          <a:r>
            <a:rPr lang="lt-LT" sz="1400" b="1" i="0" u="none" strike="noStrike" baseline="0" smtClean="0">
              <a:latin typeface="Times New Roman"/>
            </a:rPr>
            <a:t>I pakopa</a:t>
          </a:r>
        </a:p>
        <a:p>
          <a:pPr marR="0" algn="l" rtl="0"/>
          <a:r>
            <a:rPr lang="lt-LT" sz="1200" b="0" i="0" u="none" strike="noStrike" baseline="0" smtClean="0">
              <a:latin typeface="Times New Roman"/>
            </a:rPr>
            <a:t>Socialinio draudimo sistema</a:t>
          </a:r>
          <a:endParaRPr lang="lt-LT" sz="1200" smtClean="0"/>
        </a:p>
      </dgm:t>
    </dgm:pt>
    <dgm:pt modelId="{9FDC206E-D0AE-48F6-AC28-439B1CCAF5C0}" type="parTrans" cxnId="{75F201CD-45D1-4C26-89A6-3A31D090E97A}">
      <dgm:prSet>
        <dgm:style>
          <a:lnRef idx="1">
            <a:schemeClr val="dk1"/>
          </a:lnRef>
          <a:fillRef idx="0">
            <a:schemeClr val="dk1"/>
          </a:fillRef>
          <a:effectRef idx="0">
            <a:schemeClr val="dk1"/>
          </a:effectRef>
          <a:fontRef idx="minor">
            <a:schemeClr val="tx1"/>
          </a:fontRef>
        </dgm:style>
      </dgm:prSet>
      <dgm:spPr>
        <a:ln w="6350">
          <a:solidFill>
            <a:schemeClr val="tx1"/>
          </a:solidFill>
        </a:ln>
      </dgm:spPr>
      <dgm:t>
        <a:bodyPr/>
        <a:lstStyle/>
        <a:p>
          <a:endParaRPr lang="lt-LT"/>
        </a:p>
      </dgm:t>
    </dgm:pt>
    <dgm:pt modelId="{84ACC39D-4F04-4BAE-BB19-5B4E75D83B37}" type="sibTrans" cxnId="{75F201CD-45D1-4C26-89A6-3A31D090E97A}">
      <dgm:prSet/>
      <dgm:spPr/>
      <dgm:t>
        <a:bodyPr/>
        <a:lstStyle/>
        <a:p>
          <a:endParaRPr lang="lt-LT"/>
        </a:p>
      </dgm:t>
    </dgm:pt>
    <dgm:pt modelId="{710A5B69-C65C-4C83-97B9-DD4B230372FA}">
      <dgm:prSet custT="1">
        <dgm:style>
          <a:lnRef idx="2">
            <a:schemeClr val="dk1"/>
          </a:lnRef>
          <a:fillRef idx="1">
            <a:schemeClr val="lt1"/>
          </a:fillRef>
          <a:effectRef idx="0">
            <a:schemeClr val="dk1"/>
          </a:effectRef>
          <a:fontRef idx="minor">
            <a:schemeClr val="dk1"/>
          </a:fontRef>
        </dgm:style>
      </dgm:prSet>
      <dgm:spPr>
        <a:ln w="3175"/>
      </dgm:spPr>
      <dgm:t>
        <a:bodyPr/>
        <a:lstStyle/>
        <a:p>
          <a:pPr marR="0" algn="just" rtl="0"/>
          <a:r>
            <a:rPr lang="lt-LT" sz="1200" b="1" i="0" u="none" strike="noStrike" baseline="0" smtClean="0">
              <a:latin typeface="Times New Roman"/>
            </a:rPr>
            <a:t>I pakopa</a:t>
          </a:r>
        </a:p>
        <a:p>
          <a:pPr marR="0" algn="just" rtl="0"/>
          <a:r>
            <a:rPr lang="lt-LT" sz="1200" b="0" i="0" u="none" strike="noStrike" baseline="0" smtClean="0">
              <a:latin typeface="Times New Roman"/>
            </a:rPr>
            <a:t>Einamoji pensijų sistema (PAYG)</a:t>
          </a:r>
        </a:p>
      </dgm:t>
    </dgm:pt>
    <dgm:pt modelId="{FFD520A6-DE94-439B-8B7B-D435A4400A1D}" type="parTrans" cxnId="{85A716BF-4DFD-42E5-A067-143E28A233F2}">
      <dgm:prSet>
        <dgm:style>
          <a:lnRef idx="1">
            <a:schemeClr val="dk1"/>
          </a:lnRef>
          <a:fillRef idx="0">
            <a:schemeClr val="dk1"/>
          </a:fillRef>
          <a:effectRef idx="0">
            <a:schemeClr val="dk1"/>
          </a:effectRef>
          <a:fontRef idx="minor">
            <a:schemeClr val="tx1"/>
          </a:fontRef>
        </dgm:style>
      </dgm:prSet>
      <dgm:spPr>
        <a:ln w="6350"/>
      </dgm:spPr>
      <dgm:t>
        <a:bodyPr/>
        <a:lstStyle/>
        <a:p>
          <a:endParaRPr lang="lt-LT"/>
        </a:p>
      </dgm:t>
    </dgm:pt>
    <dgm:pt modelId="{81AD0B38-81AE-42DE-BAA0-E5E089347A79}" type="sibTrans" cxnId="{85A716BF-4DFD-42E5-A067-143E28A233F2}">
      <dgm:prSet/>
      <dgm:spPr/>
      <dgm:t>
        <a:bodyPr/>
        <a:lstStyle/>
        <a:p>
          <a:endParaRPr lang="lt-LT"/>
        </a:p>
      </dgm:t>
    </dgm:pt>
    <dgm:pt modelId="{FA7EBA36-79C8-4AD7-A592-EB980D2A0AF8}">
      <dgm:prSet custT="1">
        <dgm:style>
          <a:lnRef idx="2">
            <a:schemeClr val="dk1"/>
          </a:lnRef>
          <a:fillRef idx="1">
            <a:schemeClr val="lt1"/>
          </a:fillRef>
          <a:effectRef idx="0">
            <a:schemeClr val="dk1"/>
          </a:effectRef>
          <a:fontRef idx="minor">
            <a:schemeClr val="dk1"/>
          </a:fontRef>
        </dgm:style>
      </dgm:prSet>
      <dgm:spPr>
        <a:ln w="3175"/>
      </dgm:spPr>
      <dgm:t>
        <a:bodyPr/>
        <a:lstStyle/>
        <a:p>
          <a:pPr marR="0" algn="just" rtl="0"/>
          <a:r>
            <a:rPr lang="lt-LT" sz="1200" b="1" i="0" u="none" strike="noStrike" baseline="0" smtClean="0">
              <a:latin typeface="Times New Roman"/>
            </a:rPr>
            <a:t>I pakopos </a:t>
          </a:r>
          <a:r>
            <a:rPr lang="es-ES" sz="1200" b="1" i="0" u="none" strike="noStrike" baseline="0" smtClean="0">
              <a:latin typeface="Times New Roman"/>
            </a:rPr>
            <a:t>2 lygmuo</a:t>
          </a:r>
          <a:endParaRPr lang="lt-LT" sz="1200" b="1" i="0" u="none" strike="noStrike" baseline="0" smtClean="0">
            <a:latin typeface="Times New Roman"/>
          </a:endParaRPr>
        </a:p>
        <a:p>
          <a:pPr marR="0" algn="just" rtl="0"/>
          <a:r>
            <a:rPr lang="lt-LT" sz="1200" b="0" i="0" u="none" strike="noStrike" baseline="0" smtClean="0">
              <a:latin typeface="Times New Roman"/>
            </a:rPr>
            <a:t>Įstatymais numatytos privačiai finansuojamos pensijų schemos</a:t>
          </a:r>
        </a:p>
      </dgm:t>
    </dgm:pt>
    <dgm:pt modelId="{4CC82BCA-755E-473E-9D4A-936729621399}" type="parTrans" cxnId="{598B895F-7DB0-4FD5-81D0-01A471356560}">
      <dgm:prSet>
        <dgm:style>
          <a:lnRef idx="1">
            <a:schemeClr val="dk1"/>
          </a:lnRef>
          <a:fillRef idx="0">
            <a:schemeClr val="dk1"/>
          </a:fillRef>
          <a:effectRef idx="0">
            <a:schemeClr val="dk1"/>
          </a:effectRef>
          <a:fontRef idx="minor">
            <a:schemeClr val="tx1"/>
          </a:fontRef>
        </dgm:style>
      </dgm:prSet>
      <dgm:spPr>
        <a:ln w="6350"/>
      </dgm:spPr>
      <dgm:t>
        <a:bodyPr/>
        <a:lstStyle/>
        <a:p>
          <a:endParaRPr lang="lt-LT"/>
        </a:p>
      </dgm:t>
    </dgm:pt>
    <dgm:pt modelId="{A49E224B-D30E-4B02-B620-45E5783DAA44}" type="sibTrans" cxnId="{598B895F-7DB0-4FD5-81D0-01A471356560}">
      <dgm:prSet/>
      <dgm:spPr/>
      <dgm:t>
        <a:bodyPr/>
        <a:lstStyle/>
        <a:p>
          <a:endParaRPr lang="lt-LT"/>
        </a:p>
      </dgm:t>
    </dgm:pt>
    <dgm:pt modelId="{51B301EE-23BC-4569-8AA3-0B0A7BDE5E74}">
      <dgm:prSet custT="1">
        <dgm:style>
          <a:lnRef idx="2">
            <a:schemeClr val="dk1"/>
          </a:lnRef>
          <a:fillRef idx="1">
            <a:schemeClr val="lt1"/>
          </a:fillRef>
          <a:effectRef idx="0">
            <a:schemeClr val="dk1"/>
          </a:effectRef>
          <a:fontRef idx="minor">
            <a:schemeClr val="dk1"/>
          </a:fontRef>
        </dgm:style>
      </dgm:prSet>
      <dgm:spPr>
        <a:ln w="3175"/>
      </dgm:spPr>
      <dgm:t>
        <a:bodyPr/>
        <a:lstStyle/>
        <a:p>
          <a:pPr marR="0" algn="just" rtl="0"/>
          <a:r>
            <a:rPr lang="lt-LT" sz="1400" b="1" i="0" u="none" strike="noStrike" baseline="0" smtClean="0">
              <a:latin typeface="Times New Roman"/>
            </a:rPr>
            <a:t>II pakopa</a:t>
          </a:r>
        </a:p>
        <a:p>
          <a:pPr marR="0" algn="just" rtl="0"/>
          <a:r>
            <a:rPr lang="lt-LT" sz="1200" b="0" i="0" u="none" strike="noStrike" baseline="0" smtClean="0">
              <a:latin typeface="Times New Roman"/>
            </a:rPr>
            <a:t>Privalomi / savanoriški profesiniai pensijų fondai</a:t>
          </a:r>
        </a:p>
      </dgm:t>
    </dgm:pt>
    <dgm:pt modelId="{6788777B-E096-40B6-9007-97800E853D62}" type="parTrans" cxnId="{AE50C761-6F6B-495B-B31A-8A02A049AEB5}">
      <dgm:prSet/>
      <dgm:spPr>
        <a:ln w="9525">
          <a:solidFill>
            <a:schemeClr val="tx1"/>
          </a:solidFill>
        </a:ln>
      </dgm:spPr>
      <dgm:t>
        <a:bodyPr/>
        <a:lstStyle/>
        <a:p>
          <a:endParaRPr lang="lt-LT"/>
        </a:p>
      </dgm:t>
    </dgm:pt>
    <dgm:pt modelId="{2BA0C558-0EA1-4C1F-B769-A10F75325BC5}" type="sibTrans" cxnId="{AE50C761-6F6B-495B-B31A-8A02A049AEB5}">
      <dgm:prSet/>
      <dgm:spPr/>
      <dgm:t>
        <a:bodyPr/>
        <a:lstStyle/>
        <a:p>
          <a:endParaRPr lang="lt-LT"/>
        </a:p>
      </dgm:t>
    </dgm:pt>
    <dgm:pt modelId="{25D6FA9B-871B-4A2C-9B1F-2DCC638DCD21}">
      <dgm:prSet custT="1">
        <dgm:style>
          <a:lnRef idx="2">
            <a:schemeClr val="dk1"/>
          </a:lnRef>
          <a:fillRef idx="1">
            <a:schemeClr val="lt1"/>
          </a:fillRef>
          <a:effectRef idx="0">
            <a:schemeClr val="dk1"/>
          </a:effectRef>
          <a:fontRef idx="minor">
            <a:schemeClr val="dk1"/>
          </a:fontRef>
        </dgm:style>
      </dgm:prSet>
      <dgm:spPr>
        <a:ln w="3175"/>
      </dgm:spPr>
      <dgm:t>
        <a:bodyPr/>
        <a:lstStyle/>
        <a:p>
          <a:pPr marR="0" algn="just" rtl="0"/>
          <a:r>
            <a:rPr lang="lt-LT" sz="1400" b="1" i="0" u="none" strike="noStrike" baseline="0" smtClean="0">
              <a:latin typeface="Times New Roman"/>
            </a:rPr>
            <a:t>III pakopa</a:t>
          </a:r>
        </a:p>
        <a:p>
          <a:pPr marR="0" algn="just" rtl="0"/>
          <a:r>
            <a:rPr lang="lt-LT" sz="1200" b="0" i="0" u="none" strike="noStrike" baseline="0" smtClean="0">
              <a:latin typeface="Times New Roman"/>
            </a:rPr>
            <a:t>Savanoriškos privačios schemos</a:t>
          </a:r>
        </a:p>
      </dgm:t>
    </dgm:pt>
    <dgm:pt modelId="{A47A2799-9357-439E-8F40-CD1E4BD7EF17}" type="parTrans" cxnId="{132394C1-81F0-4720-A426-29537FFA93B1}">
      <dgm:prSet>
        <dgm:style>
          <a:lnRef idx="1">
            <a:schemeClr val="dk1"/>
          </a:lnRef>
          <a:fillRef idx="0">
            <a:schemeClr val="dk1"/>
          </a:fillRef>
          <a:effectRef idx="0">
            <a:schemeClr val="dk1"/>
          </a:effectRef>
          <a:fontRef idx="minor">
            <a:schemeClr val="tx1"/>
          </a:fontRef>
        </dgm:style>
      </dgm:prSet>
      <dgm:spPr>
        <a:ln w="6350">
          <a:solidFill>
            <a:schemeClr val="tx1"/>
          </a:solidFill>
        </a:ln>
      </dgm:spPr>
      <dgm:t>
        <a:bodyPr/>
        <a:lstStyle/>
        <a:p>
          <a:endParaRPr lang="lt-LT">
            <a:solidFill>
              <a:sysClr val="windowText" lastClr="000000"/>
            </a:solidFill>
          </a:endParaRPr>
        </a:p>
      </dgm:t>
    </dgm:pt>
    <dgm:pt modelId="{9D024496-196A-4C64-A26A-67B7DB6EBC2F}" type="sibTrans" cxnId="{132394C1-81F0-4720-A426-29537FFA93B1}">
      <dgm:prSet/>
      <dgm:spPr/>
      <dgm:t>
        <a:bodyPr/>
        <a:lstStyle/>
        <a:p>
          <a:endParaRPr lang="lt-LT"/>
        </a:p>
      </dgm:t>
    </dgm:pt>
    <dgm:pt modelId="{F04B6D22-4E77-4896-AAC7-44029A06237C}" type="pres">
      <dgm:prSet presAssocID="{E7CE8958-1718-4484-8749-A28B613E8185}" presName="hierChild1" presStyleCnt="0">
        <dgm:presLayoutVars>
          <dgm:orgChart val="1"/>
          <dgm:chPref val="1"/>
          <dgm:dir/>
          <dgm:animOne val="branch"/>
          <dgm:animLvl val="lvl"/>
          <dgm:resizeHandles/>
        </dgm:presLayoutVars>
      </dgm:prSet>
      <dgm:spPr/>
    </dgm:pt>
    <dgm:pt modelId="{79F224F9-9EB6-4A81-81E7-2BCB37120A99}" type="pres">
      <dgm:prSet presAssocID="{305A2A0F-5CE9-4B1B-B237-3B95896B6C87}" presName="hierRoot1" presStyleCnt="0">
        <dgm:presLayoutVars>
          <dgm:hierBranch/>
        </dgm:presLayoutVars>
      </dgm:prSet>
      <dgm:spPr/>
    </dgm:pt>
    <dgm:pt modelId="{91C99858-CDB8-4457-B4FA-130503603244}" type="pres">
      <dgm:prSet presAssocID="{305A2A0F-5CE9-4B1B-B237-3B95896B6C87}" presName="rootComposite1" presStyleCnt="0"/>
      <dgm:spPr/>
    </dgm:pt>
    <dgm:pt modelId="{61791806-CFD1-4254-BE69-B34994161952}" type="pres">
      <dgm:prSet presAssocID="{305A2A0F-5CE9-4B1B-B237-3B95896B6C87}" presName="rootText1" presStyleLbl="node0" presStyleIdx="0" presStyleCnt="1" custScaleY="78226">
        <dgm:presLayoutVars>
          <dgm:chPref val="3"/>
        </dgm:presLayoutVars>
      </dgm:prSet>
      <dgm:spPr/>
      <dgm:t>
        <a:bodyPr/>
        <a:lstStyle/>
        <a:p>
          <a:endParaRPr lang="lt-LT"/>
        </a:p>
      </dgm:t>
    </dgm:pt>
    <dgm:pt modelId="{18E07647-7FDC-4FA3-AA33-77D0D4EBA16D}" type="pres">
      <dgm:prSet presAssocID="{305A2A0F-5CE9-4B1B-B237-3B95896B6C87}" presName="rootConnector1" presStyleLbl="node1" presStyleIdx="0" presStyleCnt="0"/>
      <dgm:spPr/>
      <dgm:t>
        <a:bodyPr/>
        <a:lstStyle/>
        <a:p>
          <a:endParaRPr lang="lt-LT"/>
        </a:p>
      </dgm:t>
    </dgm:pt>
    <dgm:pt modelId="{CF78C32B-9BC5-4B78-BC7E-70C253281985}" type="pres">
      <dgm:prSet presAssocID="{305A2A0F-5CE9-4B1B-B237-3B95896B6C87}" presName="hierChild2" presStyleCnt="0"/>
      <dgm:spPr/>
    </dgm:pt>
    <dgm:pt modelId="{319E9B96-FE3D-4C76-8638-F98B9491CBF4}" type="pres">
      <dgm:prSet presAssocID="{9FDC206E-D0AE-48F6-AC28-439B1CCAF5C0}" presName="Name35" presStyleLbl="parChTrans1D2" presStyleIdx="0" presStyleCnt="3"/>
      <dgm:spPr/>
      <dgm:t>
        <a:bodyPr/>
        <a:lstStyle/>
        <a:p>
          <a:endParaRPr lang="lt-LT"/>
        </a:p>
      </dgm:t>
    </dgm:pt>
    <dgm:pt modelId="{1E89C82E-F811-4556-BED1-46EE900CB17F}" type="pres">
      <dgm:prSet presAssocID="{5F5203D9-0F09-46CD-A45C-6DB70FD10344}" presName="hierRoot2" presStyleCnt="0">
        <dgm:presLayoutVars>
          <dgm:hierBranch/>
        </dgm:presLayoutVars>
      </dgm:prSet>
      <dgm:spPr/>
    </dgm:pt>
    <dgm:pt modelId="{2EC2F8ED-5F6F-4332-9C2A-CCC244CD548F}" type="pres">
      <dgm:prSet presAssocID="{5F5203D9-0F09-46CD-A45C-6DB70FD10344}" presName="rootComposite" presStyleCnt="0"/>
      <dgm:spPr/>
    </dgm:pt>
    <dgm:pt modelId="{293249CD-A03C-4D78-BDCA-C3A6384AEEA7}" type="pres">
      <dgm:prSet presAssocID="{5F5203D9-0F09-46CD-A45C-6DB70FD10344}" presName="rootText" presStyleLbl="node2" presStyleIdx="0" presStyleCnt="3" custScaleX="108290">
        <dgm:presLayoutVars>
          <dgm:chPref val="3"/>
        </dgm:presLayoutVars>
      </dgm:prSet>
      <dgm:spPr/>
      <dgm:t>
        <a:bodyPr/>
        <a:lstStyle/>
        <a:p>
          <a:endParaRPr lang="lt-LT"/>
        </a:p>
      </dgm:t>
    </dgm:pt>
    <dgm:pt modelId="{4D2D6991-A175-4638-B2C7-C22FFD7A7D79}" type="pres">
      <dgm:prSet presAssocID="{5F5203D9-0F09-46CD-A45C-6DB70FD10344}" presName="rootConnector" presStyleLbl="node2" presStyleIdx="0" presStyleCnt="3"/>
      <dgm:spPr/>
      <dgm:t>
        <a:bodyPr/>
        <a:lstStyle/>
        <a:p>
          <a:endParaRPr lang="lt-LT"/>
        </a:p>
      </dgm:t>
    </dgm:pt>
    <dgm:pt modelId="{524C6C4B-F6AE-4168-A07A-0D04BA63A2E5}" type="pres">
      <dgm:prSet presAssocID="{5F5203D9-0F09-46CD-A45C-6DB70FD10344}" presName="hierChild4" presStyleCnt="0"/>
      <dgm:spPr/>
    </dgm:pt>
    <dgm:pt modelId="{36A4FC13-E7D4-4FA6-AAF9-52D830BF9F50}" type="pres">
      <dgm:prSet presAssocID="{FFD520A6-DE94-439B-8B7B-D435A4400A1D}" presName="Name35" presStyleLbl="parChTrans1D3" presStyleIdx="0" presStyleCnt="2"/>
      <dgm:spPr/>
      <dgm:t>
        <a:bodyPr/>
        <a:lstStyle/>
        <a:p>
          <a:endParaRPr lang="lt-LT"/>
        </a:p>
      </dgm:t>
    </dgm:pt>
    <dgm:pt modelId="{63BCE922-E17E-402F-A1B3-8B09D5EB43AE}" type="pres">
      <dgm:prSet presAssocID="{710A5B69-C65C-4C83-97B9-DD4B230372FA}" presName="hierRoot2" presStyleCnt="0">
        <dgm:presLayoutVars>
          <dgm:hierBranch val="r"/>
        </dgm:presLayoutVars>
      </dgm:prSet>
      <dgm:spPr/>
    </dgm:pt>
    <dgm:pt modelId="{34AC3EFD-6429-4D83-9A17-FC6E322B03F7}" type="pres">
      <dgm:prSet presAssocID="{710A5B69-C65C-4C83-97B9-DD4B230372FA}" presName="rootComposite" presStyleCnt="0"/>
      <dgm:spPr/>
    </dgm:pt>
    <dgm:pt modelId="{28EDA3FD-C3B9-4C11-B1FB-9D5C0B210E41}" type="pres">
      <dgm:prSet presAssocID="{710A5B69-C65C-4C83-97B9-DD4B230372FA}" presName="rootText" presStyleLbl="node3" presStyleIdx="0" presStyleCnt="2" custScaleX="79271" custScaleY="139869">
        <dgm:presLayoutVars>
          <dgm:chPref val="3"/>
        </dgm:presLayoutVars>
      </dgm:prSet>
      <dgm:spPr/>
      <dgm:t>
        <a:bodyPr/>
        <a:lstStyle/>
        <a:p>
          <a:endParaRPr lang="lt-LT"/>
        </a:p>
      </dgm:t>
    </dgm:pt>
    <dgm:pt modelId="{44B2CAA3-8214-455F-BE86-E7A25CBBBD9E}" type="pres">
      <dgm:prSet presAssocID="{710A5B69-C65C-4C83-97B9-DD4B230372FA}" presName="rootConnector" presStyleLbl="node3" presStyleIdx="0" presStyleCnt="2"/>
      <dgm:spPr/>
      <dgm:t>
        <a:bodyPr/>
        <a:lstStyle/>
        <a:p>
          <a:endParaRPr lang="lt-LT"/>
        </a:p>
      </dgm:t>
    </dgm:pt>
    <dgm:pt modelId="{9A122020-CEC3-47D8-AAC6-CBE2E03396B9}" type="pres">
      <dgm:prSet presAssocID="{710A5B69-C65C-4C83-97B9-DD4B230372FA}" presName="hierChild4" presStyleCnt="0"/>
      <dgm:spPr/>
    </dgm:pt>
    <dgm:pt modelId="{30EC6492-EF38-428F-BD04-F4B55D68392C}" type="pres">
      <dgm:prSet presAssocID="{710A5B69-C65C-4C83-97B9-DD4B230372FA}" presName="hierChild5" presStyleCnt="0"/>
      <dgm:spPr/>
    </dgm:pt>
    <dgm:pt modelId="{6E9E5384-0170-4A96-991F-A0AAAE35EB14}" type="pres">
      <dgm:prSet presAssocID="{4CC82BCA-755E-473E-9D4A-936729621399}" presName="Name35" presStyleLbl="parChTrans1D3" presStyleIdx="1" presStyleCnt="2"/>
      <dgm:spPr/>
      <dgm:t>
        <a:bodyPr/>
        <a:lstStyle/>
        <a:p>
          <a:endParaRPr lang="lt-LT"/>
        </a:p>
      </dgm:t>
    </dgm:pt>
    <dgm:pt modelId="{487825AF-924D-40B8-A58E-3D651AB022BA}" type="pres">
      <dgm:prSet presAssocID="{FA7EBA36-79C8-4AD7-A592-EB980D2A0AF8}" presName="hierRoot2" presStyleCnt="0">
        <dgm:presLayoutVars>
          <dgm:hierBranch val="r"/>
        </dgm:presLayoutVars>
      </dgm:prSet>
      <dgm:spPr/>
    </dgm:pt>
    <dgm:pt modelId="{5D9AD4F4-DF6D-4BAA-AD28-600B0725B21F}" type="pres">
      <dgm:prSet presAssocID="{FA7EBA36-79C8-4AD7-A592-EB980D2A0AF8}" presName="rootComposite" presStyleCnt="0"/>
      <dgm:spPr/>
    </dgm:pt>
    <dgm:pt modelId="{F8A78B8E-A57D-4D42-99E5-88C747469A70}" type="pres">
      <dgm:prSet presAssocID="{FA7EBA36-79C8-4AD7-A592-EB980D2A0AF8}" presName="rootText" presStyleLbl="node3" presStyleIdx="1" presStyleCnt="2" custScaleX="107779" custScaleY="139868">
        <dgm:presLayoutVars>
          <dgm:chPref val="3"/>
        </dgm:presLayoutVars>
      </dgm:prSet>
      <dgm:spPr/>
      <dgm:t>
        <a:bodyPr/>
        <a:lstStyle/>
        <a:p>
          <a:endParaRPr lang="lt-LT"/>
        </a:p>
      </dgm:t>
    </dgm:pt>
    <dgm:pt modelId="{03CAFBA8-AE9C-459D-95BA-B27952335027}" type="pres">
      <dgm:prSet presAssocID="{FA7EBA36-79C8-4AD7-A592-EB980D2A0AF8}" presName="rootConnector" presStyleLbl="node3" presStyleIdx="1" presStyleCnt="2"/>
      <dgm:spPr/>
      <dgm:t>
        <a:bodyPr/>
        <a:lstStyle/>
        <a:p>
          <a:endParaRPr lang="lt-LT"/>
        </a:p>
      </dgm:t>
    </dgm:pt>
    <dgm:pt modelId="{408E7546-0F2F-4B82-8C1D-0E629BEC0BD6}" type="pres">
      <dgm:prSet presAssocID="{FA7EBA36-79C8-4AD7-A592-EB980D2A0AF8}" presName="hierChild4" presStyleCnt="0"/>
      <dgm:spPr/>
    </dgm:pt>
    <dgm:pt modelId="{2C49220C-1C98-4A57-8488-2178089C154C}" type="pres">
      <dgm:prSet presAssocID="{FA7EBA36-79C8-4AD7-A592-EB980D2A0AF8}" presName="hierChild5" presStyleCnt="0"/>
      <dgm:spPr/>
    </dgm:pt>
    <dgm:pt modelId="{E415AF56-57D9-48FB-8D1D-F851A1E5F25E}" type="pres">
      <dgm:prSet presAssocID="{5F5203D9-0F09-46CD-A45C-6DB70FD10344}" presName="hierChild5" presStyleCnt="0"/>
      <dgm:spPr/>
    </dgm:pt>
    <dgm:pt modelId="{895E1B32-708B-4B85-AD07-AD72DE043379}" type="pres">
      <dgm:prSet presAssocID="{6788777B-E096-40B6-9007-97800E853D62}" presName="Name35" presStyleLbl="parChTrans1D2" presStyleIdx="1" presStyleCnt="3"/>
      <dgm:spPr/>
      <dgm:t>
        <a:bodyPr/>
        <a:lstStyle/>
        <a:p>
          <a:endParaRPr lang="lt-LT"/>
        </a:p>
      </dgm:t>
    </dgm:pt>
    <dgm:pt modelId="{2700C202-D7B0-4A6C-A32A-CF584BF890B9}" type="pres">
      <dgm:prSet presAssocID="{51B301EE-23BC-4569-8AA3-0B0A7BDE5E74}" presName="hierRoot2" presStyleCnt="0">
        <dgm:presLayoutVars>
          <dgm:hierBranch/>
        </dgm:presLayoutVars>
      </dgm:prSet>
      <dgm:spPr/>
    </dgm:pt>
    <dgm:pt modelId="{FCCF79EA-9538-42E3-956A-8E93A29CA071}" type="pres">
      <dgm:prSet presAssocID="{51B301EE-23BC-4569-8AA3-0B0A7BDE5E74}" presName="rootComposite" presStyleCnt="0"/>
      <dgm:spPr/>
    </dgm:pt>
    <dgm:pt modelId="{547CB78B-F25F-4085-9750-1E299924DE31}" type="pres">
      <dgm:prSet presAssocID="{51B301EE-23BC-4569-8AA3-0B0A7BDE5E74}" presName="rootText" presStyleLbl="node2" presStyleIdx="1" presStyleCnt="3" custScaleX="115364" custScaleY="96176" custLinFactNeighborX="-4178" custLinFactNeighborY="4176">
        <dgm:presLayoutVars>
          <dgm:chPref val="3"/>
        </dgm:presLayoutVars>
      </dgm:prSet>
      <dgm:spPr/>
      <dgm:t>
        <a:bodyPr/>
        <a:lstStyle/>
        <a:p>
          <a:endParaRPr lang="lt-LT"/>
        </a:p>
      </dgm:t>
    </dgm:pt>
    <dgm:pt modelId="{F7B4E5A9-2416-4893-9595-43537D4DB298}" type="pres">
      <dgm:prSet presAssocID="{51B301EE-23BC-4569-8AA3-0B0A7BDE5E74}" presName="rootConnector" presStyleLbl="node2" presStyleIdx="1" presStyleCnt="3"/>
      <dgm:spPr/>
      <dgm:t>
        <a:bodyPr/>
        <a:lstStyle/>
        <a:p>
          <a:endParaRPr lang="lt-LT"/>
        </a:p>
      </dgm:t>
    </dgm:pt>
    <dgm:pt modelId="{C155467D-FE2A-4A96-9C88-76245939C694}" type="pres">
      <dgm:prSet presAssocID="{51B301EE-23BC-4569-8AA3-0B0A7BDE5E74}" presName="hierChild4" presStyleCnt="0"/>
      <dgm:spPr/>
    </dgm:pt>
    <dgm:pt modelId="{8F144DE3-5171-476E-A91D-51BEA12209EC}" type="pres">
      <dgm:prSet presAssocID="{51B301EE-23BC-4569-8AA3-0B0A7BDE5E74}" presName="hierChild5" presStyleCnt="0"/>
      <dgm:spPr/>
    </dgm:pt>
    <dgm:pt modelId="{56896E17-B159-45BD-A508-599AC12245DB}" type="pres">
      <dgm:prSet presAssocID="{A47A2799-9357-439E-8F40-CD1E4BD7EF17}" presName="Name35" presStyleLbl="parChTrans1D2" presStyleIdx="2" presStyleCnt="3"/>
      <dgm:spPr/>
      <dgm:t>
        <a:bodyPr/>
        <a:lstStyle/>
        <a:p>
          <a:endParaRPr lang="lt-LT"/>
        </a:p>
      </dgm:t>
    </dgm:pt>
    <dgm:pt modelId="{D70CED92-A003-4018-91CC-546681765A65}" type="pres">
      <dgm:prSet presAssocID="{25D6FA9B-871B-4A2C-9B1F-2DCC638DCD21}" presName="hierRoot2" presStyleCnt="0">
        <dgm:presLayoutVars>
          <dgm:hierBranch/>
        </dgm:presLayoutVars>
      </dgm:prSet>
      <dgm:spPr/>
    </dgm:pt>
    <dgm:pt modelId="{2C50DB57-1673-491C-A33A-8DB9718DB0F1}" type="pres">
      <dgm:prSet presAssocID="{25D6FA9B-871B-4A2C-9B1F-2DCC638DCD21}" presName="rootComposite" presStyleCnt="0"/>
      <dgm:spPr/>
    </dgm:pt>
    <dgm:pt modelId="{54E8A21E-E747-4927-84F5-D5419626923F}" type="pres">
      <dgm:prSet presAssocID="{25D6FA9B-871B-4A2C-9B1F-2DCC638DCD21}" presName="rootText" presStyleLbl="node2" presStyleIdx="2" presStyleCnt="3" custScaleY="95033" custLinFactNeighborX="-4255" custLinFactNeighborY="224">
        <dgm:presLayoutVars>
          <dgm:chPref val="3"/>
        </dgm:presLayoutVars>
      </dgm:prSet>
      <dgm:spPr/>
      <dgm:t>
        <a:bodyPr/>
        <a:lstStyle/>
        <a:p>
          <a:endParaRPr lang="lt-LT"/>
        </a:p>
      </dgm:t>
    </dgm:pt>
    <dgm:pt modelId="{4B7645DD-8D4E-472D-AE82-5BC9CE3C943F}" type="pres">
      <dgm:prSet presAssocID="{25D6FA9B-871B-4A2C-9B1F-2DCC638DCD21}" presName="rootConnector" presStyleLbl="node2" presStyleIdx="2" presStyleCnt="3"/>
      <dgm:spPr/>
      <dgm:t>
        <a:bodyPr/>
        <a:lstStyle/>
        <a:p>
          <a:endParaRPr lang="lt-LT"/>
        </a:p>
      </dgm:t>
    </dgm:pt>
    <dgm:pt modelId="{974CD949-250A-40BC-B52A-F7960FA0B413}" type="pres">
      <dgm:prSet presAssocID="{25D6FA9B-871B-4A2C-9B1F-2DCC638DCD21}" presName="hierChild4" presStyleCnt="0"/>
      <dgm:spPr/>
    </dgm:pt>
    <dgm:pt modelId="{24787BB1-CADC-4219-AB41-DEF87E78F622}" type="pres">
      <dgm:prSet presAssocID="{25D6FA9B-871B-4A2C-9B1F-2DCC638DCD21}" presName="hierChild5" presStyleCnt="0"/>
      <dgm:spPr/>
    </dgm:pt>
    <dgm:pt modelId="{A8554F05-7635-489F-9801-0CA433FBCF04}" type="pres">
      <dgm:prSet presAssocID="{305A2A0F-5CE9-4B1B-B237-3B95896B6C87}" presName="hierChild3" presStyleCnt="0"/>
      <dgm:spPr/>
    </dgm:pt>
  </dgm:ptLst>
  <dgm:cxnLst>
    <dgm:cxn modelId="{B6DB0D59-5B5F-4AC1-A862-656DBD61022B}" type="presOf" srcId="{51B301EE-23BC-4569-8AA3-0B0A7BDE5E74}" destId="{F7B4E5A9-2416-4893-9595-43537D4DB298}" srcOrd="1" destOrd="0" presId="urn:microsoft.com/office/officeart/2005/8/layout/orgChart1"/>
    <dgm:cxn modelId="{04DC160D-EFD0-425F-B54B-358BCF5E7B6D}" type="presOf" srcId="{FFD520A6-DE94-439B-8B7B-D435A4400A1D}" destId="{36A4FC13-E7D4-4FA6-AAF9-52D830BF9F50}" srcOrd="0" destOrd="0" presId="urn:microsoft.com/office/officeart/2005/8/layout/orgChart1"/>
    <dgm:cxn modelId="{B66884DC-E873-4D02-AB47-69B9ACD37E19}" type="presOf" srcId="{FA7EBA36-79C8-4AD7-A592-EB980D2A0AF8}" destId="{03CAFBA8-AE9C-459D-95BA-B27952335027}" srcOrd="1" destOrd="0" presId="urn:microsoft.com/office/officeart/2005/8/layout/orgChart1"/>
    <dgm:cxn modelId="{FC1CFDD4-3B12-4DCD-888E-D7018CB13CEB}" type="presOf" srcId="{710A5B69-C65C-4C83-97B9-DD4B230372FA}" destId="{28EDA3FD-C3B9-4C11-B1FB-9D5C0B210E41}" srcOrd="0" destOrd="0" presId="urn:microsoft.com/office/officeart/2005/8/layout/orgChart1"/>
    <dgm:cxn modelId="{75F201CD-45D1-4C26-89A6-3A31D090E97A}" srcId="{305A2A0F-5CE9-4B1B-B237-3B95896B6C87}" destId="{5F5203D9-0F09-46CD-A45C-6DB70FD10344}" srcOrd="0" destOrd="0" parTransId="{9FDC206E-D0AE-48F6-AC28-439B1CCAF5C0}" sibTransId="{84ACC39D-4F04-4BAE-BB19-5B4E75D83B37}"/>
    <dgm:cxn modelId="{05AC832D-F144-48ED-A253-7AE4647C9546}" type="presOf" srcId="{9FDC206E-D0AE-48F6-AC28-439B1CCAF5C0}" destId="{319E9B96-FE3D-4C76-8638-F98B9491CBF4}" srcOrd="0" destOrd="0" presId="urn:microsoft.com/office/officeart/2005/8/layout/orgChart1"/>
    <dgm:cxn modelId="{B6E30F8C-A908-476A-9C94-C7B112D94633}" type="presOf" srcId="{5F5203D9-0F09-46CD-A45C-6DB70FD10344}" destId="{4D2D6991-A175-4638-B2C7-C22FFD7A7D79}" srcOrd="1" destOrd="0" presId="urn:microsoft.com/office/officeart/2005/8/layout/orgChart1"/>
    <dgm:cxn modelId="{132394C1-81F0-4720-A426-29537FFA93B1}" srcId="{305A2A0F-5CE9-4B1B-B237-3B95896B6C87}" destId="{25D6FA9B-871B-4A2C-9B1F-2DCC638DCD21}" srcOrd="2" destOrd="0" parTransId="{A47A2799-9357-439E-8F40-CD1E4BD7EF17}" sibTransId="{9D024496-196A-4C64-A26A-67B7DB6EBC2F}"/>
    <dgm:cxn modelId="{A4956544-4C12-4428-A6C5-AE67B4665D50}" type="presOf" srcId="{6788777B-E096-40B6-9007-97800E853D62}" destId="{895E1B32-708B-4B85-AD07-AD72DE043379}" srcOrd="0" destOrd="0" presId="urn:microsoft.com/office/officeart/2005/8/layout/orgChart1"/>
    <dgm:cxn modelId="{AE50C761-6F6B-495B-B31A-8A02A049AEB5}" srcId="{305A2A0F-5CE9-4B1B-B237-3B95896B6C87}" destId="{51B301EE-23BC-4569-8AA3-0B0A7BDE5E74}" srcOrd="1" destOrd="0" parTransId="{6788777B-E096-40B6-9007-97800E853D62}" sibTransId="{2BA0C558-0EA1-4C1F-B769-A10F75325BC5}"/>
    <dgm:cxn modelId="{473A6A80-237A-4050-A400-C3200FDE752C}" type="presOf" srcId="{25D6FA9B-871B-4A2C-9B1F-2DCC638DCD21}" destId="{4B7645DD-8D4E-472D-AE82-5BC9CE3C943F}" srcOrd="1" destOrd="0" presId="urn:microsoft.com/office/officeart/2005/8/layout/orgChart1"/>
    <dgm:cxn modelId="{30AA1AEC-B666-4599-9ACF-8D6FA08F6447}" srcId="{E7CE8958-1718-4484-8749-A28B613E8185}" destId="{305A2A0F-5CE9-4B1B-B237-3B95896B6C87}" srcOrd="0" destOrd="0" parTransId="{A2463C14-8342-4272-97D9-0220AB38A277}" sibTransId="{4D74A235-E44D-46E0-A7E8-A452F27B7AFF}"/>
    <dgm:cxn modelId="{AE7E797E-B8D9-4397-A1C7-905255A057D3}" type="presOf" srcId="{FA7EBA36-79C8-4AD7-A592-EB980D2A0AF8}" destId="{F8A78B8E-A57D-4D42-99E5-88C747469A70}" srcOrd="0" destOrd="0" presId="urn:microsoft.com/office/officeart/2005/8/layout/orgChart1"/>
    <dgm:cxn modelId="{4197C5C6-4E25-4B71-B2AB-5E87931B3D1B}" type="presOf" srcId="{4CC82BCA-755E-473E-9D4A-936729621399}" destId="{6E9E5384-0170-4A96-991F-A0AAAE35EB14}" srcOrd="0" destOrd="0" presId="urn:microsoft.com/office/officeart/2005/8/layout/orgChart1"/>
    <dgm:cxn modelId="{FEFE8158-0F5A-41F1-9891-631015B6FA39}" type="presOf" srcId="{305A2A0F-5CE9-4B1B-B237-3B95896B6C87}" destId="{61791806-CFD1-4254-BE69-B34994161952}" srcOrd="0" destOrd="0" presId="urn:microsoft.com/office/officeart/2005/8/layout/orgChart1"/>
    <dgm:cxn modelId="{EF3F7E62-D78B-44A9-B9AF-5A99CBB7FF57}" type="presOf" srcId="{A47A2799-9357-439E-8F40-CD1E4BD7EF17}" destId="{56896E17-B159-45BD-A508-599AC12245DB}" srcOrd="0" destOrd="0" presId="urn:microsoft.com/office/officeart/2005/8/layout/orgChart1"/>
    <dgm:cxn modelId="{EC78A91E-62CF-456D-87F9-9452303D2D39}" type="presOf" srcId="{305A2A0F-5CE9-4B1B-B237-3B95896B6C87}" destId="{18E07647-7FDC-4FA3-AA33-77D0D4EBA16D}" srcOrd="1" destOrd="0" presId="urn:microsoft.com/office/officeart/2005/8/layout/orgChart1"/>
    <dgm:cxn modelId="{85A716BF-4DFD-42E5-A067-143E28A233F2}" srcId="{5F5203D9-0F09-46CD-A45C-6DB70FD10344}" destId="{710A5B69-C65C-4C83-97B9-DD4B230372FA}" srcOrd="0" destOrd="0" parTransId="{FFD520A6-DE94-439B-8B7B-D435A4400A1D}" sibTransId="{81AD0B38-81AE-42DE-BAA0-E5E089347A79}"/>
    <dgm:cxn modelId="{90266825-75B7-44D4-B3C6-375783A25209}" type="presOf" srcId="{E7CE8958-1718-4484-8749-A28B613E8185}" destId="{F04B6D22-4E77-4896-AAC7-44029A06237C}" srcOrd="0" destOrd="0" presId="urn:microsoft.com/office/officeart/2005/8/layout/orgChart1"/>
    <dgm:cxn modelId="{8FDC5FDD-2134-49AD-B3B3-7ACB1474D2D7}" type="presOf" srcId="{51B301EE-23BC-4569-8AA3-0B0A7BDE5E74}" destId="{547CB78B-F25F-4085-9750-1E299924DE31}" srcOrd="0" destOrd="0" presId="urn:microsoft.com/office/officeart/2005/8/layout/orgChart1"/>
    <dgm:cxn modelId="{A65DA372-52CC-4C03-A936-A1F88EF162D2}" type="presOf" srcId="{710A5B69-C65C-4C83-97B9-DD4B230372FA}" destId="{44B2CAA3-8214-455F-BE86-E7A25CBBBD9E}" srcOrd="1" destOrd="0" presId="urn:microsoft.com/office/officeart/2005/8/layout/orgChart1"/>
    <dgm:cxn modelId="{598B895F-7DB0-4FD5-81D0-01A471356560}" srcId="{5F5203D9-0F09-46CD-A45C-6DB70FD10344}" destId="{FA7EBA36-79C8-4AD7-A592-EB980D2A0AF8}" srcOrd="1" destOrd="0" parTransId="{4CC82BCA-755E-473E-9D4A-936729621399}" sibTransId="{A49E224B-D30E-4B02-B620-45E5783DAA44}"/>
    <dgm:cxn modelId="{11D971F1-C4C1-47E6-94B8-7E30356E87C1}" type="presOf" srcId="{5F5203D9-0F09-46CD-A45C-6DB70FD10344}" destId="{293249CD-A03C-4D78-BDCA-C3A6384AEEA7}" srcOrd="0" destOrd="0" presId="urn:microsoft.com/office/officeart/2005/8/layout/orgChart1"/>
    <dgm:cxn modelId="{BE769875-C005-47A4-9C75-BCA091EBC119}" type="presOf" srcId="{25D6FA9B-871B-4A2C-9B1F-2DCC638DCD21}" destId="{54E8A21E-E747-4927-84F5-D5419626923F}" srcOrd="0" destOrd="0" presId="urn:microsoft.com/office/officeart/2005/8/layout/orgChart1"/>
    <dgm:cxn modelId="{32499B7C-76AC-4445-9DE3-12DCE80DDCAD}" type="presParOf" srcId="{F04B6D22-4E77-4896-AAC7-44029A06237C}" destId="{79F224F9-9EB6-4A81-81E7-2BCB37120A99}" srcOrd="0" destOrd="0" presId="urn:microsoft.com/office/officeart/2005/8/layout/orgChart1"/>
    <dgm:cxn modelId="{B4BBCA7A-4E29-4288-8B57-8FABB09DB19E}" type="presParOf" srcId="{79F224F9-9EB6-4A81-81E7-2BCB37120A99}" destId="{91C99858-CDB8-4457-B4FA-130503603244}" srcOrd="0" destOrd="0" presId="urn:microsoft.com/office/officeart/2005/8/layout/orgChart1"/>
    <dgm:cxn modelId="{4AD3334B-C8BD-4A72-BA9F-2D501FEDAEDF}" type="presParOf" srcId="{91C99858-CDB8-4457-B4FA-130503603244}" destId="{61791806-CFD1-4254-BE69-B34994161952}" srcOrd="0" destOrd="0" presId="urn:microsoft.com/office/officeart/2005/8/layout/orgChart1"/>
    <dgm:cxn modelId="{29DCE2AD-BA15-471B-B435-AC64C4DA4884}" type="presParOf" srcId="{91C99858-CDB8-4457-B4FA-130503603244}" destId="{18E07647-7FDC-4FA3-AA33-77D0D4EBA16D}" srcOrd="1" destOrd="0" presId="urn:microsoft.com/office/officeart/2005/8/layout/orgChart1"/>
    <dgm:cxn modelId="{C7045C46-5CD2-43DB-8358-C9D89DDCEECB}" type="presParOf" srcId="{79F224F9-9EB6-4A81-81E7-2BCB37120A99}" destId="{CF78C32B-9BC5-4B78-BC7E-70C253281985}" srcOrd="1" destOrd="0" presId="urn:microsoft.com/office/officeart/2005/8/layout/orgChart1"/>
    <dgm:cxn modelId="{E46F58F0-441B-45A0-BBD7-4C2A86270EF1}" type="presParOf" srcId="{CF78C32B-9BC5-4B78-BC7E-70C253281985}" destId="{319E9B96-FE3D-4C76-8638-F98B9491CBF4}" srcOrd="0" destOrd="0" presId="urn:microsoft.com/office/officeart/2005/8/layout/orgChart1"/>
    <dgm:cxn modelId="{3625A598-2AE5-4E94-B686-C13B757A2440}" type="presParOf" srcId="{CF78C32B-9BC5-4B78-BC7E-70C253281985}" destId="{1E89C82E-F811-4556-BED1-46EE900CB17F}" srcOrd="1" destOrd="0" presId="urn:microsoft.com/office/officeart/2005/8/layout/orgChart1"/>
    <dgm:cxn modelId="{24732236-40C5-4A6B-AD11-5046C16225A8}" type="presParOf" srcId="{1E89C82E-F811-4556-BED1-46EE900CB17F}" destId="{2EC2F8ED-5F6F-4332-9C2A-CCC244CD548F}" srcOrd="0" destOrd="0" presId="urn:microsoft.com/office/officeart/2005/8/layout/orgChart1"/>
    <dgm:cxn modelId="{7983F185-13D0-4C41-BB9C-28E66C743B66}" type="presParOf" srcId="{2EC2F8ED-5F6F-4332-9C2A-CCC244CD548F}" destId="{293249CD-A03C-4D78-BDCA-C3A6384AEEA7}" srcOrd="0" destOrd="0" presId="urn:microsoft.com/office/officeart/2005/8/layout/orgChart1"/>
    <dgm:cxn modelId="{4091FFBE-4A57-4DDB-8CB4-6CD2EEC1C720}" type="presParOf" srcId="{2EC2F8ED-5F6F-4332-9C2A-CCC244CD548F}" destId="{4D2D6991-A175-4638-B2C7-C22FFD7A7D79}" srcOrd="1" destOrd="0" presId="urn:microsoft.com/office/officeart/2005/8/layout/orgChart1"/>
    <dgm:cxn modelId="{434A5963-3105-4DBE-A8B9-E6C59022241F}" type="presParOf" srcId="{1E89C82E-F811-4556-BED1-46EE900CB17F}" destId="{524C6C4B-F6AE-4168-A07A-0D04BA63A2E5}" srcOrd="1" destOrd="0" presId="urn:microsoft.com/office/officeart/2005/8/layout/orgChart1"/>
    <dgm:cxn modelId="{AA3B2E79-2481-4EEC-9931-B4541E6C6E3E}" type="presParOf" srcId="{524C6C4B-F6AE-4168-A07A-0D04BA63A2E5}" destId="{36A4FC13-E7D4-4FA6-AAF9-52D830BF9F50}" srcOrd="0" destOrd="0" presId="urn:microsoft.com/office/officeart/2005/8/layout/orgChart1"/>
    <dgm:cxn modelId="{30342B98-0768-4788-8D3A-B4BD1E5A72D8}" type="presParOf" srcId="{524C6C4B-F6AE-4168-A07A-0D04BA63A2E5}" destId="{63BCE922-E17E-402F-A1B3-8B09D5EB43AE}" srcOrd="1" destOrd="0" presId="urn:microsoft.com/office/officeart/2005/8/layout/orgChart1"/>
    <dgm:cxn modelId="{95F3976E-0645-4454-9E4D-6F575F27365D}" type="presParOf" srcId="{63BCE922-E17E-402F-A1B3-8B09D5EB43AE}" destId="{34AC3EFD-6429-4D83-9A17-FC6E322B03F7}" srcOrd="0" destOrd="0" presId="urn:microsoft.com/office/officeart/2005/8/layout/orgChart1"/>
    <dgm:cxn modelId="{14A4B2F8-3B1B-4440-A971-D561FC8CB72B}" type="presParOf" srcId="{34AC3EFD-6429-4D83-9A17-FC6E322B03F7}" destId="{28EDA3FD-C3B9-4C11-B1FB-9D5C0B210E41}" srcOrd="0" destOrd="0" presId="urn:microsoft.com/office/officeart/2005/8/layout/orgChart1"/>
    <dgm:cxn modelId="{356A46E3-8CBF-4CFD-A4C8-C5D1211C45D7}" type="presParOf" srcId="{34AC3EFD-6429-4D83-9A17-FC6E322B03F7}" destId="{44B2CAA3-8214-455F-BE86-E7A25CBBBD9E}" srcOrd="1" destOrd="0" presId="urn:microsoft.com/office/officeart/2005/8/layout/orgChart1"/>
    <dgm:cxn modelId="{2CF72AEF-15B4-49A0-951C-48CB068E0D5C}" type="presParOf" srcId="{63BCE922-E17E-402F-A1B3-8B09D5EB43AE}" destId="{9A122020-CEC3-47D8-AAC6-CBE2E03396B9}" srcOrd="1" destOrd="0" presId="urn:microsoft.com/office/officeart/2005/8/layout/orgChart1"/>
    <dgm:cxn modelId="{53F3598A-76BF-44AA-B161-E65C18C162F0}" type="presParOf" srcId="{63BCE922-E17E-402F-A1B3-8B09D5EB43AE}" destId="{30EC6492-EF38-428F-BD04-F4B55D68392C}" srcOrd="2" destOrd="0" presId="urn:microsoft.com/office/officeart/2005/8/layout/orgChart1"/>
    <dgm:cxn modelId="{CC2D4232-B209-4778-A290-19B5D8E3FD48}" type="presParOf" srcId="{524C6C4B-F6AE-4168-A07A-0D04BA63A2E5}" destId="{6E9E5384-0170-4A96-991F-A0AAAE35EB14}" srcOrd="2" destOrd="0" presId="urn:microsoft.com/office/officeart/2005/8/layout/orgChart1"/>
    <dgm:cxn modelId="{3E3602DA-2EE7-4E0B-BC49-A0856FC2F1E8}" type="presParOf" srcId="{524C6C4B-F6AE-4168-A07A-0D04BA63A2E5}" destId="{487825AF-924D-40B8-A58E-3D651AB022BA}" srcOrd="3" destOrd="0" presId="urn:microsoft.com/office/officeart/2005/8/layout/orgChart1"/>
    <dgm:cxn modelId="{3796FA6E-C0E3-4C62-A790-1B60655A411E}" type="presParOf" srcId="{487825AF-924D-40B8-A58E-3D651AB022BA}" destId="{5D9AD4F4-DF6D-4BAA-AD28-600B0725B21F}" srcOrd="0" destOrd="0" presId="urn:microsoft.com/office/officeart/2005/8/layout/orgChart1"/>
    <dgm:cxn modelId="{9E1B2D67-2650-4C55-9F36-94DE0F008C39}" type="presParOf" srcId="{5D9AD4F4-DF6D-4BAA-AD28-600B0725B21F}" destId="{F8A78B8E-A57D-4D42-99E5-88C747469A70}" srcOrd="0" destOrd="0" presId="urn:microsoft.com/office/officeart/2005/8/layout/orgChart1"/>
    <dgm:cxn modelId="{924D810B-4D4D-4630-8947-1B6E5830BAC1}" type="presParOf" srcId="{5D9AD4F4-DF6D-4BAA-AD28-600B0725B21F}" destId="{03CAFBA8-AE9C-459D-95BA-B27952335027}" srcOrd="1" destOrd="0" presId="urn:microsoft.com/office/officeart/2005/8/layout/orgChart1"/>
    <dgm:cxn modelId="{6F54025B-41C1-4E89-BAB7-1A21C30E715A}" type="presParOf" srcId="{487825AF-924D-40B8-A58E-3D651AB022BA}" destId="{408E7546-0F2F-4B82-8C1D-0E629BEC0BD6}" srcOrd="1" destOrd="0" presId="urn:microsoft.com/office/officeart/2005/8/layout/orgChart1"/>
    <dgm:cxn modelId="{98D2452E-7224-4608-BBD1-DCC36AE2A81C}" type="presParOf" srcId="{487825AF-924D-40B8-A58E-3D651AB022BA}" destId="{2C49220C-1C98-4A57-8488-2178089C154C}" srcOrd="2" destOrd="0" presId="urn:microsoft.com/office/officeart/2005/8/layout/orgChart1"/>
    <dgm:cxn modelId="{7590F23E-1F85-42F1-8294-106A2637FC7F}" type="presParOf" srcId="{1E89C82E-F811-4556-BED1-46EE900CB17F}" destId="{E415AF56-57D9-48FB-8D1D-F851A1E5F25E}" srcOrd="2" destOrd="0" presId="urn:microsoft.com/office/officeart/2005/8/layout/orgChart1"/>
    <dgm:cxn modelId="{1F991335-3818-43DF-B476-B7B5F02977BC}" type="presParOf" srcId="{CF78C32B-9BC5-4B78-BC7E-70C253281985}" destId="{895E1B32-708B-4B85-AD07-AD72DE043379}" srcOrd="2" destOrd="0" presId="urn:microsoft.com/office/officeart/2005/8/layout/orgChart1"/>
    <dgm:cxn modelId="{17F01FF9-E4AB-4816-A685-90855737F23B}" type="presParOf" srcId="{CF78C32B-9BC5-4B78-BC7E-70C253281985}" destId="{2700C202-D7B0-4A6C-A32A-CF584BF890B9}" srcOrd="3" destOrd="0" presId="urn:microsoft.com/office/officeart/2005/8/layout/orgChart1"/>
    <dgm:cxn modelId="{3CEA2617-A71C-47A5-82F2-4AAD398BBD83}" type="presParOf" srcId="{2700C202-D7B0-4A6C-A32A-CF584BF890B9}" destId="{FCCF79EA-9538-42E3-956A-8E93A29CA071}" srcOrd="0" destOrd="0" presId="urn:microsoft.com/office/officeart/2005/8/layout/orgChart1"/>
    <dgm:cxn modelId="{8F4B736D-D282-4C68-B484-12F5C7F38F6E}" type="presParOf" srcId="{FCCF79EA-9538-42E3-956A-8E93A29CA071}" destId="{547CB78B-F25F-4085-9750-1E299924DE31}" srcOrd="0" destOrd="0" presId="urn:microsoft.com/office/officeart/2005/8/layout/orgChart1"/>
    <dgm:cxn modelId="{611B5B28-4164-4C39-B668-B2DFAFA6007E}" type="presParOf" srcId="{FCCF79EA-9538-42E3-956A-8E93A29CA071}" destId="{F7B4E5A9-2416-4893-9595-43537D4DB298}" srcOrd="1" destOrd="0" presId="urn:microsoft.com/office/officeart/2005/8/layout/orgChart1"/>
    <dgm:cxn modelId="{2B744C0B-D3E3-4B2F-BDD6-196E63AD0CB5}" type="presParOf" srcId="{2700C202-D7B0-4A6C-A32A-CF584BF890B9}" destId="{C155467D-FE2A-4A96-9C88-76245939C694}" srcOrd="1" destOrd="0" presId="urn:microsoft.com/office/officeart/2005/8/layout/orgChart1"/>
    <dgm:cxn modelId="{49459116-9205-4229-8DE6-0360EADF3E13}" type="presParOf" srcId="{2700C202-D7B0-4A6C-A32A-CF584BF890B9}" destId="{8F144DE3-5171-476E-A91D-51BEA12209EC}" srcOrd="2" destOrd="0" presId="urn:microsoft.com/office/officeart/2005/8/layout/orgChart1"/>
    <dgm:cxn modelId="{F3A30765-D8AD-4185-9959-0EDB5EEB0C70}" type="presParOf" srcId="{CF78C32B-9BC5-4B78-BC7E-70C253281985}" destId="{56896E17-B159-45BD-A508-599AC12245DB}" srcOrd="4" destOrd="0" presId="urn:microsoft.com/office/officeart/2005/8/layout/orgChart1"/>
    <dgm:cxn modelId="{A7E982D7-56B7-43F6-A770-A86154336592}" type="presParOf" srcId="{CF78C32B-9BC5-4B78-BC7E-70C253281985}" destId="{D70CED92-A003-4018-91CC-546681765A65}" srcOrd="5" destOrd="0" presId="urn:microsoft.com/office/officeart/2005/8/layout/orgChart1"/>
    <dgm:cxn modelId="{93E4DE86-93F2-433C-B77B-70BF5DB7D25D}" type="presParOf" srcId="{D70CED92-A003-4018-91CC-546681765A65}" destId="{2C50DB57-1673-491C-A33A-8DB9718DB0F1}" srcOrd="0" destOrd="0" presId="urn:microsoft.com/office/officeart/2005/8/layout/orgChart1"/>
    <dgm:cxn modelId="{1141DD2C-29E2-4D05-901A-9DC0BD030EA1}" type="presParOf" srcId="{2C50DB57-1673-491C-A33A-8DB9718DB0F1}" destId="{54E8A21E-E747-4927-84F5-D5419626923F}" srcOrd="0" destOrd="0" presId="urn:microsoft.com/office/officeart/2005/8/layout/orgChart1"/>
    <dgm:cxn modelId="{21C5620F-0231-402E-97D8-F9080CEF60C3}" type="presParOf" srcId="{2C50DB57-1673-491C-A33A-8DB9718DB0F1}" destId="{4B7645DD-8D4E-472D-AE82-5BC9CE3C943F}" srcOrd="1" destOrd="0" presId="urn:microsoft.com/office/officeart/2005/8/layout/orgChart1"/>
    <dgm:cxn modelId="{7DF038FB-C1F8-4351-A8F6-563EC6F25CF6}" type="presParOf" srcId="{D70CED92-A003-4018-91CC-546681765A65}" destId="{974CD949-250A-40BC-B52A-F7960FA0B413}" srcOrd="1" destOrd="0" presId="urn:microsoft.com/office/officeart/2005/8/layout/orgChart1"/>
    <dgm:cxn modelId="{209E3192-07D6-4C9C-907E-BB1831B4101B}" type="presParOf" srcId="{D70CED92-A003-4018-91CC-546681765A65}" destId="{24787BB1-CADC-4219-AB41-DEF87E78F622}" srcOrd="2" destOrd="0" presId="urn:microsoft.com/office/officeart/2005/8/layout/orgChart1"/>
    <dgm:cxn modelId="{EF649304-36A6-4317-BF85-2D5540825123}" type="presParOf" srcId="{79F224F9-9EB6-4A81-81E7-2BCB37120A99}" destId="{A8554F05-7635-489F-9801-0CA433FBCF0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96E17-B159-45BD-A508-599AC12245DB}">
      <dsp:nvSpPr>
        <dsp:cNvPr id="0" name=""/>
        <dsp:cNvSpPr/>
      </dsp:nvSpPr>
      <dsp:spPr>
        <a:xfrm>
          <a:off x="3424671" y="536693"/>
          <a:ext cx="1759124" cy="288854"/>
        </a:xfrm>
        <a:custGeom>
          <a:avLst/>
          <a:gdLst/>
          <a:ahLst/>
          <a:cxnLst/>
          <a:rect l="0" t="0" r="0" b="0"/>
          <a:pathLst>
            <a:path>
              <a:moveTo>
                <a:pt x="0" y="0"/>
              </a:moveTo>
              <a:lnTo>
                <a:pt x="0" y="145193"/>
              </a:lnTo>
              <a:lnTo>
                <a:pt x="1759124" y="145193"/>
              </a:lnTo>
              <a:lnTo>
                <a:pt x="1759124" y="288854"/>
              </a:lnTo>
            </a:path>
          </a:pathLst>
        </a:custGeom>
        <a:noFill/>
        <a:ln w="6350" cap="flat" cmpd="sng" algn="ctr">
          <a:solidFill>
            <a:schemeClr val="tx1"/>
          </a:solidFill>
          <a:prstDash val="solid"/>
        </a:ln>
        <a:effectLst/>
      </dsp:spPr>
      <dsp:style>
        <a:lnRef idx="1">
          <a:schemeClr val="dk1"/>
        </a:lnRef>
        <a:fillRef idx="0">
          <a:schemeClr val="dk1"/>
        </a:fillRef>
        <a:effectRef idx="0">
          <a:schemeClr val="dk1"/>
        </a:effectRef>
        <a:fontRef idx="minor">
          <a:schemeClr val="tx1"/>
        </a:fontRef>
      </dsp:style>
    </dsp:sp>
    <dsp:sp modelId="{895E1B32-708B-4B85-AD07-AD72DE043379}">
      <dsp:nvSpPr>
        <dsp:cNvPr id="0" name=""/>
        <dsp:cNvSpPr/>
      </dsp:nvSpPr>
      <dsp:spPr>
        <a:xfrm>
          <a:off x="3378500" y="536693"/>
          <a:ext cx="91440" cy="315890"/>
        </a:xfrm>
        <a:custGeom>
          <a:avLst/>
          <a:gdLst/>
          <a:ahLst/>
          <a:cxnLst/>
          <a:rect l="0" t="0" r="0" b="0"/>
          <a:pathLst>
            <a:path>
              <a:moveTo>
                <a:pt x="46171" y="0"/>
              </a:moveTo>
              <a:lnTo>
                <a:pt x="46171" y="172229"/>
              </a:lnTo>
              <a:lnTo>
                <a:pt x="45720" y="172229"/>
              </a:lnTo>
              <a:lnTo>
                <a:pt x="45720" y="315890"/>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E9E5384-0170-4A96-991F-A0AAAE35EB14}">
      <dsp:nvSpPr>
        <dsp:cNvPr id="0" name=""/>
        <dsp:cNvSpPr/>
      </dsp:nvSpPr>
      <dsp:spPr>
        <a:xfrm>
          <a:off x="1664041" y="1508116"/>
          <a:ext cx="685954" cy="287322"/>
        </a:xfrm>
        <a:custGeom>
          <a:avLst/>
          <a:gdLst/>
          <a:ahLst/>
          <a:cxnLst/>
          <a:rect l="0" t="0" r="0" b="0"/>
          <a:pathLst>
            <a:path>
              <a:moveTo>
                <a:pt x="0" y="0"/>
              </a:moveTo>
              <a:lnTo>
                <a:pt x="0" y="143661"/>
              </a:lnTo>
              <a:lnTo>
                <a:pt x="685954" y="143661"/>
              </a:lnTo>
              <a:lnTo>
                <a:pt x="685954" y="287322"/>
              </a:lnTo>
            </a:path>
          </a:pathLst>
        </a:custGeom>
        <a:noFill/>
        <a:ln w="6350"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36A4FC13-E7D4-4FA6-AAF9-52D830BF9F50}">
      <dsp:nvSpPr>
        <dsp:cNvPr id="0" name=""/>
        <dsp:cNvSpPr/>
      </dsp:nvSpPr>
      <dsp:spPr>
        <a:xfrm>
          <a:off x="783063" y="1508116"/>
          <a:ext cx="880978" cy="287322"/>
        </a:xfrm>
        <a:custGeom>
          <a:avLst/>
          <a:gdLst/>
          <a:ahLst/>
          <a:cxnLst/>
          <a:rect l="0" t="0" r="0" b="0"/>
          <a:pathLst>
            <a:path>
              <a:moveTo>
                <a:pt x="880978" y="0"/>
              </a:moveTo>
              <a:lnTo>
                <a:pt x="880978" y="143661"/>
              </a:lnTo>
              <a:lnTo>
                <a:pt x="0" y="143661"/>
              </a:lnTo>
              <a:lnTo>
                <a:pt x="0" y="287322"/>
              </a:lnTo>
            </a:path>
          </a:pathLst>
        </a:custGeom>
        <a:noFill/>
        <a:ln w="6350"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319E9B96-FE3D-4C76-8638-F98B9491CBF4}">
      <dsp:nvSpPr>
        <dsp:cNvPr id="0" name=""/>
        <dsp:cNvSpPr/>
      </dsp:nvSpPr>
      <dsp:spPr>
        <a:xfrm>
          <a:off x="1664041" y="536693"/>
          <a:ext cx="1760629" cy="287322"/>
        </a:xfrm>
        <a:custGeom>
          <a:avLst/>
          <a:gdLst/>
          <a:ahLst/>
          <a:cxnLst/>
          <a:rect l="0" t="0" r="0" b="0"/>
          <a:pathLst>
            <a:path>
              <a:moveTo>
                <a:pt x="1760629" y="0"/>
              </a:moveTo>
              <a:lnTo>
                <a:pt x="1760629" y="143661"/>
              </a:lnTo>
              <a:lnTo>
                <a:pt x="0" y="143661"/>
              </a:lnTo>
              <a:lnTo>
                <a:pt x="0" y="287322"/>
              </a:lnTo>
            </a:path>
          </a:pathLst>
        </a:custGeom>
        <a:noFill/>
        <a:ln w="6350" cap="flat" cmpd="sng" algn="ctr">
          <a:solidFill>
            <a:schemeClr val="tx1"/>
          </a:solidFill>
          <a:prstDash val="solid"/>
        </a:ln>
        <a:effectLst/>
      </dsp:spPr>
      <dsp:style>
        <a:lnRef idx="1">
          <a:schemeClr val="dk1"/>
        </a:lnRef>
        <a:fillRef idx="0">
          <a:schemeClr val="dk1"/>
        </a:fillRef>
        <a:effectRef idx="0">
          <a:schemeClr val="dk1"/>
        </a:effectRef>
        <a:fontRef idx="minor">
          <a:schemeClr val="tx1"/>
        </a:fontRef>
      </dsp:style>
    </dsp:sp>
    <dsp:sp modelId="{61791806-CFD1-4254-BE69-B34994161952}">
      <dsp:nvSpPr>
        <dsp:cNvPr id="0" name=""/>
        <dsp:cNvSpPr/>
      </dsp:nvSpPr>
      <dsp:spPr>
        <a:xfrm>
          <a:off x="2740570" y="1548"/>
          <a:ext cx="1368202" cy="535144"/>
        </a:xfrm>
        <a:prstGeom prst="rect">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lt-LT" sz="1400" b="1" i="0" u="none" strike="noStrike" kern="1200" baseline="0" smtClean="0">
              <a:latin typeface="Times New Roman"/>
            </a:rPr>
            <a:t>Pensijų</a:t>
          </a:r>
          <a:r>
            <a:rPr lang="lt-LT" sz="1000" b="1" i="0" u="none" strike="noStrike" kern="1200" baseline="0" smtClean="0">
              <a:latin typeface="Times New Roman"/>
            </a:rPr>
            <a:t> </a:t>
          </a:r>
          <a:r>
            <a:rPr lang="lt-LT" sz="1400" b="1" i="0" u="none" strike="noStrike" kern="1200" baseline="0" smtClean="0">
              <a:latin typeface="Times New Roman"/>
            </a:rPr>
            <a:t>sistema</a:t>
          </a:r>
          <a:endParaRPr lang="lt-LT" sz="1400" kern="1200" smtClean="0"/>
        </a:p>
      </dsp:txBody>
      <dsp:txXfrm>
        <a:off x="2740570" y="1548"/>
        <a:ext cx="1368202" cy="535144"/>
      </dsp:txXfrm>
    </dsp:sp>
    <dsp:sp modelId="{293249CD-A03C-4D78-BDCA-C3A6384AEEA7}">
      <dsp:nvSpPr>
        <dsp:cNvPr id="0" name=""/>
        <dsp:cNvSpPr/>
      </dsp:nvSpPr>
      <dsp:spPr>
        <a:xfrm>
          <a:off x="923228" y="824015"/>
          <a:ext cx="1481626" cy="684101"/>
        </a:xfrm>
        <a:prstGeom prst="rect">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R="0" lvl="0" algn="l" defTabSz="622300" rtl="0">
            <a:lnSpc>
              <a:spcPct val="90000"/>
            </a:lnSpc>
            <a:spcBef>
              <a:spcPct val="0"/>
            </a:spcBef>
            <a:spcAft>
              <a:spcPct val="35000"/>
            </a:spcAft>
          </a:pPr>
          <a:r>
            <a:rPr lang="lt-LT" sz="1400" b="1" i="0" u="none" strike="noStrike" kern="1200" baseline="0" smtClean="0">
              <a:latin typeface="Times New Roman"/>
            </a:rPr>
            <a:t>I pakopa</a:t>
          </a:r>
        </a:p>
        <a:p>
          <a:pPr marR="0" lvl="0" algn="l" defTabSz="622300" rtl="0">
            <a:lnSpc>
              <a:spcPct val="90000"/>
            </a:lnSpc>
            <a:spcBef>
              <a:spcPct val="0"/>
            </a:spcBef>
            <a:spcAft>
              <a:spcPct val="35000"/>
            </a:spcAft>
          </a:pPr>
          <a:r>
            <a:rPr lang="lt-LT" sz="1200" b="0" i="0" u="none" strike="noStrike" kern="1200" baseline="0" smtClean="0">
              <a:latin typeface="Times New Roman"/>
            </a:rPr>
            <a:t>Socialinio draudimo sistema</a:t>
          </a:r>
          <a:endParaRPr lang="lt-LT" sz="1200" kern="1200" smtClean="0"/>
        </a:p>
      </dsp:txBody>
      <dsp:txXfrm>
        <a:off x="923228" y="824015"/>
        <a:ext cx="1481626" cy="684101"/>
      </dsp:txXfrm>
    </dsp:sp>
    <dsp:sp modelId="{28EDA3FD-C3B9-4C11-B1FB-9D5C0B210E41}">
      <dsp:nvSpPr>
        <dsp:cNvPr id="0" name=""/>
        <dsp:cNvSpPr/>
      </dsp:nvSpPr>
      <dsp:spPr>
        <a:xfrm>
          <a:off x="240769" y="1795439"/>
          <a:ext cx="1084587" cy="956845"/>
        </a:xfrm>
        <a:prstGeom prst="rect">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R="0" lvl="0" algn="just" defTabSz="533400" rtl="0">
            <a:lnSpc>
              <a:spcPct val="90000"/>
            </a:lnSpc>
            <a:spcBef>
              <a:spcPct val="0"/>
            </a:spcBef>
            <a:spcAft>
              <a:spcPct val="35000"/>
            </a:spcAft>
          </a:pPr>
          <a:r>
            <a:rPr lang="lt-LT" sz="1200" b="1" i="0" u="none" strike="noStrike" kern="1200" baseline="0" smtClean="0">
              <a:latin typeface="Times New Roman"/>
            </a:rPr>
            <a:t>I pakopa</a:t>
          </a:r>
        </a:p>
        <a:p>
          <a:pPr marR="0" lvl="0" algn="just" defTabSz="533400" rtl="0">
            <a:lnSpc>
              <a:spcPct val="90000"/>
            </a:lnSpc>
            <a:spcBef>
              <a:spcPct val="0"/>
            </a:spcBef>
            <a:spcAft>
              <a:spcPct val="35000"/>
            </a:spcAft>
          </a:pPr>
          <a:r>
            <a:rPr lang="lt-LT" sz="1200" b="0" i="0" u="none" strike="noStrike" kern="1200" baseline="0" smtClean="0">
              <a:latin typeface="Times New Roman"/>
            </a:rPr>
            <a:t>Einamoji pensijų sistema (PAYG)</a:t>
          </a:r>
        </a:p>
      </dsp:txBody>
      <dsp:txXfrm>
        <a:off x="240769" y="1795439"/>
        <a:ext cx="1084587" cy="956845"/>
      </dsp:txXfrm>
    </dsp:sp>
    <dsp:sp modelId="{F8A78B8E-A57D-4D42-99E5-88C747469A70}">
      <dsp:nvSpPr>
        <dsp:cNvPr id="0" name=""/>
        <dsp:cNvSpPr/>
      </dsp:nvSpPr>
      <dsp:spPr>
        <a:xfrm>
          <a:off x="1612679" y="1795439"/>
          <a:ext cx="1474634" cy="956838"/>
        </a:xfrm>
        <a:prstGeom prst="rect">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R="0" lvl="0" algn="just" defTabSz="533400" rtl="0">
            <a:lnSpc>
              <a:spcPct val="90000"/>
            </a:lnSpc>
            <a:spcBef>
              <a:spcPct val="0"/>
            </a:spcBef>
            <a:spcAft>
              <a:spcPct val="35000"/>
            </a:spcAft>
          </a:pPr>
          <a:r>
            <a:rPr lang="lt-LT" sz="1200" b="1" i="0" u="none" strike="noStrike" kern="1200" baseline="0" smtClean="0">
              <a:latin typeface="Times New Roman"/>
            </a:rPr>
            <a:t>I pakopos </a:t>
          </a:r>
          <a:r>
            <a:rPr lang="es-ES" sz="1200" b="1" i="0" u="none" strike="noStrike" kern="1200" baseline="0" smtClean="0">
              <a:latin typeface="Times New Roman"/>
            </a:rPr>
            <a:t>2 lygmuo</a:t>
          </a:r>
          <a:endParaRPr lang="lt-LT" sz="1200" b="1" i="0" u="none" strike="noStrike" kern="1200" baseline="0" smtClean="0">
            <a:latin typeface="Times New Roman"/>
          </a:endParaRPr>
        </a:p>
        <a:p>
          <a:pPr marR="0" lvl="0" algn="just" defTabSz="533400" rtl="0">
            <a:lnSpc>
              <a:spcPct val="90000"/>
            </a:lnSpc>
            <a:spcBef>
              <a:spcPct val="0"/>
            </a:spcBef>
            <a:spcAft>
              <a:spcPct val="35000"/>
            </a:spcAft>
          </a:pPr>
          <a:r>
            <a:rPr lang="lt-LT" sz="1200" b="0" i="0" u="none" strike="noStrike" kern="1200" baseline="0" smtClean="0">
              <a:latin typeface="Times New Roman"/>
            </a:rPr>
            <a:t>Įstatymais numatytos privačiai finansuojamos pensijų schemos</a:t>
          </a:r>
        </a:p>
      </dsp:txBody>
      <dsp:txXfrm>
        <a:off x="1612679" y="1795439"/>
        <a:ext cx="1474634" cy="956838"/>
      </dsp:txXfrm>
    </dsp:sp>
    <dsp:sp modelId="{547CB78B-F25F-4085-9750-1E299924DE31}">
      <dsp:nvSpPr>
        <dsp:cNvPr id="0" name=""/>
        <dsp:cNvSpPr/>
      </dsp:nvSpPr>
      <dsp:spPr>
        <a:xfrm>
          <a:off x="2635013" y="852583"/>
          <a:ext cx="1578412" cy="657941"/>
        </a:xfrm>
        <a:prstGeom prst="rect">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R="0" lvl="0" algn="just" defTabSz="622300" rtl="0">
            <a:lnSpc>
              <a:spcPct val="90000"/>
            </a:lnSpc>
            <a:spcBef>
              <a:spcPct val="0"/>
            </a:spcBef>
            <a:spcAft>
              <a:spcPct val="35000"/>
            </a:spcAft>
          </a:pPr>
          <a:r>
            <a:rPr lang="lt-LT" sz="1400" b="1" i="0" u="none" strike="noStrike" kern="1200" baseline="0" smtClean="0">
              <a:latin typeface="Times New Roman"/>
            </a:rPr>
            <a:t>II pakopa</a:t>
          </a:r>
        </a:p>
        <a:p>
          <a:pPr marR="0" lvl="0" algn="just" defTabSz="622300" rtl="0">
            <a:lnSpc>
              <a:spcPct val="90000"/>
            </a:lnSpc>
            <a:spcBef>
              <a:spcPct val="0"/>
            </a:spcBef>
            <a:spcAft>
              <a:spcPct val="35000"/>
            </a:spcAft>
          </a:pPr>
          <a:r>
            <a:rPr lang="lt-LT" sz="1200" b="0" i="0" u="none" strike="noStrike" kern="1200" baseline="0" smtClean="0">
              <a:latin typeface="Times New Roman"/>
            </a:rPr>
            <a:t>Privalomi / savanoriški profesiniai pensijų fondai</a:t>
          </a:r>
        </a:p>
      </dsp:txBody>
      <dsp:txXfrm>
        <a:off x="2635013" y="852583"/>
        <a:ext cx="1578412" cy="657941"/>
      </dsp:txXfrm>
    </dsp:sp>
    <dsp:sp modelId="{54E8A21E-E747-4927-84F5-D5419626923F}">
      <dsp:nvSpPr>
        <dsp:cNvPr id="0" name=""/>
        <dsp:cNvSpPr/>
      </dsp:nvSpPr>
      <dsp:spPr>
        <a:xfrm>
          <a:off x="4499695" y="825548"/>
          <a:ext cx="1368202" cy="650121"/>
        </a:xfrm>
        <a:prstGeom prst="rect">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R="0" lvl="0" algn="just" defTabSz="622300" rtl="0">
            <a:lnSpc>
              <a:spcPct val="90000"/>
            </a:lnSpc>
            <a:spcBef>
              <a:spcPct val="0"/>
            </a:spcBef>
            <a:spcAft>
              <a:spcPct val="35000"/>
            </a:spcAft>
          </a:pPr>
          <a:r>
            <a:rPr lang="lt-LT" sz="1400" b="1" i="0" u="none" strike="noStrike" kern="1200" baseline="0" smtClean="0">
              <a:latin typeface="Times New Roman"/>
            </a:rPr>
            <a:t>III pakopa</a:t>
          </a:r>
        </a:p>
        <a:p>
          <a:pPr marR="0" lvl="0" algn="just" defTabSz="622300" rtl="0">
            <a:lnSpc>
              <a:spcPct val="90000"/>
            </a:lnSpc>
            <a:spcBef>
              <a:spcPct val="0"/>
            </a:spcBef>
            <a:spcAft>
              <a:spcPct val="35000"/>
            </a:spcAft>
          </a:pPr>
          <a:r>
            <a:rPr lang="lt-LT" sz="1200" b="0" i="0" u="none" strike="noStrike" kern="1200" baseline="0" smtClean="0">
              <a:latin typeface="Times New Roman"/>
            </a:rPr>
            <a:t>Savanoriškos privačios schemos</a:t>
          </a:r>
        </a:p>
      </dsp:txBody>
      <dsp:txXfrm>
        <a:off x="4499695" y="825548"/>
        <a:ext cx="1368202" cy="6501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D72D-64AA-4CE6-B93C-3A8AE4EA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98459</Words>
  <Characters>56123</Characters>
  <Application>Microsoft Office Word</Application>
  <DocSecurity>0</DocSecurity>
  <Lines>467</Lines>
  <Paragraphs>308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Irmukas</dc:creator>
  <cp:lastModifiedBy>Irmukas</cp:lastModifiedBy>
  <cp:revision>16</cp:revision>
  <cp:lastPrinted>2013-04-15T06:17:00Z</cp:lastPrinted>
  <dcterms:created xsi:type="dcterms:W3CDTF">2013-04-14T10:41:00Z</dcterms:created>
  <dcterms:modified xsi:type="dcterms:W3CDTF">2013-04-15T06:18:00Z</dcterms:modified>
</cp:coreProperties>
</file>