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2.xml" ContentType="application/vnd.openxmlformats-officedocument.wordprocessingml.header+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drawings/drawing2.xml" ContentType="application/vnd.openxmlformats-officedocument.drawingml.chartshapes+xml"/>
  <Override PartName="/word/charts/chart8.xml" ContentType="application/vnd.openxmlformats-officedocument.drawingml.chart+xml"/>
  <Override PartName="/word/drawings/drawing3.xml" ContentType="application/vnd.openxmlformats-officedocument.drawingml.chartshapes+xml"/>
  <Override PartName="/word/charts/chart9.xml" ContentType="application/vnd.openxmlformats-officedocument.drawingml.chart+xml"/>
  <Override PartName="/word/drawings/drawing4.xml" ContentType="application/vnd.openxmlformats-officedocument.drawingml.chartshapes+xml"/>
  <Override PartName="/word/charts/chart10.xml" ContentType="application/vnd.openxmlformats-officedocument.drawingml.chart+xml"/>
  <Override PartName="/word/drawings/drawing5.xml" ContentType="application/vnd.openxmlformats-officedocument.drawingml.chartshapes+xml"/>
  <Override PartName="/word/charts/chart11.xml" ContentType="application/vnd.openxmlformats-officedocument.drawingml.chart+xml"/>
  <Override PartName="/word/drawings/drawing6.xml" ContentType="application/vnd.openxmlformats-officedocument.drawingml.chartshapes+xml"/>
  <Override PartName="/word/charts/chart12.xml" ContentType="application/vnd.openxmlformats-officedocument.drawingml.chart+xml"/>
  <Override PartName="/word/drawings/drawing7.xml" ContentType="application/vnd.openxmlformats-officedocument.drawingml.chartshapes+xml"/>
  <Override PartName="/word/charts/chart13.xml" ContentType="application/vnd.openxmlformats-officedocument.drawingml.chart+xml"/>
  <Override PartName="/word/drawings/drawing8.xml" ContentType="application/vnd.openxmlformats-officedocument.drawingml.chartshapes+xml"/>
  <Override PartName="/word/charts/chart14.xml" ContentType="application/vnd.openxmlformats-officedocument.drawingml.chart+xml"/>
  <Override PartName="/word/drawings/drawing9.xml" ContentType="application/vnd.openxmlformats-officedocument.drawingml.chartshapes+xml"/>
  <Override PartName="/word/charts/chart15.xml" ContentType="application/vnd.openxmlformats-officedocument.drawingml.chart+xml"/>
  <Override PartName="/word/drawings/drawing10.xml" ContentType="application/vnd.openxmlformats-officedocument.drawingml.chartshapes+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drawings/drawing11.xml" ContentType="application/vnd.openxmlformats-officedocument.drawingml.chartshapes+xml"/>
  <Override PartName="/word/charts/chart2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30F7" w:rsidRPr="00BF719A" w:rsidRDefault="00A630F7" w:rsidP="00A630F7">
      <w:pPr>
        <w:jc w:val="center"/>
        <w:rPr>
          <w:rFonts w:ascii="Times New Roman" w:hAnsi="Times New Roman" w:cs="Times New Roman"/>
          <w:sz w:val="32"/>
          <w:szCs w:val="32"/>
        </w:rPr>
      </w:pPr>
      <w:bookmarkStart w:id="0" w:name="_GoBack"/>
      <w:bookmarkEnd w:id="0"/>
      <w:r w:rsidRPr="00BF719A">
        <w:rPr>
          <w:rFonts w:ascii="Times New Roman" w:hAnsi="Times New Roman" w:cs="Times New Roman"/>
          <w:sz w:val="32"/>
          <w:szCs w:val="32"/>
        </w:rPr>
        <w:t>LIETUVOS SVEIKATOS MOKSLŲ UNIVERSITETAS</w:t>
      </w:r>
    </w:p>
    <w:p w:rsidR="00A630F7" w:rsidRPr="00BF719A" w:rsidRDefault="00A630F7" w:rsidP="00A630F7">
      <w:pPr>
        <w:jc w:val="center"/>
        <w:rPr>
          <w:rFonts w:ascii="Times New Roman" w:hAnsi="Times New Roman" w:cs="Times New Roman"/>
          <w:sz w:val="28"/>
          <w:szCs w:val="28"/>
        </w:rPr>
      </w:pPr>
      <w:r w:rsidRPr="00BF719A">
        <w:rPr>
          <w:rFonts w:ascii="Times New Roman" w:hAnsi="Times New Roman" w:cs="Times New Roman"/>
          <w:sz w:val="28"/>
          <w:szCs w:val="28"/>
        </w:rPr>
        <w:t>SLAUGOS FAKULTETAS</w:t>
      </w:r>
    </w:p>
    <w:p w:rsidR="00A630F7" w:rsidRPr="00BF719A" w:rsidRDefault="00A630F7" w:rsidP="00A630F7">
      <w:pPr>
        <w:jc w:val="center"/>
        <w:rPr>
          <w:rFonts w:ascii="Times New Roman" w:hAnsi="Times New Roman" w:cs="Times New Roman"/>
          <w:sz w:val="28"/>
          <w:szCs w:val="28"/>
        </w:rPr>
      </w:pPr>
      <w:r w:rsidRPr="00BF719A">
        <w:rPr>
          <w:rFonts w:ascii="Times New Roman" w:hAnsi="Times New Roman" w:cs="Times New Roman"/>
          <w:sz w:val="28"/>
          <w:szCs w:val="28"/>
        </w:rPr>
        <w:t>REABILITACIJOS KLINIKA</w:t>
      </w:r>
    </w:p>
    <w:p w:rsidR="00A630F7" w:rsidRPr="00D25CAE" w:rsidRDefault="00A630F7" w:rsidP="00A630F7">
      <w:pPr>
        <w:jc w:val="center"/>
        <w:rPr>
          <w:rFonts w:ascii="Times New Roman" w:hAnsi="Times New Roman" w:cs="Times New Roman"/>
          <w:sz w:val="24"/>
          <w:szCs w:val="24"/>
        </w:rPr>
      </w:pPr>
    </w:p>
    <w:p w:rsidR="00A630F7" w:rsidRPr="00D25CAE" w:rsidRDefault="00A630F7" w:rsidP="00A630F7">
      <w:pPr>
        <w:jc w:val="center"/>
        <w:rPr>
          <w:rFonts w:ascii="Times New Roman" w:hAnsi="Times New Roman" w:cs="Times New Roman"/>
          <w:sz w:val="24"/>
          <w:szCs w:val="24"/>
        </w:rPr>
      </w:pPr>
    </w:p>
    <w:p w:rsidR="00A630F7" w:rsidRPr="00D25CAE" w:rsidRDefault="00A630F7" w:rsidP="00A630F7">
      <w:pPr>
        <w:jc w:val="center"/>
        <w:rPr>
          <w:rFonts w:ascii="Times New Roman" w:hAnsi="Times New Roman" w:cs="Times New Roman"/>
          <w:sz w:val="24"/>
          <w:szCs w:val="24"/>
        </w:rPr>
      </w:pPr>
    </w:p>
    <w:p w:rsidR="00A630F7" w:rsidRDefault="00A630F7" w:rsidP="00A630F7">
      <w:pPr>
        <w:jc w:val="center"/>
        <w:rPr>
          <w:rFonts w:ascii="Times New Roman" w:hAnsi="Times New Roman" w:cs="Times New Roman"/>
          <w:sz w:val="24"/>
          <w:szCs w:val="24"/>
        </w:rPr>
      </w:pPr>
    </w:p>
    <w:p w:rsidR="00A630F7" w:rsidRDefault="00A630F7" w:rsidP="00A630F7">
      <w:pPr>
        <w:jc w:val="center"/>
        <w:rPr>
          <w:rFonts w:ascii="Times New Roman" w:hAnsi="Times New Roman" w:cs="Times New Roman"/>
          <w:sz w:val="24"/>
          <w:szCs w:val="24"/>
        </w:rPr>
      </w:pPr>
    </w:p>
    <w:p w:rsidR="00A630F7" w:rsidRDefault="00A630F7" w:rsidP="00A630F7">
      <w:pPr>
        <w:jc w:val="center"/>
        <w:rPr>
          <w:rFonts w:ascii="Times New Roman" w:hAnsi="Times New Roman" w:cs="Times New Roman"/>
          <w:sz w:val="24"/>
          <w:szCs w:val="24"/>
        </w:rPr>
      </w:pPr>
    </w:p>
    <w:p w:rsidR="00A630F7" w:rsidRDefault="00A630F7" w:rsidP="00A630F7">
      <w:pPr>
        <w:jc w:val="center"/>
        <w:rPr>
          <w:rFonts w:ascii="Times New Roman" w:hAnsi="Times New Roman" w:cs="Times New Roman"/>
          <w:sz w:val="24"/>
          <w:szCs w:val="24"/>
        </w:rPr>
      </w:pPr>
    </w:p>
    <w:p w:rsidR="00A630F7" w:rsidRPr="00BF719A" w:rsidRDefault="00A630F7" w:rsidP="00A630F7">
      <w:pPr>
        <w:jc w:val="center"/>
        <w:rPr>
          <w:rFonts w:ascii="Times New Roman" w:hAnsi="Times New Roman" w:cs="Times New Roman"/>
          <w:sz w:val="28"/>
          <w:szCs w:val="28"/>
        </w:rPr>
      </w:pPr>
      <w:r w:rsidRPr="00BF719A">
        <w:rPr>
          <w:rFonts w:ascii="Times New Roman" w:hAnsi="Times New Roman" w:cs="Times New Roman"/>
          <w:sz w:val="28"/>
          <w:szCs w:val="28"/>
        </w:rPr>
        <w:t>AUDRIUS AMBRAZEVIČIUS</w:t>
      </w:r>
    </w:p>
    <w:p w:rsidR="00A630F7" w:rsidRPr="00BF719A" w:rsidRDefault="00A630F7" w:rsidP="00A630F7">
      <w:pPr>
        <w:jc w:val="center"/>
        <w:rPr>
          <w:rFonts w:ascii="Times New Roman" w:hAnsi="Times New Roman" w:cs="Times New Roman"/>
          <w:b/>
          <w:sz w:val="32"/>
          <w:szCs w:val="32"/>
        </w:rPr>
      </w:pPr>
      <w:r w:rsidRPr="00BF719A">
        <w:rPr>
          <w:rFonts w:ascii="Times New Roman" w:hAnsi="Times New Roman" w:cs="Times New Roman"/>
          <w:b/>
          <w:sz w:val="32"/>
          <w:szCs w:val="32"/>
        </w:rPr>
        <w:t>KINEZITEIPAVIMO POVEIKIS PO TOLIMOJO STIPINKAULIO GALO LŪŽIŲ, RANKOS FUNKCIJAI IR SAVARANIŠKUMUI</w:t>
      </w:r>
    </w:p>
    <w:p w:rsidR="00A630F7" w:rsidRPr="00BF719A" w:rsidRDefault="00A630F7" w:rsidP="00A630F7">
      <w:pPr>
        <w:jc w:val="center"/>
        <w:rPr>
          <w:rFonts w:ascii="Times New Roman" w:hAnsi="Times New Roman" w:cs="Times New Roman"/>
          <w:sz w:val="28"/>
          <w:szCs w:val="28"/>
        </w:rPr>
      </w:pPr>
      <w:r w:rsidRPr="00BF719A">
        <w:rPr>
          <w:rFonts w:ascii="Times New Roman" w:hAnsi="Times New Roman" w:cs="Times New Roman"/>
          <w:sz w:val="28"/>
          <w:szCs w:val="28"/>
        </w:rPr>
        <w:t>Fizinės medici</w:t>
      </w:r>
      <w:r w:rsidR="00B3638A">
        <w:rPr>
          <w:rFonts w:ascii="Times New Roman" w:hAnsi="Times New Roman" w:cs="Times New Roman"/>
          <w:sz w:val="28"/>
          <w:szCs w:val="28"/>
        </w:rPr>
        <w:t>nos ir reabilitacijos programos</w:t>
      </w:r>
      <w:r w:rsidR="00DB5ADA">
        <w:rPr>
          <w:rFonts w:ascii="Times New Roman" w:hAnsi="Times New Roman" w:cs="Times New Roman"/>
          <w:sz w:val="28"/>
          <w:szCs w:val="28"/>
        </w:rPr>
        <w:t xml:space="preserve"> </w:t>
      </w:r>
      <w:r w:rsidRPr="00BF719A">
        <w:rPr>
          <w:rFonts w:ascii="Times New Roman" w:hAnsi="Times New Roman" w:cs="Times New Roman"/>
          <w:sz w:val="28"/>
          <w:szCs w:val="28"/>
        </w:rPr>
        <w:t>baigiamasis darbas</w:t>
      </w:r>
    </w:p>
    <w:p w:rsidR="00A630F7" w:rsidRPr="00D25CAE" w:rsidRDefault="00A630F7" w:rsidP="00A630F7">
      <w:pPr>
        <w:jc w:val="center"/>
        <w:rPr>
          <w:rFonts w:ascii="Times New Roman" w:hAnsi="Times New Roman" w:cs="Times New Roman"/>
          <w:sz w:val="24"/>
          <w:szCs w:val="24"/>
        </w:rPr>
      </w:pPr>
    </w:p>
    <w:p w:rsidR="00A630F7" w:rsidRPr="00D25CAE" w:rsidRDefault="00A630F7" w:rsidP="00A630F7">
      <w:pPr>
        <w:jc w:val="center"/>
        <w:rPr>
          <w:rFonts w:ascii="Times New Roman" w:hAnsi="Times New Roman" w:cs="Times New Roman"/>
          <w:sz w:val="24"/>
          <w:szCs w:val="24"/>
        </w:rPr>
      </w:pPr>
    </w:p>
    <w:p w:rsidR="00A630F7" w:rsidRPr="00D25CAE" w:rsidRDefault="00A630F7" w:rsidP="00A630F7">
      <w:pPr>
        <w:jc w:val="center"/>
        <w:rPr>
          <w:rFonts w:ascii="Times New Roman" w:hAnsi="Times New Roman" w:cs="Times New Roman"/>
          <w:sz w:val="24"/>
          <w:szCs w:val="24"/>
        </w:rPr>
      </w:pPr>
    </w:p>
    <w:p w:rsidR="00A630F7" w:rsidRPr="00D25CAE" w:rsidRDefault="00A630F7" w:rsidP="00A630F7">
      <w:pPr>
        <w:jc w:val="center"/>
        <w:rPr>
          <w:rFonts w:ascii="Times New Roman" w:hAnsi="Times New Roman" w:cs="Times New Roman"/>
          <w:sz w:val="24"/>
          <w:szCs w:val="24"/>
        </w:rPr>
      </w:pPr>
    </w:p>
    <w:p w:rsidR="00A630F7" w:rsidRPr="00D25CAE" w:rsidRDefault="00A630F7" w:rsidP="00A630F7">
      <w:pPr>
        <w:jc w:val="center"/>
        <w:rPr>
          <w:rFonts w:ascii="Times New Roman" w:hAnsi="Times New Roman" w:cs="Times New Roman"/>
          <w:sz w:val="24"/>
          <w:szCs w:val="24"/>
        </w:rPr>
      </w:pPr>
    </w:p>
    <w:p w:rsidR="00A630F7" w:rsidRPr="00D25CAE" w:rsidRDefault="00A630F7" w:rsidP="00A630F7">
      <w:pPr>
        <w:jc w:val="center"/>
        <w:rPr>
          <w:rFonts w:ascii="Times New Roman" w:hAnsi="Times New Roman" w:cs="Times New Roman"/>
          <w:sz w:val="24"/>
          <w:szCs w:val="24"/>
        </w:rPr>
      </w:pPr>
    </w:p>
    <w:p w:rsidR="00A630F7" w:rsidRPr="00D25CAE" w:rsidRDefault="00A630F7" w:rsidP="00A630F7">
      <w:pPr>
        <w:jc w:val="center"/>
        <w:rPr>
          <w:rFonts w:ascii="Times New Roman" w:hAnsi="Times New Roman" w:cs="Times New Roman"/>
          <w:sz w:val="24"/>
          <w:szCs w:val="24"/>
        </w:rPr>
      </w:pPr>
    </w:p>
    <w:p w:rsidR="00A630F7" w:rsidRPr="00D25CAE" w:rsidRDefault="00A630F7" w:rsidP="00A630F7">
      <w:pPr>
        <w:jc w:val="center"/>
        <w:rPr>
          <w:rFonts w:ascii="Times New Roman" w:hAnsi="Times New Roman" w:cs="Times New Roman"/>
          <w:sz w:val="24"/>
          <w:szCs w:val="24"/>
        </w:rPr>
      </w:pPr>
    </w:p>
    <w:p w:rsidR="00A630F7" w:rsidRDefault="00A630F7" w:rsidP="00A630F7">
      <w:pPr>
        <w:jc w:val="right"/>
        <w:rPr>
          <w:rFonts w:ascii="Times New Roman" w:hAnsi="Times New Roman" w:cs="Times New Roman"/>
          <w:sz w:val="24"/>
          <w:szCs w:val="24"/>
        </w:rPr>
      </w:pPr>
      <w:r w:rsidRPr="00D25CAE">
        <w:rPr>
          <w:rFonts w:ascii="Times New Roman" w:hAnsi="Times New Roman" w:cs="Times New Roman"/>
          <w:sz w:val="24"/>
          <w:szCs w:val="24"/>
        </w:rPr>
        <w:t>Darbo vadovė: lektorė, dr. Lina Leimonienė</w:t>
      </w:r>
    </w:p>
    <w:p w:rsidR="00A630F7" w:rsidRDefault="00157DC6" w:rsidP="00A630F7">
      <w:pPr>
        <w:jc w:val="right"/>
        <w:rPr>
          <w:rFonts w:ascii="Times New Roman" w:hAnsi="Times New Roman" w:cs="Times New Roman"/>
          <w:sz w:val="24"/>
          <w:szCs w:val="24"/>
        </w:rPr>
      </w:pPr>
      <w:r>
        <w:rPr>
          <w:rFonts w:ascii="Times New Roman" w:hAnsi="Times New Roman" w:cs="Times New Roman"/>
          <w:sz w:val="24"/>
          <w:szCs w:val="24"/>
        </w:rPr>
        <w:t>Konsultantė</w:t>
      </w:r>
      <w:r w:rsidR="00A630F7">
        <w:rPr>
          <w:rFonts w:ascii="Times New Roman" w:hAnsi="Times New Roman" w:cs="Times New Roman"/>
          <w:sz w:val="24"/>
          <w:szCs w:val="24"/>
        </w:rPr>
        <w:t>: Venta Donec</w:t>
      </w:r>
    </w:p>
    <w:p w:rsidR="006E15A2" w:rsidRDefault="006E15A2" w:rsidP="00A630F7">
      <w:pPr>
        <w:jc w:val="right"/>
        <w:rPr>
          <w:rFonts w:ascii="Times New Roman" w:hAnsi="Times New Roman" w:cs="Times New Roman"/>
          <w:sz w:val="24"/>
          <w:szCs w:val="24"/>
        </w:rPr>
      </w:pPr>
    </w:p>
    <w:p w:rsidR="006E15A2" w:rsidRPr="00D25CAE" w:rsidRDefault="006E15A2" w:rsidP="00A630F7">
      <w:pPr>
        <w:jc w:val="right"/>
        <w:rPr>
          <w:rFonts w:ascii="Times New Roman" w:hAnsi="Times New Roman" w:cs="Times New Roman"/>
          <w:sz w:val="24"/>
          <w:szCs w:val="24"/>
        </w:rPr>
      </w:pPr>
    </w:p>
    <w:p w:rsidR="00BF719A" w:rsidRPr="00B3638A" w:rsidRDefault="00BF719A" w:rsidP="006E15A2">
      <w:pPr>
        <w:tabs>
          <w:tab w:val="center" w:pos="4960"/>
        </w:tabs>
        <w:rPr>
          <w:rFonts w:ascii="Times New Roman" w:hAnsi="Times New Roman" w:cs="Times New Roman"/>
          <w:sz w:val="28"/>
          <w:szCs w:val="28"/>
        </w:rPr>
      </w:pPr>
      <w:r>
        <w:rPr>
          <w:sz w:val="28"/>
          <w:szCs w:val="28"/>
        </w:rPr>
        <w:tab/>
      </w:r>
      <w:r w:rsidRPr="00B3638A">
        <w:rPr>
          <w:rFonts w:ascii="Times New Roman" w:hAnsi="Times New Roman" w:cs="Times New Roman"/>
          <w:sz w:val="28"/>
          <w:szCs w:val="28"/>
        </w:rPr>
        <w:t>KAUNAS, 2014</w:t>
      </w:r>
    </w:p>
    <w:p w:rsidR="00B3638A" w:rsidRPr="00B3638A" w:rsidRDefault="00B3638A" w:rsidP="00B3638A">
      <w:pPr>
        <w:tabs>
          <w:tab w:val="center" w:pos="4960"/>
        </w:tabs>
        <w:jc w:val="center"/>
        <w:rPr>
          <w:rFonts w:ascii="Times New Roman" w:hAnsi="Times New Roman" w:cs="Times New Roman"/>
          <w:sz w:val="28"/>
          <w:szCs w:val="28"/>
        </w:rPr>
      </w:pPr>
      <w:r w:rsidRPr="00B3638A">
        <w:rPr>
          <w:rFonts w:ascii="Times New Roman" w:hAnsi="Times New Roman" w:cs="Times New Roman"/>
          <w:sz w:val="28"/>
          <w:szCs w:val="28"/>
        </w:rPr>
        <w:lastRenderedPageBreak/>
        <w:t>LIETUVOS SVEIKATOS MOKSLŲ UNIVERSITETAS</w:t>
      </w:r>
    </w:p>
    <w:p w:rsidR="00B3638A" w:rsidRPr="00B3638A" w:rsidRDefault="00B3638A" w:rsidP="00B3638A">
      <w:pPr>
        <w:tabs>
          <w:tab w:val="center" w:pos="4960"/>
        </w:tabs>
        <w:jc w:val="center"/>
        <w:rPr>
          <w:rFonts w:ascii="Times New Roman" w:hAnsi="Times New Roman" w:cs="Times New Roman"/>
          <w:sz w:val="28"/>
          <w:szCs w:val="28"/>
        </w:rPr>
      </w:pPr>
      <w:r w:rsidRPr="00B3638A">
        <w:rPr>
          <w:rFonts w:ascii="Times New Roman" w:hAnsi="Times New Roman" w:cs="Times New Roman"/>
          <w:sz w:val="28"/>
          <w:szCs w:val="28"/>
        </w:rPr>
        <w:t>SLAUGOS FAKULTETAS</w:t>
      </w:r>
    </w:p>
    <w:p w:rsidR="00B3638A" w:rsidRPr="00B3638A" w:rsidRDefault="00B3638A" w:rsidP="00B3638A">
      <w:pPr>
        <w:jc w:val="center"/>
        <w:rPr>
          <w:rFonts w:ascii="Times New Roman" w:hAnsi="Times New Roman" w:cs="Times New Roman"/>
          <w:sz w:val="28"/>
          <w:szCs w:val="28"/>
        </w:rPr>
      </w:pPr>
      <w:r w:rsidRPr="00B3638A">
        <w:rPr>
          <w:rFonts w:ascii="Times New Roman" w:hAnsi="Times New Roman" w:cs="Times New Roman"/>
          <w:sz w:val="28"/>
          <w:szCs w:val="28"/>
        </w:rPr>
        <w:t>REABILITACIJOS KLINIKA</w:t>
      </w:r>
    </w:p>
    <w:p w:rsidR="00B3638A" w:rsidRPr="00B3638A" w:rsidRDefault="00B3638A" w:rsidP="00B3638A">
      <w:pPr>
        <w:tabs>
          <w:tab w:val="center" w:pos="4960"/>
        </w:tabs>
        <w:rPr>
          <w:sz w:val="28"/>
          <w:szCs w:val="28"/>
        </w:rPr>
      </w:pPr>
      <w:r>
        <w:rPr>
          <w:sz w:val="28"/>
          <w:szCs w:val="28"/>
        </w:rPr>
        <w:t xml:space="preserve"> </w:t>
      </w:r>
    </w:p>
    <w:p w:rsidR="00B3638A" w:rsidRPr="00B3638A" w:rsidRDefault="00B3638A" w:rsidP="00B3638A">
      <w:pPr>
        <w:tabs>
          <w:tab w:val="center" w:pos="4960"/>
        </w:tabs>
        <w:rPr>
          <w:sz w:val="28"/>
          <w:szCs w:val="28"/>
        </w:rPr>
      </w:pPr>
      <w:r w:rsidRPr="00B3638A">
        <w:rPr>
          <w:sz w:val="28"/>
          <w:szCs w:val="28"/>
        </w:rPr>
        <w:t xml:space="preserve"> </w:t>
      </w:r>
    </w:p>
    <w:p w:rsidR="00B3638A" w:rsidRPr="00B3638A" w:rsidRDefault="00B3638A" w:rsidP="00B3638A">
      <w:pPr>
        <w:tabs>
          <w:tab w:val="center" w:pos="4960"/>
        </w:tabs>
        <w:jc w:val="right"/>
        <w:rPr>
          <w:rFonts w:ascii="Times New Roman" w:hAnsi="Times New Roman" w:cs="Times New Roman"/>
          <w:sz w:val="24"/>
          <w:szCs w:val="24"/>
        </w:rPr>
      </w:pPr>
      <w:r w:rsidRPr="00B3638A">
        <w:rPr>
          <w:rFonts w:ascii="Times New Roman" w:hAnsi="Times New Roman" w:cs="Times New Roman"/>
          <w:sz w:val="24"/>
          <w:szCs w:val="24"/>
        </w:rPr>
        <w:t xml:space="preserve">TVIRTINU </w:t>
      </w:r>
    </w:p>
    <w:p w:rsidR="00B3638A" w:rsidRPr="00B3638A" w:rsidRDefault="003F1070" w:rsidP="003F1070">
      <w:pPr>
        <w:tabs>
          <w:tab w:val="center" w:pos="4960"/>
          <w:tab w:val="left" w:pos="7371"/>
        </w:tabs>
        <w:jc w:val="right"/>
        <w:rPr>
          <w:rFonts w:ascii="Times New Roman" w:hAnsi="Times New Roman" w:cs="Times New Roman"/>
          <w:sz w:val="24"/>
          <w:szCs w:val="24"/>
        </w:rPr>
      </w:pPr>
      <w:r>
        <w:rPr>
          <w:rFonts w:ascii="Times New Roman" w:hAnsi="Times New Roman" w:cs="Times New Roman"/>
          <w:sz w:val="24"/>
          <w:szCs w:val="24"/>
        </w:rPr>
        <w:t>Slaugos fakulteto dekanė</w:t>
      </w:r>
      <w:r w:rsidR="00B3638A" w:rsidRPr="00B3638A">
        <w:rPr>
          <w:rFonts w:ascii="Times New Roman" w:hAnsi="Times New Roman" w:cs="Times New Roman"/>
          <w:sz w:val="24"/>
          <w:szCs w:val="24"/>
        </w:rPr>
        <w:t xml:space="preserve"> </w:t>
      </w:r>
    </w:p>
    <w:p w:rsidR="00B3638A" w:rsidRPr="00B3638A" w:rsidRDefault="00B3638A" w:rsidP="003F1070">
      <w:pPr>
        <w:tabs>
          <w:tab w:val="center" w:pos="4960"/>
        </w:tabs>
        <w:jc w:val="right"/>
        <w:rPr>
          <w:rFonts w:ascii="Times New Roman" w:hAnsi="Times New Roman" w:cs="Times New Roman"/>
          <w:sz w:val="24"/>
          <w:szCs w:val="24"/>
        </w:rPr>
      </w:pPr>
      <w:r w:rsidRPr="00B3638A">
        <w:rPr>
          <w:rFonts w:ascii="Times New Roman" w:hAnsi="Times New Roman" w:cs="Times New Roman"/>
          <w:sz w:val="24"/>
          <w:szCs w:val="24"/>
        </w:rPr>
        <w:tab/>
      </w:r>
      <w:r w:rsidRPr="00B3638A">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3F1070">
        <w:rPr>
          <w:rFonts w:ascii="Times New Roman" w:hAnsi="Times New Roman" w:cs="Times New Roman"/>
          <w:sz w:val="24"/>
          <w:szCs w:val="24"/>
        </w:rPr>
        <w:t xml:space="preserve">Prof. dr. </w:t>
      </w:r>
      <w:r w:rsidRPr="00B3638A">
        <w:rPr>
          <w:rFonts w:ascii="Times New Roman" w:hAnsi="Times New Roman" w:cs="Times New Roman"/>
          <w:sz w:val="24"/>
          <w:szCs w:val="24"/>
        </w:rPr>
        <w:t xml:space="preserve"> </w:t>
      </w:r>
      <w:r w:rsidR="003F1070">
        <w:rPr>
          <w:rFonts w:ascii="Times New Roman" w:hAnsi="Times New Roman" w:cs="Times New Roman"/>
          <w:sz w:val="24"/>
          <w:szCs w:val="24"/>
        </w:rPr>
        <w:t>Jūratė Macijauskienė</w:t>
      </w:r>
    </w:p>
    <w:p w:rsidR="003F1070" w:rsidRDefault="00B3638A" w:rsidP="000E4FF4">
      <w:pPr>
        <w:tabs>
          <w:tab w:val="center" w:pos="4960"/>
          <w:tab w:val="left" w:pos="7371"/>
        </w:tabs>
        <w:jc w:val="center"/>
        <w:rPr>
          <w:rFonts w:ascii="Times New Roman" w:hAnsi="Times New Roman" w:cs="Times New Roman"/>
          <w:sz w:val="24"/>
          <w:szCs w:val="24"/>
        </w:rPr>
      </w:pPr>
      <w:r w:rsidRPr="00B3638A">
        <w:rPr>
          <w:rFonts w:ascii="Times New Roman" w:hAnsi="Times New Roman" w:cs="Times New Roman"/>
          <w:sz w:val="24"/>
          <w:szCs w:val="24"/>
        </w:rPr>
        <w:t xml:space="preserve">                             </w:t>
      </w:r>
    </w:p>
    <w:p w:rsidR="00B3638A" w:rsidRPr="000E4FF4" w:rsidRDefault="00B3638A" w:rsidP="000E4FF4">
      <w:pPr>
        <w:tabs>
          <w:tab w:val="center" w:pos="4960"/>
          <w:tab w:val="left" w:pos="7371"/>
        </w:tabs>
        <w:jc w:val="center"/>
        <w:rPr>
          <w:rFonts w:ascii="Times New Roman" w:hAnsi="Times New Roman" w:cs="Times New Roman"/>
          <w:sz w:val="24"/>
          <w:szCs w:val="24"/>
        </w:rPr>
      </w:pPr>
      <w:r w:rsidRPr="00B3638A">
        <w:rPr>
          <w:rFonts w:ascii="Times New Roman" w:hAnsi="Times New Roman" w:cs="Times New Roman"/>
          <w:sz w:val="24"/>
          <w:szCs w:val="24"/>
        </w:rPr>
        <w:t xml:space="preserve">                                           </w:t>
      </w:r>
      <w:r w:rsidR="003F1070">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B3638A" w:rsidRPr="00B3638A" w:rsidRDefault="00B3638A" w:rsidP="00B3638A">
      <w:pPr>
        <w:tabs>
          <w:tab w:val="center" w:pos="4960"/>
        </w:tabs>
        <w:rPr>
          <w:sz w:val="28"/>
          <w:szCs w:val="28"/>
        </w:rPr>
      </w:pPr>
      <w:r w:rsidRPr="00B3638A">
        <w:rPr>
          <w:sz w:val="28"/>
          <w:szCs w:val="28"/>
        </w:rPr>
        <w:t xml:space="preserve"> </w:t>
      </w:r>
    </w:p>
    <w:p w:rsidR="00B3638A" w:rsidRPr="00BF719A" w:rsidRDefault="00B3638A" w:rsidP="00B3638A">
      <w:pPr>
        <w:jc w:val="center"/>
        <w:rPr>
          <w:rFonts w:ascii="Times New Roman" w:hAnsi="Times New Roman" w:cs="Times New Roman"/>
          <w:b/>
          <w:sz w:val="32"/>
          <w:szCs w:val="32"/>
        </w:rPr>
      </w:pPr>
      <w:r w:rsidRPr="00BF719A">
        <w:rPr>
          <w:rFonts w:ascii="Times New Roman" w:hAnsi="Times New Roman" w:cs="Times New Roman"/>
          <w:b/>
          <w:sz w:val="32"/>
          <w:szCs w:val="32"/>
        </w:rPr>
        <w:t>KINEZITEIPAVIMO POVEIKIS PO TOLIMOJO STIPINKAULIO GALO LŪŽIŲ, RANKOS FUNKCIJAI IR SAVARANIŠKUMUI</w:t>
      </w:r>
    </w:p>
    <w:p w:rsidR="00B3638A" w:rsidRPr="00BF719A" w:rsidRDefault="00B3638A" w:rsidP="00B3638A">
      <w:pPr>
        <w:jc w:val="center"/>
        <w:rPr>
          <w:rFonts w:ascii="Times New Roman" w:hAnsi="Times New Roman" w:cs="Times New Roman"/>
          <w:sz w:val="28"/>
          <w:szCs w:val="28"/>
        </w:rPr>
      </w:pPr>
      <w:r w:rsidRPr="00BF719A">
        <w:rPr>
          <w:rFonts w:ascii="Times New Roman" w:hAnsi="Times New Roman" w:cs="Times New Roman"/>
          <w:sz w:val="28"/>
          <w:szCs w:val="28"/>
        </w:rPr>
        <w:t xml:space="preserve">Fizinės medicinos ir reabilitacijos programos </w:t>
      </w:r>
      <w:r>
        <w:rPr>
          <w:rFonts w:ascii="Times New Roman" w:hAnsi="Times New Roman" w:cs="Times New Roman"/>
          <w:sz w:val="28"/>
          <w:szCs w:val="28"/>
        </w:rPr>
        <w:t xml:space="preserve">(621B30002) </w:t>
      </w:r>
      <w:r w:rsidRPr="00BF719A">
        <w:rPr>
          <w:rFonts w:ascii="Times New Roman" w:hAnsi="Times New Roman" w:cs="Times New Roman"/>
          <w:sz w:val="28"/>
          <w:szCs w:val="28"/>
        </w:rPr>
        <w:t>baigiamasis darbas</w:t>
      </w:r>
    </w:p>
    <w:p w:rsidR="00B3638A" w:rsidRPr="00B3638A" w:rsidRDefault="00B3638A" w:rsidP="00B3638A">
      <w:pPr>
        <w:tabs>
          <w:tab w:val="center" w:pos="4960"/>
        </w:tabs>
        <w:rPr>
          <w:sz w:val="28"/>
          <w:szCs w:val="28"/>
        </w:rPr>
      </w:pPr>
      <w:r>
        <w:rPr>
          <w:sz w:val="28"/>
          <w:szCs w:val="28"/>
        </w:rPr>
        <w:t xml:space="preserve"> </w:t>
      </w:r>
    </w:p>
    <w:p w:rsidR="00B3638A" w:rsidRPr="00B3638A" w:rsidRDefault="00B3638A" w:rsidP="00B3638A">
      <w:pPr>
        <w:tabs>
          <w:tab w:val="center" w:pos="4960"/>
        </w:tabs>
        <w:jc w:val="right"/>
        <w:rPr>
          <w:rFonts w:ascii="Times New Roman" w:hAnsi="Times New Roman" w:cs="Times New Roman"/>
          <w:sz w:val="24"/>
          <w:szCs w:val="24"/>
        </w:rPr>
      </w:pPr>
      <w:r w:rsidRPr="00B3638A">
        <w:rPr>
          <w:rFonts w:ascii="Times New Roman" w:hAnsi="Times New Roman" w:cs="Times New Roman"/>
          <w:sz w:val="24"/>
          <w:szCs w:val="24"/>
        </w:rPr>
        <w:t>Darbo vadov</w:t>
      </w:r>
      <w:r w:rsidR="00E73BB6">
        <w:rPr>
          <w:rFonts w:ascii="Times New Roman" w:hAnsi="Times New Roman" w:cs="Times New Roman"/>
          <w:sz w:val="24"/>
          <w:szCs w:val="24"/>
        </w:rPr>
        <w:t>ė</w:t>
      </w:r>
      <w:r w:rsidRPr="00B3638A">
        <w:rPr>
          <w:rFonts w:ascii="Times New Roman" w:hAnsi="Times New Roman" w:cs="Times New Roman"/>
          <w:sz w:val="24"/>
          <w:szCs w:val="24"/>
        </w:rPr>
        <w:t xml:space="preserve"> </w:t>
      </w:r>
    </w:p>
    <w:p w:rsidR="00B3638A" w:rsidRDefault="00B3638A" w:rsidP="00B3638A">
      <w:pPr>
        <w:tabs>
          <w:tab w:val="center" w:pos="4960"/>
        </w:tabs>
        <w:jc w:val="right"/>
        <w:rPr>
          <w:rFonts w:ascii="Times New Roman" w:hAnsi="Times New Roman" w:cs="Times New Roman"/>
          <w:sz w:val="24"/>
          <w:szCs w:val="24"/>
        </w:rPr>
      </w:pPr>
      <w:r>
        <w:rPr>
          <w:rFonts w:ascii="Times New Roman" w:hAnsi="Times New Roman" w:cs="Times New Roman"/>
          <w:sz w:val="24"/>
          <w:szCs w:val="24"/>
        </w:rPr>
        <w:t>Lektorė, dr. Lina Leimonienė</w:t>
      </w:r>
    </w:p>
    <w:p w:rsidR="003F1070" w:rsidRPr="00B3638A" w:rsidRDefault="003F1070" w:rsidP="00B3638A">
      <w:pPr>
        <w:tabs>
          <w:tab w:val="center" w:pos="4960"/>
        </w:tabs>
        <w:jc w:val="right"/>
        <w:rPr>
          <w:rFonts w:ascii="Times New Roman" w:hAnsi="Times New Roman" w:cs="Times New Roman"/>
          <w:sz w:val="24"/>
          <w:szCs w:val="24"/>
        </w:rPr>
      </w:pPr>
    </w:p>
    <w:p w:rsidR="00B3638A" w:rsidRPr="00B3638A" w:rsidRDefault="00F83038" w:rsidP="00B3638A">
      <w:pPr>
        <w:tabs>
          <w:tab w:val="center" w:pos="4960"/>
        </w:tabs>
        <w:rPr>
          <w:rFonts w:ascii="Times New Roman" w:hAnsi="Times New Roman" w:cs="Times New Roman"/>
          <w:sz w:val="24"/>
          <w:szCs w:val="24"/>
        </w:rPr>
      </w:pPr>
      <w:r>
        <w:rPr>
          <w:rFonts w:ascii="Times New Roman" w:hAnsi="Times New Roman" w:cs="Times New Roman"/>
          <w:sz w:val="24"/>
          <w:szCs w:val="24"/>
        </w:rPr>
        <w:t>Konsultantė</w:t>
      </w:r>
      <w:r w:rsidR="00B3638A" w:rsidRPr="00B3638A">
        <w:rPr>
          <w:rFonts w:ascii="Times New Roman" w:hAnsi="Times New Roman" w:cs="Times New Roman"/>
          <w:sz w:val="24"/>
          <w:szCs w:val="24"/>
        </w:rPr>
        <w:t xml:space="preserve"> </w:t>
      </w:r>
    </w:p>
    <w:p w:rsidR="00B3638A" w:rsidRPr="00B3638A" w:rsidRDefault="00B3638A" w:rsidP="00B3638A">
      <w:pPr>
        <w:tabs>
          <w:tab w:val="center" w:pos="4960"/>
        </w:tabs>
        <w:rPr>
          <w:rFonts w:ascii="Times New Roman" w:hAnsi="Times New Roman" w:cs="Times New Roman"/>
          <w:sz w:val="24"/>
          <w:szCs w:val="24"/>
        </w:rPr>
      </w:pPr>
      <w:r>
        <w:rPr>
          <w:rFonts w:ascii="Times New Roman" w:hAnsi="Times New Roman" w:cs="Times New Roman"/>
          <w:sz w:val="24"/>
          <w:szCs w:val="24"/>
        </w:rPr>
        <w:t>Venta Donec</w:t>
      </w:r>
    </w:p>
    <w:p w:rsidR="000E4FF4" w:rsidRDefault="000E4FF4" w:rsidP="00B3638A">
      <w:pPr>
        <w:tabs>
          <w:tab w:val="center" w:pos="4960"/>
        </w:tabs>
        <w:rPr>
          <w:rFonts w:ascii="Times New Roman" w:hAnsi="Times New Roman" w:cs="Times New Roman"/>
          <w:sz w:val="24"/>
          <w:szCs w:val="24"/>
        </w:rPr>
      </w:pPr>
    </w:p>
    <w:p w:rsidR="003F1070" w:rsidRDefault="003F1070" w:rsidP="00B3638A">
      <w:pPr>
        <w:tabs>
          <w:tab w:val="center" w:pos="4960"/>
        </w:tabs>
        <w:rPr>
          <w:rFonts w:ascii="Times New Roman" w:hAnsi="Times New Roman" w:cs="Times New Roman"/>
          <w:sz w:val="24"/>
          <w:szCs w:val="24"/>
        </w:rPr>
      </w:pPr>
    </w:p>
    <w:p w:rsidR="00B3638A" w:rsidRPr="00B3638A" w:rsidRDefault="00F83038" w:rsidP="000E4FF4">
      <w:pPr>
        <w:tabs>
          <w:tab w:val="center" w:pos="4960"/>
        </w:tabs>
        <w:rPr>
          <w:rFonts w:ascii="Times New Roman" w:hAnsi="Times New Roman" w:cs="Times New Roman"/>
          <w:sz w:val="24"/>
          <w:szCs w:val="24"/>
        </w:rPr>
      </w:pPr>
      <w:r>
        <w:rPr>
          <w:rFonts w:ascii="Times New Roman" w:hAnsi="Times New Roman" w:cs="Times New Roman"/>
          <w:sz w:val="24"/>
          <w:szCs w:val="24"/>
        </w:rPr>
        <w:t>Recenzentė</w:t>
      </w:r>
      <w:r w:rsidR="00B3638A" w:rsidRPr="00B3638A">
        <w:rPr>
          <w:rFonts w:ascii="Times New Roman" w:hAnsi="Times New Roman" w:cs="Times New Roman"/>
          <w:sz w:val="24"/>
          <w:szCs w:val="24"/>
        </w:rPr>
        <w:t xml:space="preserve"> </w:t>
      </w:r>
      <w:r w:rsidR="00B3638A">
        <w:rPr>
          <w:rFonts w:ascii="Times New Roman" w:hAnsi="Times New Roman" w:cs="Times New Roman"/>
          <w:sz w:val="24"/>
          <w:szCs w:val="24"/>
        </w:rPr>
        <w:tab/>
      </w:r>
      <w:r w:rsidR="00B3638A">
        <w:rPr>
          <w:rFonts w:ascii="Times New Roman" w:hAnsi="Times New Roman" w:cs="Times New Roman"/>
          <w:sz w:val="24"/>
          <w:szCs w:val="24"/>
        </w:rPr>
        <w:tab/>
      </w:r>
      <w:r w:rsidR="00B3638A">
        <w:rPr>
          <w:rFonts w:ascii="Times New Roman" w:hAnsi="Times New Roman" w:cs="Times New Roman"/>
          <w:sz w:val="24"/>
          <w:szCs w:val="24"/>
        </w:rPr>
        <w:tab/>
      </w:r>
      <w:r w:rsidR="00B3638A">
        <w:rPr>
          <w:rFonts w:ascii="Times New Roman" w:hAnsi="Times New Roman" w:cs="Times New Roman"/>
          <w:sz w:val="24"/>
          <w:szCs w:val="24"/>
        </w:rPr>
        <w:tab/>
      </w:r>
      <w:r w:rsidR="000E4FF4">
        <w:rPr>
          <w:rFonts w:ascii="Times New Roman" w:hAnsi="Times New Roman" w:cs="Times New Roman"/>
          <w:sz w:val="24"/>
          <w:szCs w:val="24"/>
        </w:rPr>
        <w:t xml:space="preserve">                                </w:t>
      </w:r>
      <w:r w:rsidR="00B3638A" w:rsidRPr="00B3638A">
        <w:rPr>
          <w:rFonts w:ascii="Times New Roman" w:hAnsi="Times New Roman" w:cs="Times New Roman"/>
          <w:sz w:val="24"/>
          <w:szCs w:val="24"/>
        </w:rPr>
        <w:t xml:space="preserve">Darbą atliko </w:t>
      </w:r>
    </w:p>
    <w:p w:rsidR="000E4FF4" w:rsidRDefault="00F83038" w:rsidP="000E4FF4">
      <w:pPr>
        <w:tabs>
          <w:tab w:val="center" w:pos="4960"/>
        </w:tabs>
        <w:rPr>
          <w:rFonts w:ascii="Times New Roman" w:hAnsi="Times New Roman" w:cs="Times New Roman"/>
          <w:sz w:val="24"/>
          <w:szCs w:val="24"/>
        </w:rPr>
      </w:pPr>
      <w:r>
        <w:rPr>
          <w:rFonts w:ascii="Times New Roman" w:hAnsi="Times New Roman" w:cs="Times New Roman"/>
          <w:sz w:val="24"/>
          <w:szCs w:val="24"/>
        </w:rPr>
        <w:t xml:space="preserve">Lekt. Dr. </w:t>
      </w:r>
      <w:r w:rsidR="000E4FF4">
        <w:rPr>
          <w:rFonts w:ascii="Times New Roman" w:hAnsi="Times New Roman" w:cs="Times New Roman"/>
          <w:sz w:val="24"/>
          <w:szCs w:val="24"/>
        </w:rPr>
        <w:t>Ernesta Sendžikaitė</w:t>
      </w:r>
      <w:r w:rsidR="00B3638A">
        <w:rPr>
          <w:rFonts w:ascii="Times New Roman" w:hAnsi="Times New Roman" w:cs="Times New Roman"/>
          <w:sz w:val="24"/>
          <w:szCs w:val="24"/>
        </w:rPr>
        <w:tab/>
      </w:r>
      <w:r w:rsidR="00B3638A">
        <w:rPr>
          <w:rFonts w:ascii="Times New Roman" w:hAnsi="Times New Roman" w:cs="Times New Roman"/>
          <w:sz w:val="24"/>
          <w:szCs w:val="24"/>
        </w:rPr>
        <w:tab/>
      </w:r>
      <w:r w:rsidR="00B3638A" w:rsidRPr="00B3638A">
        <w:rPr>
          <w:rFonts w:ascii="Times New Roman" w:hAnsi="Times New Roman" w:cs="Times New Roman"/>
          <w:sz w:val="24"/>
          <w:szCs w:val="24"/>
        </w:rPr>
        <w:t xml:space="preserve"> </w:t>
      </w:r>
      <w:r w:rsidR="00B3638A">
        <w:rPr>
          <w:rFonts w:ascii="Times New Roman" w:hAnsi="Times New Roman" w:cs="Times New Roman"/>
          <w:sz w:val="24"/>
          <w:szCs w:val="24"/>
        </w:rPr>
        <w:tab/>
      </w:r>
      <w:r w:rsidR="00B3638A">
        <w:rPr>
          <w:rFonts w:ascii="Times New Roman" w:hAnsi="Times New Roman" w:cs="Times New Roman"/>
          <w:sz w:val="24"/>
          <w:szCs w:val="24"/>
        </w:rPr>
        <w:tab/>
      </w:r>
      <w:r w:rsidR="000E4FF4">
        <w:rPr>
          <w:rFonts w:ascii="Times New Roman" w:hAnsi="Times New Roman" w:cs="Times New Roman"/>
          <w:sz w:val="24"/>
          <w:szCs w:val="24"/>
        </w:rPr>
        <w:t xml:space="preserve">                               </w:t>
      </w:r>
      <w:r w:rsidR="00B3638A">
        <w:rPr>
          <w:rFonts w:ascii="Times New Roman" w:hAnsi="Times New Roman" w:cs="Times New Roman"/>
          <w:sz w:val="24"/>
          <w:szCs w:val="24"/>
        </w:rPr>
        <w:t xml:space="preserve">Magistrantas </w:t>
      </w:r>
    </w:p>
    <w:p w:rsidR="00B3638A" w:rsidRDefault="00B3638A" w:rsidP="000E4FF4">
      <w:pPr>
        <w:tabs>
          <w:tab w:val="center" w:pos="496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E4FF4">
        <w:rPr>
          <w:rFonts w:ascii="Times New Roman" w:hAnsi="Times New Roman" w:cs="Times New Roman"/>
          <w:sz w:val="24"/>
          <w:szCs w:val="24"/>
        </w:rPr>
        <w:t xml:space="preserve">             A</w:t>
      </w:r>
      <w:r>
        <w:rPr>
          <w:rFonts w:ascii="Times New Roman" w:hAnsi="Times New Roman" w:cs="Times New Roman"/>
          <w:sz w:val="24"/>
          <w:szCs w:val="24"/>
        </w:rPr>
        <w:t>udrius Ambrazevičius</w:t>
      </w:r>
      <w:r w:rsidRPr="00B3638A">
        <w:rPr>
          <w:rFonts w:ascii="Times New Roman" w:hAnsi="Times New Roman" w:cs="Times New Roman"/>
          <w:sz w:val="24"/>
          <w:szCs w:val="24"/>
        </w:rPr>
        <w:t xml:space="preserve"> </w:t>
      </w:r>
    </w:p>
    <w:p w:rsidR="000E4FF4" w:rsidRDefault="000E4FF4" w:rsidP="000E4FF4">
      <w:pPr>
        <w:tabs>
          <w:tab w:val="center" w:pos="4960"/>
        </w:tabs>
        <w:jc w:val="righ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0E4FF4" w:rsidRPr="00B3638A" w:rsidRDefault="000E4FF4" w:rsidP="000E4FF4">
      <w:pPr>
        <w:tabs>
          <w:tab w:val="center" w:pos="4960"/>
        </w:tabs>
        <w:jc w:val="center"/>
        <w:rPr>
          <w:rFonts w:ascii="Times New Roman" w:hAnsi="Times New Roman" w:cs="Times New Roman"/>
          <w:sz w:val="24"/>
          <w:szCs w:val="24"/>
        </w:rPr>
      </w:pPr>
      <w:r>
        <w:rPr>
          <w:rFonts w:ascii="Times New Roman" w:hAnsi="Times New Roman" w:cs="Times New Roman"/>
          <w:sz w:val="24"/>
          <w:szCs w:val="24"/>
        </w:rPr>
        <w:t>KAUNAS, 2014</w:t>
      </w:r>
    </w:p>
    <w:p w:rsidR="00A630F7" w:rsidRPr="00FA7DEE" w:rsidRDefault="00A630F7" w:rsidP="00FA7DEE">
      <w:pPr>
        <w:spacing w:after="0" w:line="360" w:lineRule="auto"/>
        <w:contextualSpacing/>
        <w:jc w:val="both"/>
        <w:rPr>
          <w:rFonts w:ascii="Times New Roman" w:hAnsi="Times New Roman" w:cs="Times New Roman"/>
          <w:sz w:val="24"/>
          <w:szCs w:val="24"/>
        </w:rPr>
      </w:pPr>
      <w:r w:rsidRPr="00FA7DEE">
        <w:rPr>
          <w:rFonts w:ascii="Times New Roman" w:hAnsi="Times New Roman" w:cs="Times New Roman"/>
          <w:sz w:val="24"/>
          <w:szCs w:val="24"/>
        </w:rPr>
        <w:lastRenderedPageBreak/>
        <w:t>Ambrazevičius A. Kinezi</w:t>
      </w:r>
      <w:r w:rsidR="007667D0">
        <w:rPr>
          <w:rFonts w:ascii="Times New Roman" w:hAnsi="Times New Roman" w:cs="Times New Roman"/>
          <w:sz w:val="24"/>
          <w:szCs w:val="24"/>
        </w:rPr>
        <w:t>o</w:t>
      </w:r>
      <w:r w:rsidRPr="00FA7DEE">
        <w:rPr>
          <w:rFonts w:ascii="Times New Roman" w:hAnsi="Times New Roman" w:cs="Times New Roman"/>
          <w:sz w:val="24"/>
          <w:szCs w:val="24"/>
        </w:rPr>
        <w:t xml:space="preserve">teipavimo poveikis po tolimojo stipinkaulio galo lūžių, rankos funkcijai ir savarankiškumui, fizinės medicinos ir reabilitacijos programos baigiamasis darbas / vadovė lektorė, Dr. L. Leimonienė; Lietuvos sveikatos mokslų universitetas, Reabilitacijos klinika. – Kaunas, 2014. – </w:t>
      </w:r>
      <w:r w:rsidR="00AB0D26" w:rsidRPr="00FA7DEE">
        <w:rPr>
          <w:rFonts w:ascii="Times New Roman" w:hAnsi="Times New Roman" w:cs="Times New Roman"/>
          <w:sz w:val="24"/>
          <w:szCs w:val="24"/>
        </w:rPr>
        <w:t>56 p.</w:t>
      </w:r>
    </w:p>
    <w:p w:rsidR="00A630F7" w:rsidRDefault="00A630F7" w:rsidP="00045FF2">
      <w:pPr>
        <w:pStyle w:val="Antrat1"/>
        <w:spacing w:before="0" w:line="360" w:lineRule="auto"/>
        <w:contextualSpacing/>
        <w:jc w:val="center"/>
        <w:rPr>
          <w:rFonts w:ascii="Times New Roman" w:hAnsi="Times New Roman" w:cs="Times New Roman"/>
          <w:color w:val="auto"/>
          <w:sz w:val="32"/>
          <w:szCs w:val="32"/>
        </w:rPr>
      </w:pPr>
      <w:bookmarkStart w:id="1" w:name="_Toc388560320"/>
      <w:r w:rsidRPr="00045FF2">
        <w:rPr>
          <w:rFonts w:ascii="Times New Roman" w:hAnsi="Times New Roman" w:cs="Times New Roman"/>
          <w:color w:val="auto"/>
          <w:sz w:val="32"/>
          <w:szCs w:val="32"/>
        </w:rPr>
        <w:t>SANTRAUKA</w:t>
      </w:r>
      <w:bookmarkEnd w:id="1"/>
    </w:p>
    <w:p w:rsidR="00045FF2" w:rsidRPr="00045FF2" w:rsidRDefault="00045FF2" w:rsidP="00045FF2">
      <w:pPr>
        <w:spacing w:after="0" w:line="360" w:lineRule="auto"/>
        <w:contextualSpacing/>
        <w:jc w:val="both"/>
      </w:pPr>
    </w:p>
    <w:p w:rsidR="00A630F7" w:rsidRPr="00D52971" w:rsidRDefault="00A630F7" w:rsidP="002F2793">
      <w:pPr>
        <w:spacing w:after="0" w:line="360" w:lineRule="auto"/>
        <w:ind w:firstLine="720"/>
        <w:contextualSpacing/>
        <w:jc w:val="both"/>
        <w:rPr>
          <w:rFonts w:ascii="Times New Roman" w:hAnsi="Times New Roman" w:cs="Times New Roman"/>
          <w:sz w:val="24"/>
          <w:szCs w:val="24"/>
        </w:rPr>
      </w:pPr>
      <w:r w:rsidRPr="00D52971">
        <w:rPr>
          <w:rFonts w:ascii="Times New Roman" w:hAnsi="Times New Roman" w:cs="Times New Roman"/>
          <w:sz w:val="24"/>
          <w:szCs w:val="24"/>
        </w:rPr>
        <w:t>Stipinkaulio distalinio galo lūžiai (SDGL) yra vienas dažniaus</w:t>
      </w:r>
      <w:r>
        <w:rPr>
          <w:rFonts w:ascii="Times New Roman" w:hAnsi="Times New Roman" w:cs="Times New Roman"/>
          <w:sz w:val="24"/>
          <w:szCs w:val="24"/>
        </w:rPr>
        <w:t>ių kaulų ir raumenų sužalojimų, sudarantys</w:t>
      </w:r>
      <w:r w:rsidRPr="00D52971">
        <w:rPr>
          <w:rFonts w:ascii="Times New Roman" w:hAnsi="Times New Roman" w:cs="Times New Roman"/>
          <w:sz w:val="24"/>
          <w:szCs w:val="24"/>
        </w:rPr>
        <w:t xml:space="preserve"> apie 3 proc. visų rankos sužeidimų. </w:t>
      </w:r>
    </w:p>
    <w:p w:rsidR="00A630F7" w:rsidRDefault="00A630F7" w:rsidP="002F2793">
      <w:pPr>
        <w:spacing w:after="0" w:line="360" w:lineRule="auto"/>
        <w:ind w:firstLine="720"/>
        <w:contextualSpacing/>
        <w:jc w:val="both"/>
        <w:rPr>
          <w:rFonts w:ascii="Times New Roman" w:hAnsi="Times New Roman" w:cs="Times New Roman"/>
          <w:sz w:val="24"/>
          <w:szCs w:val="24"/>
        </w:rPr>
      </w:pPr>
      <w:r w:rsidRPr="00D52971">
        <w:rPr>
          <w:rFonts w:ascii="Times New Roman" w:hAnsi="Times New Roman" w:cs="Times New Roman"/>
          <w:sz w:val="24"/>
          <w:szCs w:val="24"/>
        </w:rPr>
        <w:t>Lietuvoje, Sveidros duomenimis, 2010 m. dėl SDGL hospitalizuoti 1375 pacientai (986 moterys ir 389 vyrai). Vyrų traumų skaičiaus nei didėjimo, nei mažėjimo tendencijos nėra. Moterų traumų nuo 50–55 m. skaičius padvigubėja (47 iki 99). Vyresnių moterų SDGL patogenezės pagrindas gali būti osteoporozė</w:t>
      </w:r>
      <w:r>
        <w:rPr>
          <w:rFonts w:ascii="Times New Roman" w:hAnsi="Times New Roman" w:cs="Times New Roman"/>
          <w:sz w:val="24"/>
          <w:szCs w:val="24"/>
        </w:rPr>
        <w:t>.</w:t>
      </w:r>
      <w:r w:rsidR="00B65C9D">
        <w:rPr>
          <w:rFonts w:ascii="Times New Roman" w:hAnsi="Times New Roman" w:cs="Times New Roman"/>
          <w:sz w:val="24"/>
          <w:szCs w:val="24"/>
        </w:rPr>
        <w:t xml:space="preserve"> </w:t>
      </w:r>
      <w:r w:rsidRPr="00584839">
        <w:rPr>
          <w:rFonts w:ascii="Times New Roman" w:hAnsi="Times New Roman" w:cs="Times New Roman"/>
          <w:bCs/>
          <w:sz w:val="24"/>
          <w:szCs w:val="24"/>
        </w:rPr>
        <w:t xml:space="preserve">Tyrimo tikslas: Įvertinti </w:t>
      </w:r>
      <w:r>
        <w:rPr>
          <w:rFonts w:ascii="Times New Roman" w:hAnsi="Times New Roman" w:cs="Times New Roman"/>
          <w:bCs/>
          <w:sz w:val="24"/>
          <w:szCs w:val="24"/>
        </w:rPr>
        <w:t>kinezi</w:t>
      </w:r>
      <w:r w:rsidR="006E041A">
        <w:rPr>
          <w:rFonts w:ascii="Times New Roman" w:hAnsi="Times New Roman" w:cs="Times New Roman"/>
          <w:bCs/>
          <w:sz w:val="24"/>
          <w:szCs w:val="24"/>
        </w:rPr>
        <w:t>o</w:t>
      </w:r>
      <w:r w:rsidRPr="00584839">
        <w:rPr>
          <w:rFonts w:ascii="Times New Roman" w:hAnsi="Times New Roman" w:cs="Times New Roman"/>
          <w:bCs/>
          <w:sz w:val="24"/>
          <w:szCs w:val="24"/>
        </w:rPr>
        <w:t>teipavimo poveikį pacientams po tolimojo stipinkaulio galo lūžių.</w:t>
      </w:r>
      <w:r w:rsidR="00B65C9D">
        <w:rPr>
          <w:rFonts w:ascii="Times New Roman" w:hAnsi="Times New Roman" w:cs="Times New Roman"/>
          <w:bCs/>
          <w:sz w:val="24"/>
          <w:szCs w:val="24"/>
        </w:rPr>
        <w:t xml:space="preserve"> </w:t>
      </w:r>
      <w:r w:rsidRPr="00584839">
        <w:rPr>
          <w:rFonts w:ascii="Times New Roman" w:hAnsi="Times New Roman" w:cs="Times New Roman"/>
          <w:bCs/>
          <w:sz w:val="24"/>
          <w:szCs w:val="24"/>
        </w:rPr>
        <w:t>Tyrimo uždaviniai:</w:t>
      </w:r>
      <w:r>
        <w:rPr>
          <w:rFonts w:ascii="Times New Roman" w:hAnsi="Times New Roman" w:cs="Times New Roman"/>
          <w:bCs/>
          <w:sz w:val="24"/>
          <w:szCs w:val="24"/>
        </w:rPr>
        <w:t xml:space="preserve"> 1. </w:t>
      </w:r>
      <w:r w:rsidR="00BD15EB" w:rsidRPr="00584839">
        <w:rPr>
          <w:rFonts w:ascii="Times New Roman" w:hAnsi="Times New Roman" w:cs="Times New Roman"/>
          <w:sz w:val="24"/>
          <w:szCs w:val="24"/>
        </w:rPr>
        <w:t xml:space="preserve">Įvertinti pacientų rankos funkciją ir savarankiškumą prieš ergoterapiją ir po jos taikant </w:t>
      </w:r>
      <w:r w:rsidR="006E041A">
        <w:rPr>
          <w:rFonts w:ascii="Times New Roman" w:hAnsi="Times New Roman" w:cs="Times New Roman"/>
          <w:sz w:val="24"/>
          <w:szCs w:val="24"/>
        </w:rPr>
        <w:t>kinezio</w:t>
      </w:r>
      <w:r w:rsidR="00BD15EB" w:rsidRPr="00584839">
        <w:rPr>
          <w:rFonts w:ascii="Times New Roman" w:hAnsi="Times New Roman" w:cs="Times New Roman"/>
          <w:sz w:val="24"/>
          <w:szCs w:val="24"/>
        </w:rPr>
        <w:t>teipavimą;</w:t>
      </w:r>
      <w:r w:rsidR="00B65C9D">
        <w:rPr>
          <w:rFonts w:ascii="Times New Roman" w:hAnsi="Times New Roman" w:cs="Times New Roman"/>
          <w:sz w:val="24"/>
          <w:szCs w:val="24"/>
        </w:rPr>
        <w:t xml:space="preserve"> </w:t>
      </w:r>
      <w:r>
        <w:rPr>
          <w:rFonts w:ascii="Times New Roman" w:hAnsi="Times New Roman" w:cs="Times New Roman"/>
          <w:sz w:val="24"/>
          <w:szCs w:val="24"/>
        </w:rPr>
        <w:t xml:space="preserve">2. </w:t>
      </w:r>
      <w:r w:rsidR="00BD15EB" w:rsidRPr="00584839">
        <w:rPr>
          <w:rFonts w:ascii="Times New Roman" w:hAnsi="Times New Roman" w:cs="Times New Roman"/>
          <w:sz w:val="24"/>
          <w:szCs w:val="24"/>
        </w:rPr>
        <w:t xml:space="preserve">Įvertinti pacientų rankos funkciją ir savarankiškumą prieš ergoterapiją ir po jos be </w:t>
      </w:r>
      <w:r w:rsidR="006E041A">
        <w:rPr>
          <w:rFonts w:ascii="Times New Roman" w:hAnsi="Times New Roman" w:cs="Times New Roman"/>
          <w:sz w:val="24"/>
          <w:szCs w:val="24"/>
        </w:rPr>
        <w:t>kinezio</w:t>
      </w:r>
      <w:r w:rsidR="00BD15EB" w:rsidRPr="00584839">
        <w:rPr>
          <w:rFonts w:ascii="Times New Roman" w:hAnsi="Times New Roman" w:cs="Times New Roman"/>
          <w:sz w:val="24"/>
          <w:szCs w:val="24"/>
        </w:rPr>
        <w:t>teipavimo;</w:t>
      </w:r>
      <w:r w:rsidR="00BD15EB">
        <w:rPr>
          <w:rFonts w:ascii="Times New Roman" w:hAnsi="Times New Roman" w:cs="Times New Roman"/>
          <w:sz w:val="24"/>
          <w:szCs w:val="24"/>
        </w:rPr>
        <w:t xml:space="preserve"> </w:t>
      </w:r>
      <w:r>
        <w:rPr>
          <w:rFonts w:ascii="Times New Roman" w:hAnsi="Times New Roman" w:cs="Times New Roman"/>
          <w:sz w:val="24"/>
          <w:szCs w:val="24"/>
        </w:rPr>
        <w:t xml:space="preserve"> 3. </w:t>
      </w:r>
      <w:r w:rsidRPr="00584839">
        <w:rPr>
          <w:rFonts w:ascii="Times New Roman" w:hAnsi="Times New Roman" w:cs="Times New Roman"/>
          <w:sz w:val="24"/>
          <w:szCs w:val="24"/>
        </w:rPr>
        <w:t xml:space="preserve">Palyginti ergoterapijos efektyvumą taikant </w:t>
      </w:r>
      <w:r w:rsidR="002A15E0">
        <w:rPr>
          <w:rFonts w:ascii="Times New Roman" w:hAnsi="Times New Roman" w:cs="Times New Roman"/>
          <w:sz w:val="24"/>
          <w:szCs w:val="24"/>
        </w:rPr>
        <w:t>kinezi</w:t>
      </w:r>
      <w:r w:rsidR="006E041A">
        <w:rPr>
          <w:rFonts w:ascii="Times New Roman" w:hAnsi="Times New Roman" w:cs="Times New Roman"/>
          <w:sz w:val="24"/>
          <w:szCs w:val="24"/>
        </w:rPr>
        <w:t>o</w:t>
      </w:r>
      <w:r w:rsidRPr="00584839">
        <w:rPr>
          <w:rFonts w:ascii="Times New Roman" w:hAnsi="Times New Roman" w:cs="Times New Roman"/>
          <w:sz w:val="24"/>
          <w:szCs w:val="24"/>
        </w:rPr>
        <w:t xml:space="preserve">teipavimą; </w:t>
      </w:r>
    </w:p>
    <w:p w:rsidR="00D82157" w:rsidRDefault="00D82157" w:rsidP="002F2793">
      <w:pPr>
        <w:spacing w:after="0" w:line="360" w:lineRule="auto"/>
        <w:ind w:firstLine="720"/>
        <w:contextualSpacing/>
        <w:jc w:val="both"/>
        <w:rPr>
          <w:rFonts w:ascii="Times New Roman" w:hAnsi="Times New Roman" w:cs="Times New Roman"/>
          <w:sz w:val="24"/>
          <w:szCs w:val="24"/>
        </w:rPr>
      </w:pPr>
      <w:r w:rsidRPr="00B84C84">
        <w:rPr>
          <w:rFonts w:ascii="Times New Roman" w:hAnsi="Times New Roman" w:cs="Times New Roman"/>
          <w:sz w:val="24"/>
          <w:szCs w:val="24"/>
        </w:rPr>
        <w:t>Tyrimas buvo atliktas</w:t>
      </w:r>
      <w:r>
        <w:rPr>
          <w:rFonts w:ascii="Times New Roman" w:hAnsi="Times New Roman" w:cs="Times New Roman"/>
          <w:sz w:val="24"/>
          <w:szCs w:val="24"/>
        </w:rPr>
        <w:t xml:space="preserve"> </w:t>
      </w:r>
      <w:r w:rsidRPr="00B84C84">
        <w:rPr>
          <w:rFonts w:ascii="Times New Roman" w:hAnsi="Times New Roman" w:cs="Times New Roman"/>
          <w:sz w:val="24"/>
          <w:szCs w:val="24"/>
        </w:rPr>
        <w:t>2013 metų spalio – kovo mėnesiais</w:t>
      </w:r>
      <w:r w:rsidR="00157DC6">
        <w:rPr>
          <w:rFonts w:ascii="Times New Roman" w:hAnsi="Times New Roman" w:cs="Times New Roman"/>
          <w:sz w:val="24"/>
          <w:szCs w:val="24"/>
        </w:rPr>
        <w:t>.</w:t>
      </w:r>
      <w:r w:rsidRPr="00B84C84">
        <w:rPr>
          <w:rFonts w:ascii="Times New Roman" w:hAnsi="Times New Roman" w:cs="Times New Roman"/>
          <w:sz w:val="24"/>
          <w:szCs w:val="24"/>
        </w:rPr>
        <w:t xml:space="preserve"> </w:t>
      </w:r>
      <w:r w:rsidR="00157DC6">
        <w:rPr>
          <w:rFonts w:ascii="Times New Roman" w:hAnsi="Times New Roman" w:cs="Times New Roman"/>
          <w:sz w:val="24"/>
          <w:szCs w:val="24"/>
        </w:rPr>
        <w:t>I</w:t>
      </w:r>
      <w:r w:rsidRPr="00B84C84">
        <w:rPr>
          <w:rFonts w:ascii="Times New Roman" w:hAnsi="Times New Roman" w:cs="Times New Roman"/>
          <w:sz w:val="24"/>
          <w:szCs w:val="24"/>
        </w:rPr>
        <w:t>štirti 32 pacientai, patyrę tolimojo stipinkaulio galo</w:t>
      </w:r>
      <w:r>
        <w:rPr>
          <w:rFonts w:ascii="Times New Roman" w:hAnsi="Times New Roman" w:cs="Times New Roman"/>
          <w:sz w:val="24"/>
          <w:szCs w:val="24"/>
        </w:rPr>
        <w:t xml:space="preserve"> lūžius,</w:t>
      </w:r>
      <w:r w:rsidR="00157DC6">
        <w:rPr>
          <w:rFonts w:ascii="Times New Roman" w:hAnsi="Times New Roman" w:cs="Times New Roman"/>
          <w:sz w:val="24"/>
          <w:szCs w:val="24"/>
        </w:rPr>
        <w:t xml:space="preserve"> Viešosios įstaigos</w:t>
      </w:r>
      <w:r w:rsidRPr="00B84C84">
        <w:rPr>
          <w:rFonts w:ascii="Times New Roman" w:hAnsi="Times New Roman" w:cs="Times New Roman"/>
          <w:sz w:val="24"/>
          <w:szCs w:val="24"/>
        </w:rPr>
        <w:t xml:space="preserve"> „Kauno klinikinėje ligoninėje“ bei „Kauno klinikos“, reabilitacijos skyriuje, </w:t>
      </w:r>
      <w:r>
        <w:rPr>
          <w:rFonts w:ascii="Times New Roman" w:hAnsi="Times New Roman" w:cs="Times New Roman"/>
          <w:sz w:val="24"/>
          <w:szCs w:val="24"/>
        </w:rPr>
        <w:t>gydyti ambulatoriškai. Pacientai buvo suskirstyti į dvi grupes: kontrolinę ir tiriamąją. Kontrolinę grupę sudarė pacientai, kuriems taikyta ergoterapija be kinezi</w:t>
      </w:r>
      <w:r w:rsidR="006E041A">
        <w:rPr>
          <w:rFonts w:ascii="Times New Roman" w:hAnsi="Times New Roman" w:cs="Times New Roman"/>
          <w:sz w:val="24"/>
          <w:szCs w:val="24"/>
        </w:rPr>
        <w:t>o</w:t>
      </w:r>
      <w:r>
        <w:rPr>
          <w:rFonts w:ascii="Times New Roman" w:hAnsi="Times New Roman" w:cs="Times New Roman"/>
          <w:sz w:val="24"/>
          <w:szCs w:val="24"/>
        </w:rPr>
        <w:t>teipavimo. Tiriamąją grupę sudarė pacientai, kuriems taikyta ergoterapija ir kinezi</w:t>
      </w:r>
      <w:r w:rsidR="006E041A">
        <w:rPr>
          <w:rFonts w:ascii="Times New Roman" w:hAnsi="Times New Roman" w:cs="Times New Roman"/>
          <w:sz w:val="24"/>
          <w:szCs w:val="24"/>
        </w:rPr>
        <w:t>o</w:t>
      </w:r>
      <w:r>
        <w:rPr>
          <w:rFonts w:ascii="Times New Roman" w:hAnsi="Times New Roman" w:cs="Times New Roman"/>
          <w:sz w:val="24"/>
          <w:szCs w:val="24"/>
        </w:rPr>
        <w:t>teipavimas. Abiejų grupių pacientams buvo sudaryta ir taikyta individuali ergoterapijos programa, atsižvelgiant į rankos funkcijos ir savarankiškumo sutrikimą. Ergoterapijos programos ir kinezi</w:t>
      </w:r>
      <w:r w:rsidR="006E041A">
        <w:rPr>
          <w:rFonts w:ascii="Times New Roman" w:hAnsi="Times New Roman" w:cs="Times New Roman"/>
          <w:sz w:val="24"/>
          <w:szCs w:val="24"/>
        </w:rPr>
        <w:t>o</w:t>
      </w:r>
      <w:r>
        <w:rPr>
          <w:rFonts w:ascii="Times New Roman" w:hAnsi="Times New Roman" w:cs="Times New Roman"/>
          <w:sz w:val="24"/>
          <w:szCs w:val="24"/>
        </w:rPr>
        <w:t>teipavimo efektyvumui įvertinti buvo naudojama: paruoštas klausimynas, dinamometrija - plaštakos jėgos matavimui, plaštakos judesių amplitudei vertinti – goniometrija, Skausmo ir sustingimo vertinimas, funkcinis judėjimo testas (Modifikuotas Keitelio indeksas).</w:t>
      </w:r>
    </w:p>
    <w:p w:rsidR="00F53840" w:rsidRPr="009D06B6" w:rsidRDefault="00D82157" w:rsidP="002F2793">
      <w:pPr>
        <w:spacing w:after="0" w:line="36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Tyrimo išvados: 1.</w:t>
      </w:r>
      <w:r w:rsidR="009D06B6">
        <w:rPr>
          <w:rFonts w:ascii="Times New Roman" w:hAnsi="Times New Roman" w:cs="Times New Roman"/>
          <w:sz w:val="24"/>
          <w:szCs w:val="24"/>
        </w:rPr>
        <w:t xml:space="preserve"> </w:t>
      </w:r>
      <w:r w:rsidR="00F53840" w:rsidRPr="009D06B6">
        <w:rPr>
          <w:rFonts w:ascii="Times New Roman" w:hAnsi="Times New Roman" w:cs="Times New Roman"/>
          <w:sz w:val="24"/>
          <w:szCs w:val="24"/>
        </w:rPr>
        <w:t>Tiriamojoje grupėje po ergoterapijos su kinezi</w:t>
      </w:r>
      <w:r w:rsidR="006E041A">
        <w:rPr>
          <w:rFonts w:ascii="Times New Roman" w:hAnsi="Times New Roman" w:cs="Times New Roman"/>
          <w:sz w:val="24"/>
          <w:szCs w:val="24"/>
        </w:rPr>
        <w:t>o</w:t>
      </w:r>
      <w:r w:rsidR="00F53840" w:rsidRPr="009D06B6">
        <w:rPr>
          <w:rFonts w:ascii="Times New Roman" w:hAnsi="Times New Roman" w:cs="Times New Roman"/>
          <w:sz w:val="24"/>
          <w:szCs w:val="24"/>
        </w:rPr>
        <w:t>teipavimu buvo nustatytas statistiškai reikšminga</w:t>
      </w:r>
      <w:r w:rsidR="00224213">
        <w:rPr>
          <w:rFonts w:ascii="Times New Roman" w:hAnsi="Times New Roman" w:cs="Times New Roman"/>
          <w:sz w:val="24"/>
          <w:szCs w:val="24"/>
        </w:rPr>
        <w:t>s</w:t>
      </w:r>
      <w:r w:rsidR="00157DC6">
        <w:rPr>
          <w:rFonts w:ascii="Times New Roman" w:hAnsi="Times New Roman" w:cs="Times New Roman"/>
          <w:sz w:val="24"/>
          <w:szCs w:val="24"/>
        </w:rPr>
        <w:t xml:space="preserve"> </w:t>
      </w:r>
      <w:r w:rsidR="00F53840" w:rsidRPr="009D06B6">
        <w:rPr>
          <w:rFonts w:ascii="Times New Roman" w:hAnsi="Times New Roman" w:cs="Times New Roman"/>
          <w:sz w:val="24"/>
          <w:szCs w:val="24"/>
        </w:rPr>
        <w:t>skausm</w:t>
      </w:r>
      <w:r w:rsidR="00224213">
        <w:rPr>
          <w:rFonts w:ascii="Times New Roman" w:hAnsi="Times New Roman" w:cs="Times New Roman"/>
          <w:sz w:val="24"/>
          <w:szCs w:val="24"/>
        </w:rPr>
        <w:t>o</w:t>
      </w:r>
      <w:r w:rsidR="00157DC6">
        <w:rPr>
          <w:rFonts w:ascii="Times New Roman" w:hAnsi="Times New Roman" w:cs="Times New Roman"/>
          <w:sz w:val="24"/>
          <w:szCs w:val="24"/>
        </w:rPr>
        <w:t xml:space="preserve"> ir sustingim</w:t>
      </w:r>
      <w:r w:rsidR="00224213">
        <w:rPr>
          <w:rFonts w:ascii="Times New Roman" w:hAnsi="Times New Roman" w:cs="Times New Roman"/>
          <w:sz w:val="24"/>
          <w:szCs w:val="24"/>
        </w:rPr>
        <w:t>o sumažėjimas</w:t>
      </w:r>
      <w:r w:rsidR="00F53840" w:rsidRPr="009D06B6">
        <w:rPr>
          <w:rFonts w:ascii="Times New Roman" w:hAnsi="Times New Roman" w:cs="Times New Roman"/>
          <w:sz w:val="24"/>
          <w:szCs w:val="24"/>
        </w:rPr>
        <w:t>.</w:t>
      </w:r>
      <w:r w:rsidR="009D06B6">
        <w:rPr>
          <w:rFonts w:ascii="Times New Roman" w:hAnsi="Times New Roman" w:cs="Times New Roman"/>
          <w:sz w:val="24"/>
          <w:szCs w:val="24"/>
        </w:rPr>
        <w:t xml:space="preserve"> 2. </w:t>
      </w:r>
      <w:r w:rsidR="00F53840" w:rsidRPr="009D06B6">
        <w:rPr>
          <w:rFonts w:ascii="Times New Roman" w:hAnsi="Times New Roman" w:cs="Times New Roman"/>
          <w:sz w:val="24"/>
          <w:szCs w:val="24"/>
        </w:rPr>
        <w:t>Ergoterapija pagerino kontrolinės grupės pacientų rankos funkciją ir savarankiškumą.</w:t>
      </w:r>
      <w:r w:rsidR="009D06B6">
        <w:rPr>
          <w:rFonts w:ascii="Times New Roman" w:hAnsi="Times New Roman" w:cs="Times New Roman"/>
          <w:sz w:val="24"/>
          <w:szCs w:val="24"/>
        </w:rPr>
        <w:t xml:space="preserve"> 3.</w:t>
      </w:r>
      <w:r w:rsidR="00F53840" w:rsidRPr="009D06B6">
        <w:rPr>
          <w:rFonts w:ascii="Times New Roman" w:hAnsi="Times New Roman" w:cs="Times New Roman"/>
          <w:sz w:val="24"/>
          <w:szCs w:val="24"/>
        </w:rPr>
        <w:t xml:space="preserve">Tiriamosios grupės rankos funkcijos rodiklių pokyčiai buvo didesni nei kontrolinės grupės, išskyrus plaštakos alkūninio nuokrypio rodiklius. </w:t>
      </w:r>
      <w:r w:rsidR="00F972D5" w:rsidRPr="00830A77">
        <w:rPr>
          <w:rFonts w:ascii="Times New Roman" w:hAnsi="Times New Roman" w:cs="Times New Roman"/>
          <w:sz w:val="24"/>
          <w:szCs w:val="24"/>
        </w:rPr>
        <w:t xml:space="preserve">Ergoterapija su </w:t>
      </w:r>
      <w:r w:rsidR="00F972D5">
        <w:rPr>
          <w:rFonts w:ascii="Times New Roman" w:hAnsi="Times New Roman" w:cs="Times New Roman"/>
          <w:sz w:val="24"/>
          <w:szCs w:val="24"/>
        </w:rPr>
        <w:t>kinezio</w:t>
      </w:r>
      <w:r w:rsidR="00F972D5" w:rsidRPr="00830A77">
        <w:rPr>
          <w:rFonts w:ascii="Times New Roman" w:hAnsi="Times New Roman" w:cs="Times New Roman"/>
          <w:sz w:val="24"/>
          <w:szCs w:val="24"/>
        </w:rPr>
        <w:t>teipavimu kartu su kitomis reabilitacijos procedūromis sustiprino efektą mažinant skausmą, raumenų sustingimą, didinant plaštakos judesių amplitudę.</w:t>
      </w:r>
    </w:p>
    <w:p w:rsidR="004C6621" w:rsidRPr="004C6621" w:rsidRDefault="004C6621" w:rsidP="002F2793">
      <w:pPr>
        <w:pStyle w:val="Antrat1"/>
        <w:spacing w:before="0" w:line="360" w:lineRule="auto"/>
        <w:contextualSpacing/>
        <w:jc w:val="both"/>
        <w:rPr>
          <w:rFonts w:ascii="Times New Roman" w:hAnsi="Times New Roman" w:cs="Times New Roman"/>
          <w:b w:val="0"/>
          <w:color w:val="auto"/>
          <w:sz w:val="24"/>
          <w:szCs w:val="24"/>
        </w:rPr>
      </w:pPr>
      <w:bookmarkStart w:id="2" w:name="_Toc388344212"/>
      <w:bookmarkStart w:id="3" w:name="_Toc388344302"/>
      <w:bookmarkStart w:id="4" w:name="_Toc388345254"/>
      <w:bookmarkStart w:id="5" w:name="_Toc388560234"/>
      <w:bookmarkStart w:id="6" w:name="_Toc388560321"/>
      <w:r>
        <w:rPr>
          <w:rFonts w:ascii="Times New Roman" w:hAnsi="Times New Roman" w:cs="Times New Roman"/>
          <w:b w:val="0"/>
          <w:color w:val="auto"/>
          <w:sz w:val="24"/>
          <w:szCs w:val="24"/>
        </w:rPr>
        <w:lastRenderedPageBreak/>
        <w:t>Ambrazevičius A. The influence of kinesio taping for patients after distal radius fractures for hand function and self – independence</w:t>
      </w:r>
      <w:r w:rsidR="00CB0754">
        <w:rPr>
          <w:rFonts w:ascii="Times New Roman" w:hAnsi="Times New Roman" w:cs="Times New Roman"/>
          <w:b w:val="0"/>
          <w:color w:val="auto"/>
          <w:sz w:val="24"/>
          <w:szCs w:val="24"/>
        </w:rPr>
        <w:t>, master`s thesis / supervisor d. L. Leimonienė; Lithuanian University of Health Sciences; Faculty of Nursing. – Kaunas, 2014, -</w:t>
      </w:r>
      <w:r w:rsidR="00AB0D26">
        <w:rPr>
          <w:rFonts w:ascii="Times New Roman" w:hAnsi="Times New Roman" w:cs="Times New Roman"/>
          <w:b w:val="0"/>
          <w:color w:val="auto"/>
          <w:sz w:val="24"/>
          <w:szCs w:val="24"/>
        </w:rPr>
        <w:t>s. 56.</w:t>
      </w:r>
      <w:bookmarkEnd w:id="2"/>
      <w:bookmarkEnd w:id="3"/>
      <w:bookmarkEnd w:id="4"/>
      <w:bookmarkEnd w:id="5"/>
      <w:bookmarkEnd w:id="6"/>
    </w:p>
    <w:p w:rsidR="00C24E99" w:rsidRDefault="00C24E99" w:rsidP="002F2793">
      <w:pPr>
        <w:pStyle w:val="Antrat1"/>
        <w:spacing w:before="0" w:line="360" w:lineRule="auto"/>
        <w:contextualSpacing/>
        <w:jc w:val="center"/>
        <w:rPr>
          <w:rFonts w:ascii="Times New Roman" w:hAnsi="Times New Roman" w:cs="Times New Roman"/>
          <w:color w:val="auto"/>
          <w:sz w:val="32"/>
          <w:szCs w:val="32"/>
        </w:rPr>
      </w:pPr>
    </w:p>
    <w:p w:rsidR="00A630F7" w:rsidRPr="00045FF2" w:rsidRDefault="00A630F7" w:rsidP="002F2793">
      <w:pPr>
        <w:pStyle w:val="Antrat1"/>
        <w:spacing w:before="0" w:line="360" w:lineRule="auto"/>
        <w:contextualSpacing/>
        <w:jc w:val="center"/>
        <w:rPr>
          <w:rFonts w:ascii="Times New Roman" w:hAnsi="Times New Roman" w:cs="Times New Roman"/>
          <w:sz w:val="32"/>
          <w:szCs w:val="32"/>
        </w:rPr>
      </w:pPr>
      <w:bookmarkStart w:id="7" w:name="_Toc388560322"/>
      <w:r w:rsidRPr="00045FF2">
        <w:rPr>
          <w:rFonts w:ascii="Times New Roman" w:hAnsi="Times New Roman" w:cs="Times New Roman"/>
          <w:color w:val="auto"/>
          <w:sz w:val="32"/>
          <w:szCs w:val="32"/>
        </w:rPr>
        <w:t>SUMMARY</w:t>
      </w:r>
      <w:bookmarkEnd w:id="7"/>
    </w:p>
    <w:p w:rsidR="004B7BCA" w:rsidRPr="004B7BCA" w:rsidRDefault="004B7BCA" w:rsidP="002F2793">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Distal radius fractures are among the most common musculoskeletal injuries. It consists about 3</w:t>
      </w:r>
      <w:r>
        <w:rPr>
          <w:rFonts w:ascii="Times New Roman" w:hAnsi="Times New Roman" w:cs="Times New Roman"/>
          <w:sz w:val="24"/>
          <w:szCs w:val="24"/>
          <w:lang w:val="en-US"/>
        </w:rPr>
        <w:t>%</w:t>
      </w:r>
      <w:r>
        <w:rPr>
          <w:rFonts w:ascii="Times New Roman" w:hAnsi="Times New Roman" w:cs="Times New Roman"/>
          <w:sz w:val="24"/>
          <w:szCs w:val="24"/>
        </w:rPr>
        <w:t xml:space="preserve"> of all hand injuries. </w:t>
      </w:r>
      <w:r w:rsidR="00B65C9D">
        <w:rPr>
          <w:rFonts w:ascii="Times New Roman" w:hAnsi="Times New Roman" w:cs="Times New Roman"/>
          <w:sz w:val="24"/>
          <w:szCs w:val="24"/>
        </w:rPr>
        <w:t>In Lithuania 1375 patients were hospitalized in 2010 year. Men injury rate has unchanged. Women injuries rate from 50-55 has doubled.</w:t>
      </w:r>
    </w:p>
    <w:p w:rsidR="00A630F7" w:rsidRDefault="00B65C9D" w:rsidP="002F2793">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Aim of work was to estimate occupational therapy and kinesio taping influence to patien</w:t>
      </w:r>
      <w:r w:rsidR="00917CFD">
        <w:rPr>
          <w:rFonts w:ascii="Times New Roman" w:hAnsi="Times New Roman" w:cs="Times New Roman"/>
          <w:sz w:val="24"/>
          <w:szCs w:val="24"/>
        </w:rPr>
        <w:t>t</w:t>
      </w:r>
      <w:r>
        <w:rPr>
          <w:rFonts w:ascii="Times New Roman" w:hAnsi="Times New Roman" w:cs="Times New Roman"/>
          <w:sz w:val="24"/>
          <w:szCs w:val="24"/>
        </w:rPr>
        <w:t xml:space="preserve">s, experienced  radius fractures. Tasks of this work were: 1. </w:t>
      </w:r>
      <w:r w:rsidR="00971F8C">
        <w:rPr>
          <w:rFonts w:ascii="Times New Roman" w:hAnsi="Times New Roman" w:cs="Times New Roman"/>
          <w:sz w:val="24"/>
          <w:szCs w:val="24"/>
        </w:rPr>
        <w:t>Evaluate patients hand function and  independence before and after occupational therapy through kinesio taping. 2. Evalu</w:t>
      </w:r>
      <w:r w:rsidR="00917CFD">
        <w:rPr>
          <w:rFonts w:ascii="Times New Roman" w:hAnsi="Times New Roman" w:cs="Times New Roman"/>
          <w:sz w:val="24"/>
          <w:szCs w:val="24"/>
        </w:rPr>
        <w:t>a</w:t>
      </w:r>
      <w:r w:rsidR="00971F8C">
        <w:rPr>
          <w:rFonts w:ascii="Times New Roman" w:hAnsi="Times New Roman" w:cs="Times New Roman"/>
          <w:sz w:val="24"/>
          <w:szCs w:val="24"/>
        </w:rPr>
        <w:t>te patients hand function and independence before and after occupational therapy using kinesio taping. 3. Compare the effectiveness of occupational therapy through kinesio taping.</w:t>
      </w:r>
    </w:p>
    <w:p w:rsidR="00971F8C" w:rsidRDefault="00971F8C" w:rsidP="002F2793">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Research was conducted in October 2013 – March to examine the 32 patients experienced distal radius fractures at Kaunas Clinical hospital and Kaunas clinics in rehabilitation department. Patients were divi</w:t>
      </w:r>
      <w:r w:rsidR="00BD15EB">
        <w:rPr>
          <w:rFonts w:ascii="Times New Roman" w:hAnsi="Times New Roman" w:cs="Times New Roman"/>
          <w:sz w:val="24"/>
          <w:szCs w:val="24"/>
        </w:rPr>
        <w:t>d</w:t>
      </w:r>
      <w:r>
        <w:rPr>
          <w:rFonts w:ascii="Times New Roman" w:hAnsi="Times New Roman" w:cs="Times New Roman"/>
          <w:sz w:val="24"/>
          <w:szCs w:val="24"/>
        </w:rPr>
        <w:t xml:space="preserve">ed into </w:t>
      </w:r>
      <w:r w:rsidR="00917CFD">
        <w:rPr>
          <w:rFonts w:ascii="Times New Roman" w:hAnsi="Times New Roman" w:cs="Times New Roman"/>
          <w:sz w:val="24"/>
          <w:szCs w:val="24"/>
        </w:rPr>
        <w:t>t</w:t>
      </w:r>
      <w:r>
        <w:rPr>
          <w:rFonts w:ascii="Times New Roman" w:hAnsi="Times New Roman" w:cs="Times New Roman"/>
          <w:sz w:val="24"/>
          <w:szCs w:val="24"/>
        </w:rPr>
        <w:t xml:space="preserve">wo groups: control and </w:t>
      </w:r>
      <w:r w:rsidR="00BD15EB">
        <w:rPr>
          <w:rFonts w:ascii="Times New Roman" w:hAnsi="Times New Roman" w:cs="Times New Roman"/>
          <w:sz w:val="24"/>
          <w:szCs w:val="24"/>
        </w:rPr>
        <w:t>study</w:t>
      </w:r>
      <w:r>
        <w:rPr>
          <w:rFonts w:ascii="Times New Roman" w:hAnsi="Times New Roman" w:cs="Times New Roman"/>
          <w:sz w:val="24"/>
          <w:szCs w:val="24"/>
        </w:rPr>
        <w:t>. The control group consisted of patients who received occupational therapy without kinesio taping. The study group consisted of patients who received occupational therapy through kinesi</w:t>
      </w:r>
      <w:r w:rsidR="00E11A08">
        <w:rPr>
          <w:rFonts w:ascii="Times New Roman" w:hAnsi="Times New Roman" w:cs="Times New Roman"/>
          <w:sz w:val="24"/>
          <w:szCs w:val="24"/>
        </w:rPr>
        <w:t>o taping. The individual occupational therapy program were formed and applied for both groups of patients according to the hand function and self – independence. For occupational therapy program to evaluate the effectiveness of kinesio taping were used: specially for this research prepared questionnaire; hand stre</w:t>
      </w:r>
      <w:r w:rsidR="00917CFD">
        <w:rPr>
          <w:rFonts w:ascii="Times New Roman" w:hAnsi="Times New Roman" w:cs="Times New Roman"/>
          <w:sz w:val="24"/>
          <w:szCs w:val="24"/>
        </w:rPr>
        <w:t>n</w:t>
      </w:r>
      <w:r w:rsidR="00E11A08">
        <w:rPr>
          <w:rFonts w:ascii="Times New Roman" w:hAnsi="Times New Roman" w:cs="Times New Roman"/>
          <w:sz w:val="24"/>
          <w:szCs w:val="24"/>
        </w:rPr>
        <w:t>gth was measured with dynamometer; functional range of motion of the hand was measured with goniometer;</w:t>
      </w:r>
      <w:r>
        <w:rPr>
          <w:rFonts w:ascii="Times New Roman" w:hAnsi="Times New Roman" w:cs="Times New Roman"/>
          <w:sz w:val="24"/>
          <w:szCs w:val="24"/>
        </w:rPr>
        <w:t xml:space="preserve"> </w:t>
      </w:r>
      <w:r w:rsidR="00E11A08">
        <w:rPr>
          <w:rFonts w:ascii="Times New Roman" w:hAnsi="Times New Roman" w:cs="Times New Roman"/>
          <w:sz w:val="24"/>
          <w:szCs w:val="24"/>
        </w:rPr>
        <w:t>rigor and pain was also evaluated; patients were examined with function movement test (Modified Keitel index).</w:t>
      </w:r>
    </w:p>
    <w:p w:rsidR="00E11A08" w:rsidRPr="00B65C9D" w:rsidRDefault="00E11A08" w:rsidP="002F2793">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Conclusions: 1. </w:t>
      </w:r>
      <w:r w:rsidR="00BD15EB">
        <w:rPr>
          <w:rFonts w:ascii="Times New Roman" w:hAnsi="Times New Roman" w:cs="Times New Roman"/>
          <w:sz w:val="24"/>
          <w:szCs w:val="24"/>
        </w:rPr>
        <w:t>The research showed that occupational therapy through kinesio taping statistically significant reduc</w:t>
      </w:r>
      <w:r w:rsidR="00917CFD">
        <w:rPr>
          <w:rFonts w:ascii="Times New Roman" w:hAnsi="Times New Roman" w:cs="Times New Roman"/>
          <w:sz w:val="24"/>
          <w:szCs w:val="24"/>
        </w:rPr>
        <w:t>ed</w:t>
      </w:r>
      <w:r w:rsidR="00BD15EB">
        <w:rPr>
          <w:rFonts w:ascii="Times New Roman" w:hAnsi="Times New Roman" w:cs="Times New Roman"/>
          <w:sz w:val="24"/>
          <w:szCs w:val="24"/>
        </w:rPr>
        <w:t xml:space="preserve"> in pain and stiffness for patients after distal radius fractures. 2. </w:t>
      </w:r>
      <w:r w:rsidR="00917CFD">
        <w:rPr>
          <w:rFonts w:ascii="Times New Roman" w:hAnsi="Times New Roman" w:cs="Times New Roman"/>
          <w:sz w:val="24"/>
          <w:szCs w:val="24"/>
        </w:rPr>
        <w:t>The o</w:t>
      </w:r>
      <w:r w:rsidR="00BD15EB">
        <w:rPr>
          <w:rFonts w:ascii="Times New Roman" w:hAnsi="Times New Roman" w:cs="Times New Roman"/>
          <w:sz w:val="24"/>
          <w:szCs w:val="24"/>
        </w:rPr>
        <w:t>ccupational therapy improved hand function and independence for patie</w:t>
      </w:r>
      <w:r w:rsidR="00917CFD">
        <w:rPr>
          <w:rFonts w:ascii="Times New Roman" w:hAnsi="Times New Roman" w:cs="Times New Roman"/>
          <w:sz w:val="24"/>
          <w:szCs w:val="24"/>
        </w:rPr>
        <w:t>n</w:t>
      </w:r>
      <w:r w:rsidR="00BD15EB">
        <w:rPr>
          <w:rFonts w:ascii="Times New Roman" w:hAnsi="Times New Roman" w:cs="Times New Roman"/>
          <w:sz w:val="24"/>
          <w:szCs w:val="24"/>
        </w:rPr>
        <w:t xml:space="preserve">ts in control group. 3. The hand function indices of study group were higher than in control group, except for the hand crank deviation indicators. In addition, rehabilitation procedures and occupational therapy treatments enhances kinesio taping effect in relieving pain, muscle stiffness, increasing range motion of the hand.  </w:t>
      </w:r>
    </w:p>
    <w:p w:rsidR="00B65C9D" w:rsidRDefault="00B65C9D" w:rsidP="002F2793">
      <w:pPr>
        <w:spacing w:after="0" w:line="360" w:lineRule="auto"/>
        <w:contextualSpacing/>
        <w:jc w:val="both"/>
        <w:rPr>
          <w:rFonts w:ascii="Times New Roman" w:hAnsi="Times New Roman" w:cs="Times New Roman"/>
          <w:b/>
          <w:sz w:val="28"/>
          <w:szCs w:val="28"/>
        </w:rPr>
      </w:pPr>
    </w:p>
    <w:p w:rsidR="00B65C9D" w:rsidRDefault="00B65C9D" w:rsidP="002F2793">
      <w:pPr>
        <w:spacing w:after="0" w:line="360" w:lineRule="auto"/>
        <w:contextualSpacing/>
        <w:jc w:val="both"/>
        <w:rPr>
          <w:rFonts w:ascii="Times New Roman" w:hAnsi="Times New Roman" w:cs="Times New Roman"/>
          <w:b/>
          <w:sz w:val="28"/>
          <w:szCs w:val="28"/>
        </w:rPr>
      </w:pPr>
      <w:r>
        <w:rPr>
          <w:rFonts w:ascii="Times New Roman" w:hAnsi="Times New Roman" w:cs="Times New Roman"/>
          <w:b/>
          <w:sz w:val="28"/>
          <w:szCs w:val="28"/>
        </w:rPr>
        <w:br w:type="page"/>
      </w:r>
    </w:p>
    <w:p w:rsidR="00A630F7" w:rsidRDefault="00A630F7" w:rsidP="002F2793">
      <w:pPr>
        <w:pStyle w:val="Antrat1"/>
        <w:spacing w:before="0" w:line="360" w:lineRule="auto"/>
        <w:contextualSpacing/>
        <w:jc w:val="center"/>
        <w:rPr>
          <w:rFonts w:ascii="Times New Roman" w:hAnsi="Times New Roman" w:cs="Times New Roman"/>
          <w:color w:val="auto"/>
          <w:sz w:val="32"/>
          <w:szCs w:val="32"/>
        </w:rPr>
      </w:pPr>
      <w:bookmarkStart w:id="8" w:name="_Toc388560323"/>
      <w:r w:rsidRPr="00045FF2">
        <w:rPr>
          <w:rFonts w:ascii="Times New Roman" w:hAnsi="Times New Roman" w:cs="Times New Roman"/>
          <w:color w:val="auto"/>
          <w:sz w:val="32"/>
          <w:szCs w:val="32"/>
        </w:rPr>
        <w:lastRenderedPageBreak/>
        <w:t>TURINYS</w:t>
      </w:r>
      <w:bookmarkEnd w:id="8"/>
    </w:p>
    <w:sdt>
      <w:sdtPr>
        <w:rPr>
          <w:rFonts w:asciiTheme="minorHAnsi" w:eastAsiaTheme="minorHAnsi" w:hAnsiTheme="minorHAnsi" w:cstheme="minorBidi"/>
          <w:b w:val="0"/>
          <w:bCs w:val="0"/>
          <w:color w:val="auto"/>
          <w:sz w:val="22"/>
          <w:szCs w:val="22"/>
          <w:lang w:eastAsia="en-US"/>
        </w:rPr>
        <w:id w:val="797337201"/>
        <w:docPartObj>
          <w:docPartGallery w:val="Table of Contents"/>
          <w:docPartUnique/>
        </w:docPartObj>
      </w:sdtPr>
      <w:sdtEndPr/>
      <w:sdtContent>
        <w:p w:rsidR="00FA7DEE" w:rsidRDefault="00FA7DEE" w:rsidP="002F2793">
          <w:pPr>
            <w:pStyle w:val="Turinioantrat"/>
          </w:pPr>
        </w:p>
        <w:p w:rsidR="000E4FF4" w:rsidRDefault="00FA7DEE">
          <w:pPr>
            <w:pStyle w:val="Turinys1"/>
            <w:tabs>
              <w:tab w:val="right" w:leader="dot" w:pos="9911"/>
            </w:tabs>
            <w:rPr>
              <w:rFonts w:eastAsiaTheme="minorEastAsia"/>
              <w:noProof/>
              <w:lang w:eastAsia="lt-LT"/>
            </w:rPr>
          </w:pPr>
          <w:r>
            <w:fldChar w:fldCharType="begin"/>
          </w:r>
          <w:r>
            <w:instrText xml:space="preserve"> TOC \o "1-3" \h \z \u </w:instrText>
          </w:r>
          <w:r>
            <w:fldChar w:fldCharType="separate"/>
          </w:r>
          <w:hyperlink w:anchor="_Toc388560320" w:history="1">
            <w:r w:rsidR="000E4FF4" w:rsidRPr="006F2990">
              <w:rPr>
                <w:rStyle w:val="Hipersaitas"/>
                <w:rFonts w:ascii="Times New Roman" w:hAnsi="Times New Roman" w:cs="Times New Roman"/>
                <w:noProof/>
              </w:rPr>
              <w:t>SANTRAUKA</w:t>
            </w:r>
            <w:r w:rsidR="000E4FF4">
              <w:rPr>
                <w:noProof/>
                <w:webHidden/>
              </w:rPr>
              <w:tab/>
            </w:r>
            <w:r w:rsidR="000E4FF4">
              <w:rPr>
                <w:noProof/>
                <w:webHidden/>
              </w:rPr>
              <w:fldChar w:fldCharType="begin"/>
            </w:r>
            <w:r w:rsidR="000E4FF4">
              <w:rPr>
                <w:noProof/>
                <w:webHidden/>
              </w:rPr>
              <w:instrText xml:space="preserve"> PAGEREF _Toc388560320 \h </w:instrText>
            </w:r>
            <w:r w:rsidR="000E4FF4">
              <w:rPr>
                <w:noProof/>
                <w:webHidden/>
              </w:rPr>
            </w:r>
            <w:r w:rsidR="000E4FF4">
              <w:rPr>
                <w:noProof/>
                <w:webHidden/>
              </w:rPr>
              <w:fldChar w:fldCharType="separate"/>
            </w:r>
            <w:r w:rsidR="00AC19EF">
              <w:rPr>
                <w:noProof/>
                <w:webHidden/>
              </w:rPr>
              <w:t>3</w:t>
            </w:r>
            <w:r w:rsidR="000E4FF4">
              <w:rPr>
                <w:noProof/>
                <w:webHidden/>
              </w:rPr>
              <w:fldChar w:fldCharType="end"/>
            </w:r>
          </w:hyperlink>
        </w:p>
        <w:p w:rsidR="000E4FF4" w:rsidRDefault="005D2E0F">
          <w:pPr>
            <w:pStyle w:val="Turinys1"/>
            <w:tabs>
              <w:tab w:val="right" w:leader="dot" w:pos="9911"/>
            </w:tabs>
            <w:rPr>
              <w:rFonts w:eastAsiaTheme="minorEastAsia"/>
              <w:noProof/>
              <w:lang w:eastAsia="lt-LT"/>
            </w:rPr>
          </w:pPr>
          <w:hyperlink w:anchor="_Toc388560322" w:history="1">
            <w:r w:rsidR="000E4FF4" w:rsidRPr="006F2990">
              <w:rPr>
                <w:rStyle w:val="Hipersaitas"/>
                <w:rFonts w:ascii="Times New Roman" w:hAnsi="Times New Roman" w:cs="Times New Roman"/>
                <w:noProof/>
              </w:rPr>
              <w:t>SUMMARY</w:t>
            </w:r>
            <w:r w:rsidR="000E4FF4">
              <w:rPr>
                <w:noProof/>
                <w:webHidden/>
              </w:rPr>
              <w:tab/>
            </w:r>
            <w:r w:rsidR="000E4FF4">
              <w:rPr>
                <w:noProof/>
                <w:webHidden/>
              </w:rPr>
              <w:fldChar w:fldCharType="begin"/>
            </w:r>
            <w:r w:rsidR="000E4FF4">
              <w:rPr>
                <w:noProof/>
                <w:webHidden/>
              </w:rPr>
              <w:instrText xml:space="preserve"> PAGEREF _Toc388560322 \h </w:instrText>
            </w:r>
            <w:r w:rsidR="000E4FF4">
              <w:rPr>
                <w:noProof/>
                <w:webHidden/>
              </w:rPr>
            </w:r>
            <w:r w:rsidR="000E4FF4">
              <w:rPr>
                <w:noProof/>
                <w:webHidden/>
              </w:rPr>
              <w:fldChar w:fldCharType="separate"/>
            </w:r>
            <w:r w:rsidR="00AC19EF">
              <w:rPr>
                <w:noProof/>
                <w:webHidden/>
              </w:rPr>
              <w:t>4</w:t>
            </w:r>
            <w:r w:rsidR="000E4FF4">
              <w:rPr>
                <w:noProof/>
                <w:webHidden/>
              </w:rPr>
              <w:fldChar w:fldCharType="end"/>
            </w:r>
          </w:hyperlink>
        </w:p>
        <w:p w:rsidR="000E4FF4" w:rsidRDefault="005D2E0F">
          <w:pPr>
            <w:pStyle w:val="Turinys1"/>
            <w:tabs>
              <w:tab w:val="right" w:leader="dot" w:pos="9911"/>
            </w:tabs>
            <w:rPr>
              <w:rFonts w:eastAsiaTheme="minorEastAsia"/>
              <w:noProof/>
              <w:lang w:eastAsia="lt-LT"/>
            </w:rPr>
          </w:pPr>
          <w:hyperlink w:anchor="_Toc388560323" w:history="1">
            <w:r w:rsidR="000E4FF4" w:rsidRPr="006F2990">
              <w:rPr>
                <w:rStyle w:val="Hipersaitas"/>
                <w:rFonts w:ascii="Times New Roman" w:hAnsi="Times New Roman" w:cs="Times New Roman"/>
                <w:noProof/>
              </w:rPr>
              <w:t>TURINYS</w:t>
            </w:r>
            <w:r w:rsidR="000E4FF4">
              <w:rPr>
                <w:noProof/>
                <w:webHidden/>
              </w:rPr>
              <w:tab/>
            </w:r>
            <w:r w:rsidR="000E4FF4">
              <w:rPr>
                <w:noProof/>
                <w:webHidden/>
              </w:rPr>
              <w:fldChar w:fldCharType="begin"/>
            </w:r>
            <w:r w:rsidR="000E4FF4">
              <w:rPr>
                <w:noProof/>
                <w:webHidden/>
              </w:rPr>
              <w:instrText xml:space="preserve"> PAGEREF _Toc388560323 \h </w:instrText>
            </w:r>
            <w:r w:rsidR="000E4FF4">
              <w:rPr>
                <w:noProof/>
                <w:webHidden/>
              </w:rPr>
            </w:r>
            <w:r w:rsidR="000E4FF4">
              <w:rPr>
                <w:noProof/>
                <w:webHidden/>
              </w:rPr>
              <w:fldChar w:fldCharType="separate"/>
            </w:r>
            <w:r w:rsidR="00AC19EF">
              <w:rPr>
                <w:noProof/>
                <w:webHidden/>
              </w:rPr>
              <w:t>5</w:t>
            </w:r>
            <w:r w:rsidR="000E4FF4">
              <w:rPr>
                <w:noProof/>
                <w:webHidden/>
              </w:rPr>
              <w:fldChar w:fldCharType="end"/>
            </w:r>
          </w:hyperlink>
        </w:p>
        <w:p w:rsidR="000E4FF4" w:rsidRDefault="005D2E0F">
          <w:pPr>
            <w:pStyle w:val="Turinys1"/>
            <w:tabs>
              <w:tab w:val="right" w:leader="dot" w:pos="9911"/>
            </w:tabs>
            <w:rPr>
              <w:rFonts w:eastAsiaTheme="minorEastAsia"/>
              <w:noProof/>
              <w:lang w:eastAsia="lt-LT"/>
            </w:rPr>
          </w:pPr>
          <w:hyperlink w:anchor="_Toc388560324" w:history="1">
            <w:r w:rsidR="000E4FF4" w:rsidRPr="006F2990">
              <w:rPr>
                <w:rStyle w:val="Hipersaitas"/>
                <w:rFonts w:ascii="Times New Roman" w:hAnsi="Times New Roman" w:cs="Times New Roman"/>
                <w:noProof/>
              </w:rPr>
              <w:t>SANTRUMPOS</w:t>
            </w:r>
            <w:r w:rsidR="000E4FF4">
              <w:rPr>
                <w:noProof/>
                <w:webHidden/>
              </w:rPr>
              <w:tab/>
            </w:r>
            <w:r w:rsidR="000E4FF4">
              <w:rPr>
                <w:noProof/>
                <w:webHidden/>
              </w:rPr>
              <w:fldChar w:fldCharType="begin"/>
            </w:r>
            <w:r w:rsidR="000E4FF4">
              <w:rPr>
                <w:noProof/>
                <w:webHidden/>
              </w:rPr>
              <w:instrText xml:space="preserve"> PAGEREF _Toc388560324 \h </w:instrText>
            </w:r>
            <w:r w:rsidR="000E4FF4">
              <w:rPr>
                <w:noProof/>
                <w:webHidden/>
              </w:rPr>
            </w:r>
            <w:r w:rsidR="000E4FF4">
              <w:rPr>
                <w:noProof/>
                <w:webHidden/>
              </w:rPr>
              <w:fldChar w:fldCharType="separate"/>
            </w:r>
            <w:r w:rsidR="00AC19EF">
              <w:rPr>
                <w:noProof/>
                <w:webHidden/>
              </w:rPr>
              <w:t>7</w:t>
            </w:r>
            <w:r w:rsidR="000E4FF4">
              <w:rPr>
                <w:noProof/>
                <w:webHidden/>
              </w:rPr>
              <w:fldChar w:fldCharType="end"/>
            </w:r>
          </w:hyperlink>
        </w:p>
        <w:p w:rsidR="000E4FF4" w:rsidRDefault="005D2E0F">
          <w:pPr>
            <w:pStyle w:val="Turinys1"/>
            <w:tabs>
              <w:tab w:val="right" w:leader="dot" w:pos="9911"/>
            </w:tabs>
            <w:rPr>
              <w:rFonts w:eastAsiaTheme="minorEastAsia"/>
              <w:noProof/>
              <w:lang w:eastAsia="lt-LT"/>
            </w:rPr>
          </w:pPr>
          <w:hyperlink w:anchor="_Toc388560325" w:history="1">
            <w:r w:rsidR="000E4FF4" w:rsidRPr="006F2990">
              <w:rPr>
                <w:rStyle w:val="Hipersaitas"/>
                <w:rFonts w:ascii="Times New Roman" w:hAnsi="Times New Roman" w:cs="Times New Roman"/>
                <w:noProof/>
              </w:rPr>
              <w:t>ĮVADAS</w:t>
            </w:r>
            <w:r w:rsidR="000E4FF4">
              <w:rPr>
                <w:noProof/>
                <w:webHidden/>
              </w:rPr>
              <w:tab/>
            </w:r>
            <w:r w:rsidR="000E4FF4">
              <w:rPr>
                <w:noProof/>
                <w:webHidden/>
              </w:rPr>
              <w:fldChar w:fldCharType="begin"/>
            </w:r>
            <w:r w:rsidR="000E4FF4">
              <w:rPr>
                <w:noProof/>
                <w:webHidden/>
              </w:rPr>
              <w:instrText xml:space="preserve"> PAGEREF _Toc388560325 \h </w:instrText>
            </w:r>
            <w:r w:rsidR="000E4FF4">
              <w:rPr>
                <w:noProof/>
                <w:webHidden/>
              </w:rPr>
            </w:r>
            <w:r w:rsidR="000E4FF4">
              <w:rPr>
                <w:noProof/>
                <w:webHidden/>
              </w:rPr>
              <w:fldChar w:fldCharType="separate"/>
            </w:r>
            <w:r w:rsidR="00AC19EF">
              <w:rPr>
                <w:noProof/>
                <w:webHidden/>
              </w:rPr>
              <w:t>8</w:t>
            </w:r>
            <w:r w:rsidR="000E4FF4">
              <w:rPr>
                <w:noProof/>
                <w:webHidden/>
              </w:rPr>
              <w:fldChar w:fldCharType="end"/>
            </w:r>
          </w:hyperlink>
        </w:p>
        <w:p w:rsidR="000E4FF4" w:rsidRDefault="005D2E0F">
          <w:pPr>
            <w:pStyle w:val="Turinys1"/>
            <w:tabs>
              <w:tab w:val="right" w:leader="dot" w:pos="9911"/>
            </w:tabs>
            <w:rPr>
              <w:rFonts w:eastAsiaTheme="minorEastAsia"/>
              <w:noProof/>
              <w:lang w:eastAsia="lt-LT"/>
            </w:rPr>
          </w:pPr>
          <w:hyperlink w:anchor="_Toc388560326" w:history="1">
            <w:r w:rsidR="000E4FF4" w:rsidRPr="006F2990">
              <w:rPr>
                <w:rStyle w:val="Hipersaitas"/>
                <w:rFonts w:ascii="Times New Roman" w:hAnsi="Times New Roman" w:cs="Times New Roman"/>
                <w:noProof/>
              </w:rPr>
              <w:t>1. LITERATŪROS APŽVALGA</w:t>
            </w:r>
            <w:r w:rsidR="000E4FF4">
              <w:rPr>
                <w:noProof/>
                <w:webHidden/>
              </w:rPr>
              <w:tab/>
            </w:r>
            <w:r w:rsidR="000E4FF4">
              <w:rPr>
                <w:noProof/>
                <w:webHidden/>
              </w:rPr>
              <w:fldChar w:fldCharType="begin"/>
            </w:r>
            <w:r w:rsidR="000E4FF4">
              <w:rPr>
                <w:noProof/>
                <w:webHidden/>
              </w:rPr>
              <w:instrText xml:space="preserve"> PAGEREF _Toc388560326 \h </w:instrText>
            </w:r>
            <w:r w:rsidR="000E4FF4">
              <w:rPr>
                <w:noProof/>
                <w:webHidden/>
              </w:rPr>
            </w:r>
            <w:r w:rsidR="000E4FF4">
              <w:rPr>
                <w:noProof/>
                <w:webHidden/>
              </w:rPr>
              <w:fldChar w:fldCharType="separate"/>
            </w:r>
            <w:r w:rsidR="00AC19EF">
              <w:rPr>
                <w:noProof/>
                <w:webHidden/>
              </w:rPr>
              <w:t>10</w:t>
            </w:r>
            <w:r w:rsidR="000E4FF4">
              <w:rPr>
                <w:noProof/>
                <w:webHidden/>
              </w:rPr>
              <w:fldChar w:fldCharType="end"/>
            </w:r>
          </w:hyperlink>
        </w:p>
        <w:p w:rsidR="000E4FF4" w:rsidRDefault="005D2E0F">
          <w:pPr>
            <w:pStyle w:val="Turinys2"/>
            <w:tabs>
              <w:tab w:val="right" w:leader="dot" w:pos="9911"/>
            </w:tabs>
            <w:rPr>
              <w:rFonts w:eastAsiaTheme="minorEastAsia"/>
              <w:noProof/>
              <w:lang w:eastAsia="lt-LT"/>
            </w:rPr>
          </w:pPr>
          <w:hyperlink w:anchor="_Toc388560327" w:history="1">
            <w:r w:rsidR="000E4FF4" w:rsidRPr="006F2990">
              <w:rPr>
                <w:rStyle w:val="Hipersaitas"/>
                <w:rFonts w:ascii="Times New Roman" w:hAnsi="Times New Roman" w:cs="Times New Roman"/>
                <w:noProof/>
              </w:rPr>
              <w:t>1.1 Plaštakos funkcijos ypatybės</w:t>
            </w:r>
            <w:r w:rsidR="000E4FF4">
              <w:rPr>
                <w:noProof/>
                <w:webHidden/>
              </w:rPr>
              <w:tab/>
            </w:r>
            <w:r w:rsidR="000E4FF4">
              <w:rPr>
                <w:noProof/>
                <w:webHidden/>
              </w:rPr>
              <w:fldChar w:fldCharType="begin"/>
            </w:r>
            <w:r w:rsidR="000E4FF4">
              <w:rPr>
                <w:noProof/>
                <w:webHidden/>
              </w:rPr>
              <w:instrText xml:space="preserve"> PAGEREF _Toc388560327 \h </w:instrText>
            </w:r>
            <w:r w:rsidR="000E4FF4">
              <w:rPr>
                <w:noProof/>
                <w:webHidden/>
              </w:rPr>
            </w:r>
            <w:r w:rsidR="000E4FF4">
              <w:rPr>
                <w:noProof/>
                <w:webHidden/>
              </w:rPr>
              <w:fldChar w:fldCharType="separate"/>
            </w:r>
            <w:r w:rsidR="00AC19EF">
              <w:rPr>
                <w:noProof/>
                <w:webHidden/>
              </w:rPr>
              <w:t>10</w:t>
            </w:r>
            <w:r w:rsidR="000E4FF4">
              <w:rPr>
                <w:noProof/>
                <w:webHidden/>
              </w:rPr>
              <w:fldChar w:fldCharType="end"/>
            </w:r>
          </w:hyperlink>
        </w:p>
        <w:p w:rsidR="000E4FF4" w:rsidRDefault="005D2E0F">
          <w:pPr>
            <w:pStyle w:val="Turinys2"/>
            <w:tabs>
              <w:tab w:val="right" w:leader="dot" w:pos="9911"/>
            </w:tabs>
            <w:rPr>
              <w:rFonts w:eastAsiaTheme="minorEastAsia"/>
              <w:noProof/>
              <w:lang w:eastAsia="lt-LT"/>
            </w:rPr>
          </w:pPr>
          <w:hyperlink w:anchor="_Toc388560328" w:history="1">
            <w:r w:rsidR="000E4FF4" w:rsidRPr="006F2990">
              <w:rPr>
                <w:rStyle w:val="Hipersaitas"/>
                <w:rFonts w:ascii="Times New Roman" w:hAnsi="Times New Roman" w:cs="Times New Roman"/>
                <w:noProof/>
              </w:rPr>
              <w:t>1.2 Stipinkaulio kaulo lūžių epidemiologija</w:t>
            </w:r>
            <w:r w:rsidR="000E4FF4">
              <w:rPr>
                <w:noProof/>
                <w:webHidden/>
              </w:rPr>
              <w:tab/>
            </w:r>
            <w:r w:rsidR="000E4FF4">
              <w:rPr>
                <w:noProof/>
                <w:webHidden/>
              </w:rPr>
              <w:fldChar w:fldCharType="begin"/>
            </w:r>
            <w:r w:rsidR="000E4FF4">
              <w:rPr>
                <w:noProof/>
                <w:webHidden/>
              </w:rPr>
              <w:instrText xml:space="preserve"> PAGEREF _Toc388560328 \h </w:instrText>
            </w:r>
            <w:r w:rsidR="000E4FF4">
              <w:rPr>
                <w:noProof/>
                <w:webHidden/>
              </w:rPr>
            </w:r>
            <w:r w:rsidR="000E4FF4">
              <w:rPr>
                <w:noProof/>
                <w:webHidden/>
              </w:rPr>
              <w:fldChar w:fldCharType="separate"/>
            </w:r>
            <w:r w:rsidR="00AC19EF">
              <w:rPr>
                <w:noProof/>
                <w:webHidden/>
              </w:rPr>
              <w:t>11</w:t>
            </w:r>
            <w:r w:rsidR="000E4FF4">
              <w:rPr>
                <w:noProof/>
                <w:webHidden/>
              </w:rPr>
              <w:fldChar w:fldCharType="end"/>
            </w:r>
          </w:hyperlink>
        </w:p>
        <w:p w:rsidR="000E4FF4" w:rsidRDefault="005D2E0F">
          <w:pPr>
            <w:pStyle w:val="Turinys2"/>
            <w:tabs>
              <w:tab w:val="right" w:leader="dot" w:pos="9911"/>
            </w:tabs>
            <w:rPr>
              <w:rFonts w:eastAsiaTheme="minorEastAsia"/>
              <w:noProof/>
              <w:lang w:eastAsia="lt-LT"/>
            </w:rPr>
          </w:pPr>
          <w:hyperlink w:anchor="_Toc388560329" w:history="1">
            <w:r w:rsidR="000E4FF4" w:rsidRPr="006F2990">
              <w:rPr>
                <w:rStyle w:val="Hipersaitas"/>
                <w:rFonts w:ascii="Times New Roman" w:hAnsi="Times New Roman" w:cs="Times New Roman"/>
                <w:noProof/>
                <w:shd w:val="clear" w:color="auto" w:fill="FFFFFF"/>
              </w:rPr>
              <w:t>1.3 Stipinkaulio tolimojo galo kaulo lūžių etiologija</w:t>
            </w:r>
            <w:r w:rsidR="000E4FF4">
              <w:rPr>
                <w:noProof/>
                <w:webHidden/>
              </w:rPr>
              <w:tab/>
            </w:r>
            <w:r w:rsidR="000E4FF4">
              <w:rPr>
                <w:noProof/>
                <w:webHidden/>
              </w:rPr>
              <w:fldChar w:fldCharType="begin"/>
            </w:r>
            <w:r w:rsidR="000E4FF4">
              <w:rPr>
                <w:noProof/>
                <w:webHidden/>
              </w:rPr>
              <w:instrText xml:space="preserve"> PAGEREF _Toc388560329 \h </w:instrText>
            </w:r>
            <w:r w:rsidR="000E4FF4">
              <w:rPr>
                <w:noProof/>
                <w:webHidden/>
              </w:rPr>
            </w:r>
            <w:r w:rsidR="000E4FF4">
              <w:rPr>
                <w:noProof/>
                <w:webHidden/>
              </w:rPr>
              <w:fldChar w:fldCharType="separate"/>
            </w:r>
            <w:r w:rsidR="00AC19EF">
              <w:rPr>
                <w:noProof/>
                <w:webHidden/>
              </w:rPr>
              <w:t>12</w:t>
            </w:r>
            <w:r w:rsidR="000E4FF4">
              <w:rPr>
                <w:noProof/>
                <w:webHidden/>
              </w:rPr>
              <w:fldChar w:fldCharType="end"/>
            </w:r>
          </w:hyperlink>
        </w:p>
        <w:p w:rsidR="000E4FF4" w:rsidRDefault="005D2E0F">
          <w:pPr>
            <w:pStyle w:val="Turinys2"/>
            <w:tabs>
              <w:tab w:val="right" w:leader="dot" w:pos="9911"/>
            </w:tabs>
            <w:rPr>
              <w:rFonts w:eastAsiaTheme="minorEastAsia"/>
              <w:noProof/>
              <w:lang w:eastAsia="lt-LT"/>
            </w:rPr>
          </w:pPr>
          <w:hyperlink w:anchor="_Toc388560330" w:history="1">
            <w:r w:rsidR="000E4FF4" w:rsidRPr="006F2990">
              <w:rPr>
                <w:rStyle w:val="Hipersaitas"/>
                <w:rFonts w:ascii="Times New Roman" w:hAnsi="Times New Roman" w:cs="Times New Roman"/>
                <w:noProof/>
              </w:rPr>
              <w:t>1.4 Tolimojo stipinkaulio galo anatomija</w:t>
            </w:r>
            <w:r w:rsidR="000E4FF4">
              <w:rPr>
                <w:noProof/>
                <w:webHidden/>
              </w:rPr>
              <w:tab/>
            </w:r>
            <w:r w:rsidR="000E4FF4">
              <w:rPr>
                <w:noProof/>
                <w:webHidden/>
              </w:rPr>
              <w:fldChar w:fldCharType="begin"/>
            </w:r>
            <w:r w:rsidR="000E4FF4">
              <w:rPr>
                <w:noProof/>
                <w:webHidden/>
              </w:rPr>
              <w:instrText xml:space="preserve"> PAGEREF _Toc388560330 \h </w:instrText>
            </w:r>
            <w:r w:rsidR="000E4FF4">
              <w:rPr>
                <w:noProof/>
                <w:webHidden/>
              </w:rPr>
            </w:r>
            <w:r w:rsidR="000E4FF4">
              <w:rPr>
                <w:noProof/>
                <w:webHidden/>
              </w:rPr>
              <w:fldChar w:fldCharType="separate"/>
            </w:r>
            <w:r w:rsidR="00AC19EF">
              <w:rPr>
                <w:noProof/>
                <w:webHidden/>
              </w:rPr>
              <w:t>12</w:t>
            </w:r>
            <w:r w:rsidR="000E4FF4">
              <w:rPr>
                <w:noProof/>
                <w:webHidden/>
              </w:rPr>
              <w:fldChar w:fldCharType="end"/>
            </w:r>
          </w:hyperlink>
        </w:p>
        <w:p w:rsidR="000E4FF4" w:rsidRDefault="005D2E0F">
          <w:pPr>
            <w:pStyle w:val="Turinys2"/>
            <w:tabs>
              <w:tab w:val="right" w:leader="dot" w:pos="9911"/>
            </w:tabs>
            <w:rPr>
              <w:rFonts w:eastAsiaTheme="minorEastAsia"/>
              <w:noProof/>
              <w:lang w:eastAsia="lt-LT"/>
            </w:rPr>
          </w:pPr>
          <w:hyperlink w:anchor="_Toc388560331" w:history="1">
            <w:r w:rsidR="000E4FF4" w:rsidRPr="006F2990">
              <w:rPr>
                <w:rStyle w:val="Hipersaitas"/>
                <w:rFonts w:ascii="Times New Roman" w:hAnsi="Times New Roman" w:cs="Times New Roman"/>
                <w:noProof/>
                <w:shd w:val="clear" w:color="auto" w:fill="FFFFFF"/>
              </w:rPr>
              <w:t>1.5 Stipinkaulio lūžio mechanizmas</w:t>
            </w:r>
            <w:r w:rsidR="000E4FF4">
              <w:rPr>
                <w:noProof/>
                <w:webHidden/>
              </w:rPr>
              <w:tab/>
            </w:r>
            <w:r w:rsidR="000E4FF4">
              <w:rPr>
                <w:noProof/>
                <w:webHidden/>
              </w:rPr>
              <w:fldChar w:fldCharType="begin"/>
            </w:r>
            <w:r w:rsidR="000E4FF4">
              <w:rPr>
                <w:noProof/>
                <w:webHidden/>
              </w:rPr>
              <w:instrText xml:space="preserve"> PAGEREF _Toc388560331 \h </w:instrText>
            </w:r>
            <w:r w:rsidR="000E4FF4">
              <w:rPr>
                <w:noProof/>
                <w:webHidden/>
              </w:rPr>
            </w:r>
            <w:r w:rsidR="000E4FF4">
              <w:rPr>
                <w:noProof/>
                <w:webHidden/>
              </w:rPr>
              <w:fldChar w:fldCharType="separate"/>
            </w:r>
            <w:r w:rsidR="00AC19EF">
              <w:rPr>
                <w:noProof/>
                <w:webHidden/>
              </w:rPr>
              <w:t>13</w:t>
            </w:r>
            <w:r w:rsidR="000E4FF4">
              <w:rPr>
                <w:noProof/>
                <w:webHidden/>
              </w:rPr>
              <w:fldChar w:fldCharType="end"/>
            </w:r>
          </w:hyperlink>
        </w:p>
        <w:p w:rsidR="000E4FF4" w:rsidRDefault="005D2E0F">
          <w:pPr>
            <w:pStyle w:val="Turinys2"/>
            <w:tabs>
              <w:tab w:val="right" w:leader="dot" w:pos="9911"/>
            </w:tabs>
            <w:rPr>
              <w:rFonts w:eastAsiaTheme="minorEastAsia"/>
              <w:noProof/>
              <w:lang w:eastAsia="lt-LT"/>
            </w:rPr>
          </w:pPr>
          <w:hyperlink w:anchor="_Toc388560332" w:history="1">
            <w:r w:rsidR="000E4FF4" w:rsidRPr="006F2990">
              <w:rPr>
                <w:rStyle w:val="Hipersaitas"/>
                <w:rFonts w:ascii="Times New Roman" w:hAnsi="Times New Roman" w:cs="Times New Roman"/>
                <w:noProof/>
                <w:shd w:val="clear" w:color="auto" w:fill="FFFFFF"/>
              </w:rPr>
              <w:t>1.6 Stipinkaulio vidurinio trečdalio lūžiai</w:t>
            </w:r>
            <w:r w:rsidR="000E4FF4">
              <w:rPr>
                <w:noProof/>
                <w:webHidden/>
              </w:rPr>
              <w:tab/>
            </w:r>
            <w:r w:rsidR="000E4FF4">
              <w:rPr>
                <w:noProof/>
                <w:webHidden/>
              </w:rPr>
              <w:fldChar w:fldCharType="begin"/>
            </w:r>
            <w:r w:rsidR="000E4FF4">
              <w:rPr>
                <w:noProof/>
                <w:webHidden/>
              </w:rPr>
              <w:instrText xml:space="preserve"> PAGEREF _Toc388560332 \h </w:instrText>
            </w:r>
            <w:r w:rsidR="000E4FF4">
              <w:rPr>
                <w:noProof/>
                <w:webHidden/>
              </w:rPr>
            </w:r>
            <w:r w:rsidR="000E4FF4">
              <w:rPr>
                <w:noProof/>
                <w:webHidden/>
              </w:rPr>
              <w:fldChar w:fldCharType="separate"/>
            </w:r>
            <w:r w:rsidR="00AC19EF">
              <w:rPr>
                <w:noProof/>
                <w:webHidden/>
              </w:rPr>
              <w:t>14</w:t>
            </w:r>
            <w:r w:rsidR="000E4FF4">
              <w:rPr>
                <w:noProof/>
                <w:webHidden/>
              </w:rPr>
              <w:fldChar w:fldCharType="end"/>
            </w:r>
          </w:hyperlink>
        </w:p>
        <w:p w:rsidR="000E4FF4" w:rsidRDefault="005D2E0F">
          <w:pPr>
            <w:pStyle w:val="Turinys2"/>
            <w:tabs>
              <w:tab w:val="right" w:leader="dot" w:pos="9911"/>
            </w:tabs>
            <w:rPr>
              <w:rFonts w:eastAsiaTheme="minorEastAsia"/>
              <w:noProof/>
              <w:lang w:eastAsia="lt-LT"/>
            </w:rPr>
          </w:pPr>
          <w:hyperlink w:anchor="_Toc388560333" w:history="1">
            <w:r w:rsidR="000E4FF4" w:rsidRPr="006F2990">
              <w:rPr>
                <w:rStyle w:val="Hipersaitas"/>
                <w:rFonts w:ascii="Times New Roman" w:hAnsi="Times New Roman" w:cs="Times New Roman"/>
                <w:noProof/>
                <w:shd w:val="clear" w:color="auto" w:fill="FFFFFF"/>
              </w:rPr>
              <w:t>1.7 Stipinkaulio galvos lūžiai</w:t>
            </w:r>
            <w:r w:rsidR="000E4FF4">
              <w:rPr>
                <w:noProof/>
                <w:webHidden/>
              </w:rPr>
              <w:tab/>
            </w:r>
            <w:r w:rsidR="000E4FF4">
              <w:rPr>
                <w:noProof/>
                <w:webHidden/>
              </w:rPr>
              <w:fldChar w:fldCharType="begin"/>
            </w:r>
            <w:r w:rsidR="000E4FF4">
              <w:rPr>
                <w:noProof/>
                <w:webHidden/>
              </w:rPr>
              <w:instrText xml:space="preserve"> PAGEREF _Toc388560333 \h </w:instrText>
            </w:r>
            <w:r w:rsidR="000E4FF4">
              <w:rPr>
                <w:noProof/>
                <w:webHidden/>
              </w:rPr>
            </w:r>
            <w:r w:rsidR="000E4FF4">
              <w:rPr>
                <w:noProof/>
                <w:webHidden/>
              </w:rPr>
              <w:fldChar w:fldCharType="separate"/>
            </w:r>
            <w:r w:rsidR="00AC19EF">
              <w:rPr>
                <w:noProof/>
                <w:webHidden/>
              </w:rPr>
              <w:t>15</w:t>
            </w:r>
            <w:r w:rsidR="000E4FF4">
              <w:rPr>
                <w:noProof/>
                <w:webHidden/>
              </w:rPr>
              <w:fldChar w:fldCharType="end"/>
            </w:r>
          </w:hyperlink>
        </w:p>
        <w:p w:rsidR="000E4FF4" w:rsidRDefault="005D2E0F">
          <w:pPr>
            <w:pStyle w:val="Turinys2"/>
            <w:tabs>
              <w:tab w:val="right" w:leader="dot" w:pos="9911"/>
            </w:tabs>
            <w:rPr>
              <w:rFonts w:eastAsiaTheme="minorEastAsia"/>
              <w:noProof/>
              <w:lang w:eastAsia="lt-LT"/>
            </w:rPr>
          </w:pPr>
          <w:hyperlink w:anchor="_Toc388560334" w:history="1">
            <w:r w:rsidR="000E4FF4" w:rsidRPr="006F2990">
              <w:rPr>
                <w:rStyle w:val="Hipersaitas"/>
                <w:rFonts w:ascii="Times New Roman" w:hAnsi="Times New Roman" w:cs="Times New Roman"/>
                <w:noProof/>
              </w:rPr>
              <w:t>1.8 Stipinkaulio lūžių klasifikacija</w:t>
            </w:r>
            <w:r w:rsidR="000E4FF4">
              <w:rPr>
                <w:noProof/>
                <w:webHidden/>
              </w:rPr>
              <w:tab/>
            </w:r>
            <w:r w:rsidR="000E4FF4">
              <w:rPr>
                <w:noProof/>
                <w:webHidden/>
              </w:rPr>
              <w:fldChar w:fldCharType="begin"/>
            </w:r>
            <w:r w:rsidR="000E4FF4">
              <w:rPr>
                <w:noProof/>
                <w:webHidden/>
              </w:rPr>
              <w:instrText xml:space="preserve"> PAGEREF _Toc388560334 \h </w:instrText>
            </w:r>
            <w:r w:rsidR="000E4FF4">
              <w:rPr>
                <w:noProof/>
                <w:webHidden/>
              </w:rPr>
            </w:r>
            <w:r w:rsidR="000E4FF4">
              <w:rPr>
                <w:noProof/>
                <w:webHidden/>
              </w:rPr>
              <w:fldChar w:fldCharType="separate"/>
            </w:r>
            <w:r w:rsidR="00AC19EF">
              <w:rPr>
                <w:noProof/>
                <w:webHidden/>
              </w:rPr>
              <w:t>15</w:t>
            </w:r>
            <w:r w:rsidR="000E4FF4">
              <w:rPr>
                <w:noProof/>
                <w:webHidden/>
              </w:rPr>
              <w:fldChar w:fldCharType="end"/>
            </w:r>
          </w:hyperlink>
        </w:p>
        <w:p w:rsidR="000E4FF4" w:rsidRDefault="005D2E0F">
          <w:pPr>
            <w:pStyle w:val="Turinys2"/>
            <w:tabs>
              <w:tab w:val="right" w:leader="dot" w:pos="9911"/>
            </w:tabs>
            <w:rPr>
              <w:rFonts w:eastAsiaTheme="minorEastAsia"/>
              <w:noProof/>
              <w:lang w:eastAsia="lt-LT"/>
            </w:rPr>
          </w:pPr>
          <w:hyperlink w:anchor="_Toc388560335" w:history="1">
            <w:r w:rsidR="000E4FF4" w:rsidRPr="006F2990">
              <w:rPr>
                <w:rStyle w:val="Hipersaitas"/>
                <w:rFonts w:ascii="Times New Roman" w:hAnsi="Times New Roman" w:cs="Times New Roman"/>
                <w:noProof/>
                <w:shd w:val="clear" w:color="auto" w:fill="FFFFFF"/>
              </w:rPr>
              <w:t>1.9 Stipinkaulio lūžių gydymas</w:t>
            </w:r>
            <w:r w:rsidR="000E4FF4">
              <w:rPr>
                <w:noProof/>
                <w:webHidden/>
              </w:rPr>
              <w:tab/>
            </w:r>
            <w:r w:rsidR="000E4FF4">
              <w:rPr>
                <w:noProof/>
                <w:webHidden/>
              </w:rPr>
              <w:fldChar w:fldCharType="begin"/>
            </w:r>
            <w:r w:rsidR="000E4FF4">
              <w:rPr>
                <w:noProof/>
                <w:webHidden/>
              </w:rPr>
              <w:instrText xml:space="preserve"> PAGEREF _Toc388560335 \h </w:instrText>
            </w:r>
            <w:r w:rsidR="000E4FF4">
              <w:rPr>
                <w:noProof/>
                <w:webHidden/>
              </w:rPr>
            </w:r>
            <w:r w:rsidR="000E4FF4">
              <w:rPr>
                <w:noProof/>
                <w:webHidden/>
              </w:rPr>
              <w:fldChar w:fldCharType="separate"/>
            </w:r>
            <w:r w:rsidR="00AC19EF">
              <w:rPr>
                <w:noProof/>
                <w:webHidden/>
              </w:rPr>
              <w:t>15</w:t>
            </w:r>
            <w:r w:rsidR="000E4FF4">
              <w:rPr>
                <w:noProof/>
                <w:webHidden/>
              </w:rPr>
              <w:fldChar w:fldCharType="end"/>
            </w:r>
          </w:hyperlink>
        </w:p>
        <w:p w:rsidR="000E4FF4" w:rsidRDefault="005D2E0F">
          <w:pPr>
            <w:pStyle w:val="Turinys2"/>
            <w:tabs>
              <w:tab w:val="right" w:leader="dot" w:pos="9911"/>
            </w:tabs>
            <w:rPr>
              <w:rFonts w:eastAsiaTheme="minorEastAsia"/>
              <w:noProof/>
              <w:lang w:eastAsia="lt-LT"/>
            </w:rPr>
          </w:pPr>
          <w:hyperlink w:anchor="_Toc388560336" w:history="1">
            <w:r w:rsidR="000E4FF4" w:rsidRPr="006F2990">
              <w:rPr>
                <w:rStyle w:val="Hipersaitas"/>
                <w:rFonts w:ascii="Times New Roman" w:hAnsi="Times New Roman" w:cs="Times New Roman"/>
                <w:noProof/>
              </w:rPr>
              <w:t>1.10 Stipinkaulio lūžių gydymo metodai</w:t>
            </w:r>
            <w:r w:rsidR="000E4FF4">
              <w:rPr>
                <w:noProof/>
                <w:webHidden/>
              </w:rPr>
              <w:tab/>
            </w:r>
            <w:r w:rsidR="000E4FF4">
              <w:rPr>
                <w:noProof/>
                <w:webHidden/>
              </w:rPr>
              <w:fldChar w:fldCharType="begin"/>
            </w:r>
            <w:r w:rsidR="000E4FF4">
              <w:rPr>
                <w:noProof/>
                <w:webHidden/>
              </w:rPr>
              <w:instrText xml:space="preserve"> PAGEREF _Toc388560336 \h </w:instrText>
            </w:r>
            <w:r w:rsidR="000E4FF4">
              <w:rPr>
                <w:noProof/>
                <w:webHidden/>
              </w:rPr>
            </w:r>
            <w:r w:rsidR="000E4FF4">
              <w:rPr>
                <w:noProof/>
                <w:webHidden/>
              </w:rPr>
              <w:fldChar w:fldCharType="separate"/>
            </w:r>
            <w:r w:rsidR="00AC19EF">
              <w:rPr>
                <w:noProof/>
                <w:webHidden/>
              </w:rPr>
              <w:t>16</w:t>
            </w:r>
            <w:r w:rsidR="000E4FF4">
              <w:rPr>
                <w:noProof/>
                <w:webHidden/>
              </w:rPr>
              <w:fldChar w:fldCharType="end"/>
            </w:r>
          </w:hyperlink>
        </w:p>
        <w:p w:rsidR="000E4FF4" w:rsidRDefault="005D2E0F">
          <w:pPr>
            <w:pStyle w:val="Turinys2"/>
            <w:tabs>
              <w:tab w:val="right" w:leader="dot" w:pos="9911"/>
            </w:tabs>
            <w:rPr>
              <w:rFonts w:eastAsiaTheme="minorEastAsia"/>
              <w:noProof/>
              <w:lang w:eastAsia="lt-LT"/>
            </w:rPr>
          </w:pPr>
          <w:hyperlink w:anchor="_Toc388560337" w:history="1">
            <w:r w:rsidR="000E4FF4" w:rsidRPr="006F2990">
              <w:rPr>
                <w:rStyle w:val="Hipersaitas"/>
                <w:rFonts w:ascii="Times New Roman" w:hAnsi="Times New Roman" w:cs="Times New Roman"/>
                <w:noProof/>
              </w:rPr>
              <w:t>1.11 Kaulų lūžių gijimo eiga</w:t>
            </w:r>
            <w:r w:rsidR="000E4FF4">
              <w:rPr>
                <w:noProof/>
                <w:webHidden/>
              </w:rPr>
              <w:tab/>
            </w:r>
            <w:r w:rsidR="000E4FF4">
              <w:rPr>
                <w:noProof/>
                <w:webHidden/>
              </w:rPr>
              <w:fldChar w:fldCharType="begin"/>
            </w:r>
            <w:r w:rsidR="000E4FF4">
              <w:rPr>
                <w:noProof/>
                <w:webHidden/>
              </w:rPr>
              <w:instrText xml:space="preserve"> PAGEREF _Toc388560337 \h </w:instrText>
            </w:r>
            <w:r w:rsidR="000E4FF4">
              <w:rPr>
                <w:noProof/>
                <w:webHidden/>
              </w:rPr>
            </w:r>
            <w:r w:rsidR="000E4FF4">
              <w:rPr>
                <w:noProof/>
                <w:webHidden/>
              </w:rPr>
              <w:fldChar w:fldCharType="separate"/>
            </w:r>
            <w:r w:rsidR="00AC19EF">
              <w:rPr>
                <w:noProof/>
                <w:webHidden/>
              </w:rPr>
              <w:t>19</w:t>
            </w:r>
            <w:r w:rsidR="000E4FF4">
              <w:rPr>
                <w:noProof/>
                <w:webHidden/>
              </w:rPr>
              <w:fldChar w:fldCharType="end"/>
            </w:r>
          </w:hyperlink>
        </w:p>
        <w:p w:rsidR="000E4FF4" w:rsidRDefault="005D2E0F">
          <w:pPr>
            <w:pStyle w:val="Turinys2"/>
            <w:tabs>
              <w:tab w:val="right" w:leader="dot" w:pos="9911"/>
            </w:tabs>
            <w:rPr>
              <w:rFonts w:eastAsiaTheme="minorEastAsia"/>
              <w:noProof/>
              <w:lang w:eastAsia="lt-LT"/>
            </w:rPr>
          </w:pPr>
          <w:hyperlink w:anchor="_Toc388560338" w:history="1">
            <w:r w:rsidR="000E4FF4" w:rsidRPr="006F2990">
              <w:rPr>
                <w:rStyle w:val="Hipersaitas"/>
                <w:rFonts w:ascii="Times New Roman" w:hAnsi="Times New Roman" w:cs="Times New Roman"/>
                <w:noProof/>
              </w:rPr>
              <w:t>1.12 Gydymas esant uždarai repozicijai ir imobilizacijai</w:t>
            </w:r>
            <w:r w:rsidR="000E4FF4">
              <w:rPr>
                <w:noProof/>
                <w:webHidden/>
              </w:rPr>
              <w:tab/>
            </w:r>
            <w:r w:rsidR="000E4FF4">
              <w:rPr>
                <w:noProof/>
                <w:webHidden/>
              </w:rPr>
              <w:fldChar w:fldCharType="begin"/>
            </w:r>
            <w:r w:rsidR="000E4FF4">
              <w:rPr>
                <w:noProof/>
                <w:webHidden/>
              </w:rPr>
              <w:instrText xml:space="preserve"> PAGEREF _Toc388560338 \h </w:instrText>
            </w:r>
            <w:r w:rsidR="000E4FF4">
              <w:rPr>
                <w:noProof/>
                <w:webHidden/>
              </w:rPr>
            </w:r>
            <w:r w:rsidR="000E4FF4">
              <w:rPr>
                <w:noProof/>
                <w:webHidden/>
              </w:rPr>
              <w:fldChar w:fldCharType="separate"/>
            </w:r>
            <w:r w:rsidR="00AC19EF">
              <w:rPr>
                <w:noProof/>
                <w:webHidden/>
              </w:rPr>
              <w:t>19</w:t>
            </w:r>
            <w:r w:rsidR="000E4FF4">
              <w:rPr>
                <w:noProof/>
                <w:webHidden/>
              </w:rPr>
              <w:fldChar w:fldCharType="end"/>
            </w:r>
          </w:hyperlink>
        </w:p>
        <w:p w:rsidR="000E4FF4" w:rsidRDefault="005D2E0F">
          <w:pPr>
            <w:pStyle w:val="Turinys2"/>
            <w:tabs>
              <w:tab w:val="right" w:leader="dot" w:pos="9911"/>
            </w:tabs>
            <w:rPr>
              <w:rFonts w:eastAsiaTheme="minorEastAsia"/>
              <w:noProof/>
              <w:lang w:eastAsia="lt-LT"/>
            </w:rPr>
          </w:pPr>
          <w:hyperlink w:anchor="_Toc388560339" w:history="1">
            <w:r w:rsidR="000E4FF4" w:rsidRPr="006F2990">
              <w:rPr>
                <w:rStyle w:val="Hipersaitas"/>
                <w:rFonts w:ascii="Times New Roman" w:hAnsi="Times New Roman" w:cs="Times New Roman"/>
                <w:noProof/>
              </w:rPr>
              <w:t>1.13 Gydymas esant uždarai repozicijai su išorine fiksacija</w:t>
            </w:r>
            <w:r w:rsidR="000E4FF4">
              <w:rPr>
                <w:noProof/>
                <w:webHidden/>
              </w:rPr>
              <w:tab/>
            </w:r>
            <w:r w:rsidR="000E4FF4">
              <w:rPr>
                <w:noProof/>
                <w:webHidden/>
              </w:rPr>
              <w:fldChar w:fldCharType="begin"/>
            </w:r>
            <w:r w:rsidR="000E4FF4">
              <w:rPr>
                <w:noProof/>
                <w:webHidden/>
              </w:rPr>
              <w:instrText xml:space="preserve"> PAGEREF _Toc388560339 \h </w:instrText>
            </w:r>
            <w:r w:rsidR="000E4FF4">
              <w:rPr>
                <w:noProof/>
                <w:webHidden/>
              </w:rPr>
            </w:r>
            <w:r w:rsidR="000E4FF4">
              <w:rPr>
                <w:noProof/>
                <w:webHidden/>
              </w:rPr>
              <w:fldChar w:fldCharType="separate"/>
            </w:r>
            <w:r w:rsidR="00AC19EF">
              <w:rPr>
                <w:noProof/>
                <w:webHidden/>
              </w:rPr>
              <w:t>19</w:t>
            </w:r>
            <w:r w:rsidR="000E4FF4">
              <w:rPr>
                <w:noProof/>
                <w:webHidden/>
              </w:rPr>
              <w:fldChar w:fldCharType="end"/>
            </w:r>
          </w:hyperlink>
        </w:p>
        <w:p w:rsidR="000E4FF4" w:rsidRDefault="005D2E0F">
          <w:pPr>
            <w:pStyle w:val="Turinys2"/>
            <w:tabs>
              <w:tab w:val="right" w:leader="dot" w:pos="9911"/>
            </w:tabs>
            <w:rPr>
              <w:rFonts w:eastAsiaTheme="minorEastAsia"/>
              <w:noProof/>
              <w:lang w:eastAsia="lt-LT"/>
            </w:rPr>
          </w:pPr>
          <w:hyperlink w:anchor="_Toc388560340" w:history="1">
            <w:r w:rsidR="000E4FF4" w:rsidRPr="006F2990">
              <w:rPr>
                <w:rStyle w:val="Hipersaitas"/>
                <w:rFonts w:ascii="Times New Roman" w:hAnsi="Times New Roman" w:cs="Times New Roman"/>
                <w:noProof/>
              </w:rPr>
              <w:t>1.14 Gydymas esant atvirai repozicijai su išorine fiksacija</w:t>
            </w:r>
            <w:r w:rsidR="000E4FF4">
              <w:rPr>
                <w:noProof/>
                <w:webHidden/>
              </w:rPr>
              <w:tab/>
            </w:r>
            <w:r w:rsidR="000E4FF4">
              <w:rPr>
                <w:noProof/>
                <w:webHidden/>
              </w:rPr>
              <w:fldChar w:fldCharType="begin"/>
            </w:r>
            <w:r w:rsidR="000E4FF4">
              <w:rPr>
                <w:noProof/>
                <w:webHidden/>
              </w:rPr>
              <w:instrText xml:space="preserve"> PAGEREF _Toc388560340 \h </w:instrText>
            </w:r>
            <w:r w:rsidR="000E4FF4">
              <w:rPr>
                <w:noProof/>
                <w:webHidden/>
              </w:rPr>
            </w:r>
            <w:r w:rsidR="000E4FF4">
              <w:rPr>
                <w:noProof/>
                <w:webHidden/>
              </w:rPr>
              <w:fldChar w:fldCharType="separate"/>
            </w:r>
            <w:r w:rsidR="00AC19EF">
              <w:rPr>
                <w:noProof/>
                <w:webHidden/>
              </w:rPr>
              <w:t>20</w:t>
            </w:r>
            <w:r w:rsidR="000E4FF4">
              <w:rPr>
                <w:noProof/>
                <w:webHidden/>
              </w:rPr>
              <w:fldChar w:fldCharType="end"/>
            </w:r>
          </w:hyperlink>
        </w:p>
        <w:p w:rsidR="000E4FF4" w:rsidRDefault="005D2E0F">
          <w:pPr>
            <w:pStyle w:val="Turinys2"/>
            <w:tabs>
              <w:tab w:val="right" w:leader="dot" w:pos="9911"/>
            </w:tabs>
            <w:rPr>
              <w:rFonts w:eastAsiaTheme="minorEastAsia"/>
              <w:noProof/>
              <w:lang w:eastAsia="lt-LT"/>
            </w:rPr>
          </w:pPr>
          <w:hyperlink w:anchor="_Toc388560341" w:history="1">
            <w:r w:rsidR="000E4FF4" w:rsidRPr="006F2990">
              <w:rPr>
                <w:rStyle w:val="Hipersaitas"/>
                <w:rFonts w:ascii="Times New Roman" w:hAnsi="Times New Roman" w:cs="Times New Roman"/>
                <w:noProof/>
              </w:rPr>
              <w:t>1.15 Stipinkaulio lūžių komplikacijos</w:t>
            </w:r>
            <w:r w:rsidR="000E4FF4">
              <w:rPr>
                <w:noProof/>
                <w:webHidden/>
              </w:rPr>
              <w:tab/>
            </w:r>
            <w:r w:rsidR="000E4FF4">
              <w:rPr>
                <w:noProof/>
                <w:webHidden/>
              </w:rPr>
              <w:fldChar w:fldCharType="begin"/>
            </w:r>
            <w:r w:rsidR="000E4FF4">
              <w:rPr>
                <w:noProof/>
                <w:webHidden/>
              </w:rPr>
              <w:instrText xml:space="preserve"> PAGEREF _Toc388560341 \h </w:instrText>
            </w:r>
            <w:r w:rsidR="000E4FF4">
              <w:rPr>
                <w:noProof/>
                <w:webHidden/>
              </w:rPr>
            </w:r>
            <w:r w:rsidR="000E4FF4">
              <w:rPr>
                <w:noProof/>
                <w:webHidden/>
              </w:rPr>
              <w:fldChar w:fldCharType="separate"/>
            </w:r>
            <w:r w:rsidR="00AC19EF">
              <w:rPr>
                <w:noProof/>
                <w:webHidden/>
              </w:rPr>
              <w:t>21</w:t>
            </w:r>
            <w:r w:rsidR="000E4FF4">
              <w:rPr>
                <w:noProof/>
                <w:webHidden/>
              </w:rPr>
              <w:fldChar w:fldCharType="end"/>
            </w:r>
          </w:hyperlink>
        </w:p>
        <w:p w:rsidR="000E4FF4" w:rsidRDefault="005D2E0F">
          <w:pPr>
            <w:pStyle w:val="Turinys2"/>
            <w:tabs>
              <w:tab w:val="right" w:leader="dot" w:pos="9911"/>
            </w:tabs>
            <w:rPr>
              <w:rFonts w:eastAsiaTheme="minorEastAsia"/>
              <w:noProof/>
              <w:lang w:eastAsia="lt-LT"/>
            </w:rPr>
          </w:pPr>
          <w:hyperlink w:anchor="_Toc388560342" w:history="1">
            <w:r w:rsidR="000E4FF4" w:rsidRPr="006F2990">
              <w:rPr>
                <w:rStyle w:val="Hipersaitas"/>
                <w:rFonts w:ascii="Times New Roman" w:hAnsi="Times New Roman" w:cs="Times New Roman"/>
                <w:noProof/>
              </w:rPr>
              <w:t>1.16 Plaštakos sustingimas</w:t>
            </w:r>
            <w:r w:rsidR="000E4FF4">
              <w:rPr>
                <w:noProof/>
                <w:webHidden/>
              </w:rPr>
              <w:tab/>
            </w:r>
            <w:r w:rsidR="000E4FF4">
              <w:rPr>
                <w:noProof/>
                <w:webHidden/>
              </w:rPr>
              <w:fldChar w:fldCharType="begin"/>
            </w:r>
            <w:r w:rsidR="000E4FF4">
              <w:rPr>
                <w:noProof/>
                <w:webHidden/>
              </w:rPr>
              <w:instrText xml:space="preserve"> PAGEREF _Toc388560342 \h </w:instrText>
            </w:r>
            <w:r w:rsidR="000E4FF4">
              <w:rPr>
                <w:noProof/>
                <w:webHidden/>
              </w:rPr>
            </w:r>
            <w:r w:rsidR="000E4FF4">
              <w:rPr>
                <w:noProof/>
                <w:webHidden/>
              </w:rPr>
              <w:fldChar w:fldCharType="separate"/>
            </w:r>
            <w:r w:rsidR="00AC19EF">
              <w:rPr>
                <w:noProof/>
                <w:webHidden/>
              </w:rPr>
              <w:t>22</w:t>
            </w:r>
            <w:r w:rsidR="000E4FF4">
              <w:rPr>
                <w:noProof/>
                <w:webHidden/>
              </w:rPr>
              <w:fldChar w:fldCharType="end"/>
            </w:r>
          </w:hyperlink>
        </w:p>
        <w:p w:rsidR="000E4FF4" w:rsidRDefault="005D2E0F">
          <w:pPr>
            <w:pStyle w:val="Turinys2"/>
            <w:tabs>
              <w:tab w:val="right" w:leader="dot" w:pos="9911"/>
            </w:tabs>
            <w:rPr>
              <w:rFonts w:eastAsiaTheme="minorEastAsia"/>
              <w:noProof/>
              <w:lang w:eastAsia="lt-LT"/>
            </w:rPr>
          </w:pPr>
          <w:hyperlink w:anchor="_Toc388560343" w:history="1">
            <w:r w:rsidR="000E4FF4" w:rsidRPr="006F2990">
              <w:rPr>
                <w:rStyle w:val="Hipersaitas"/>
                <w:rFonts w:ascii="Times New Roman" w:hAnsi="Times New Roman" w:cs="Times New Roman"/>
                <w:noProof/>
              </w:rPr>
              <w:t>1.17 Reabilitacija po viršutinių galūnių lūžių</w:t>
            </w:r>
            <w:r w:rsidR="000E4FF4">
              <w:rPr>
                <w:noProof/>
                <w:webHidden/>
              </w:rPr>
              <w:tab/>
            </w:r>
            <w:r w:rsidR="000E4FF4">
              <w:rPr>
                <w:noProof/>
                <w:webHidden/>
              </w:rPr>
              <w:fldChar w:fldCharType="begin"/>
            </w:r>
            <w:r w:rsidR="000E4FF4">
              <w:rPr>
                <w:noProof/>
                <w:webHidden/>
              </w:rPr>
              <w:instrText xml:space="preserve"> PAGEREF _Toc388560343 \h </w:instrText>
            </w:r>
            <w:r w:rsidR="000E4FF4">
              <w:rPr>
                <w:noProof/>
                <w:webHidden/>
              </w:rPr>
            </w:r>
            <w:r w:rsidR="000E4FF4">
              <w:rPr>
                <w:noProof/>
                <w:webHidden/>
              </w:rPr>
              <w:fldChar w:fldCharType="separate"/>
            </w:r>
            <w:r w:rsidR="00AC19EF">
              <w:rPr>
                <w:noProof/>
                <w:webHidden/>
              </w:rPr>
              <w:t>22</w:t>
            </w:r>
            <w:r w:rsidR="000E4FF4">
              <w:rPr>
                <w:noProof/>
                <w:webHidden/>
              </w:rPr>
              <w:fldChar w:fldCharType="end"/>
            </w:r>
          </w:hyperlink>
        </w:p>
        <w:p w:rsidR="000E4FF4" w:rsidRDefault="005D2E0F">
          <w:pPr>
            <w:pStyle w:val="Turinys2"/>
            <w:tabs>
              <w:tab w:val="right" w:leader="dot" w:pos="9911"/>
            </w:tabs>
            <w:rPr>
              <w:rFonts w:eastAsiaTheme="minorEastAsia"/>
              <w:noProof/>
              <w:lang w:eastAsia="lt-LT"/>
            </w:rPr>
          </w:pPr>
          <w:hyperlink w:anchor="_Toc388560344" w:history="1">
            <w:r w:rsidR="000E4FF4" w:rsidRPr="006F2990">
              <w:rPr>
                <w:rStyle w:val="Hipersaitas"/>
                <w:rFonts w:ascii="Times New Roman" w:hAnsi="Times New Roman" w:cs="Times New Roman"/>
                <w:noProof/>
              </w:rPr>
              <w:t>1.18 Ergoterapija po viršutinių galūnių lūžių</w:t>
            </w:r>
            <w:r w:rsidR="000E4FF4">
              <w:rPr>
                <w:noProof/>
                <w:webHidden/>
              </w:rPr>
              <w:tab/>
            </w:r>
            <w:r w:rsidR="000E4FF4">
              <w:rPr>
                <w:noProof/>
                <w:webHidden/>
              </w:rPr>
              <w:fldChar w:fldCharType="begin"/>
            </w:r>
            <w:r w:rsidR="000E4FF4">
              <w:rPr>
                <w:noProof/>
                <w:webHidden/>
              </w:rPr>
              <w:instrText xml:space="preserve"> PAGEREF _Toc388560344 \h </w:instrText>
            </w:r>
            <w:r w:rsidR="000E4FF4">
              <w:rPr>
                <w:noProof/>
                <w:webHidden/>
              </w:rPr>
            </w:r>
            <w:r w:rsidR="000E4FF4">
              <w:rPr>
                <w:noProof/>
                <w:webHidden/>
              </w:rPr>
              <w:fldChar w:fldCharType="separate"/>
            </w:r>
            <w:r w:rsidR="00AC19EF">
              <w:rPr>
                <w:noProof/>
                <w:webHidden/>
              </w:rPr>
              <w:t>24</w:t>
            </w:r>
            <w:r w:rsidR="000E4FF4">
              <w:rPr>
                <w:noProof/>
                <w:webHidden/>
              </w:rPr>
              <w:fldChar w:fldCharType="end"/>
            </w:r>
          </w:hyperlink>
        </w:p>
        <w:p w:rsidR="000E4FF4" w:rsidRDefault="005D2E0F">
          <w:pPr>
            <w:pStyle w:val="Turinys2"/>
            <w:tabs>
              <w:tab w:val="right" w:leader="dot" w:pos="9911"/>
            </w:tabs>
            <w:rPr>
              <w:rFonts w:eastAsiaTheme="minorEastAsia"/>
              <w:noProof/>
              <w:lang w:eastAsia="lt-LT"/>
            </w:rPr>
          </w:pPr>
          <w:hyperlink w:anchor="_Toc388560345" w:history="1">
            <w:r w:rsidR="000E4FF4" w:rsidRPr="006F2990">
              <w:rPr>
                <w:rStyle w:val="Hipersaitas"/>
                <w:rFonts w:ascii="Times New Roman" w:hAnsi="Times New Roman" w:cs="Times New Roman"/>
                <w:noProof/>
              </w:rPr>
              <w:t>1.19 Kinezioteipavimas, jo poveikis ir taikymas</w:t>
            </w:r>
            <w:r w:rsidR="000E4FF4">
              <w:rPr>
                <w:noProof/>
                <w:webHidden/>
              </w:rPr>
              <w:tab/>
            </w:r>
            <w:r w:rsidR="000E4FF4">
              <w:rPr>
                <w:noProof/>
                <w:webHidden/>
              </w:rPr>
              <w:fldChar w:fldCharType="begin"/>
            </w:r>
            <w:r w:rsidR="000E4FF4">
              <w:rPr>
                <w:noProof/>
                <w:webHidden/>
              </w:rPr>
              <w:instrText xml:space="preserve"> PAGEREF _Toc388560345 \h </w:instrText>
            </w:r>
            <w:r w:rsidR="000E4FF4">
              <w:rPr>
                <w:noProof/>
                <w:webHidden/>
              </w:rPr>
            </w:r>
            <w:r w:rsidR="000E4FF4">
              <w:rPr>
                <w:noProof/>
                <w:webHidden/>
              </w:rPr>
              <w:fldChar w:fldCharType="separate"/>
            </w:r>
            <w:r w:rsidR="00AC19EF">
              <w:rPr>
                <w:noProof/>
                <w:webHidden/>
              </w:rPr>
              <w:t>26</w:t>
            </w:r>
            <w:r w:rsidR="000E4FF4">
              <w:rPr>
                <w:noProof/>
                <w:webHidden/>
              </w:rPr>
              <w:fldChar w:fldCharType="end"/>
            </w:r>
          </w:hyperlink>
        </w:p>
        <w:p w:rsidR="000E4FF4" w:rsidRDefault="005D2E0F">
          <w:pPr>
            <w:pStyle w:val="Turinys1"/>
            <w:tabs>
              <w:tab w:val="right" w:leader="dot" w:pos="9911"/>
            </w:tabs>
            <w:rPr>
              <w:rFonts w:eastAsiaTheme="minorEastAsia"/>
              <w:noProof/>
              <w:lang w:eastAsia="lt-LT"/>
            </w:rPr>
          </w:pPr>
          <w:hyperlink w:anchor="_Toc388560346" w:history="1">
            <w:r w:rsidR="000E4FF4" w:rsidRPr="006F2990">
              <w:rPr>
                <w:rStyle w:val="Hipersaitas"/>
                <w:rFonts w:ascii="Times New Roman" w:hAnsi="Times New Roman" w:cs="Times New Roman"/>
                <w:noProof/>
              </w:rPr>
              <w:t>2. TYRIMO METODIKA IR METODAI</w:t>
            </w:r>
            <w:r w:rsidR="000E4FF4">
              <w:rPr>
                <w:noProof/>
                <w:webHidden/>
              </w:rPr>
              <w:tab/>
            </w:r>
            <w:r w:rsidR="000E4FF4">
              <w:rPr>
                <w:noProof/>
                <w:webHidden/>
              </w:rPr>
              <w:fldChar w:fldCharType="begin"/>
            </w:r>
            <w:r w:rsidR="000E4FF4">
              <w:rPr>
                <w:noProof/>
                <w:webHidden/>
              </w:rPr>
              <w:instrText xml:space="preserve"> PAGEREF _Toc388560346 \h </w:instrText>
            </w:r>
            <w:r w:rsidR="000E4FF4">
              <w:rPr>
                <w:noProof/>
                <w:webHidden/>
              </w:rPr>
            </w:r>
            <w:r w:rsidR="000E4FF4">
              <w:rPr>
                <w:noProof/>
                <w:webHidden/>
              </w:rPr>
              <w:fldChar w:fldCharType="separate"/>
            </w:r>
            <w:r w:rsidR="00AC19EF">
              <w:rPr>
                <w:noProof/>
                <w:webHidden/>
              </w:rPr>
              <w:t>29</w:t>
            </w:r>
            <w:r w:rsidR="000E4FF4">
              <w:rPr>
                <w:noProof/>
                <w:webHidden/>
              </w:rPr>
              <w:fldChar w:fldCharType="end"/>
            </w:r>
          </w:hyperlink>
        </w:p>
        <w:p w:rsidR="000E4FF4" w:rsidRDefault="005D2E0F">
          <w:pPr>
            <w:pStyle w:val="Turinys2"/>
            <w:tabs>
              <w:tab w:val="right" w:leader="dot" w:pos="9911"/>
            </w:tabs>
            <w:rPr>
              <w:rFonts w:eastAsiaTheme="minorEastAsia"/>
              <w:noProof/>
              <w:lang w:eastAsia="lt-LT"/>
            </w:rPr>
          </w:pPr>
          <w:hyperlink w:anchor="_Toc388560347" w:history="1">
            <w:r w:rsidR="000E4FF4" w:rsidRPr="006F2990">
              <w:rPr>
                <w:rStyle w:val="Hipersaitas"/>
                <w:rFonts w:ascii="Times New Roman" w:hAnsi="Times New Roman" w:cs="Times New Roman"/>
                <w:noProof/>
              </w:rPr>
              <w:t>2.1 Tiriamųjų charakteristika</w:t>
            </w:r>
            <w:r w:rsidR="000E4FF4">
              <w:rPr>
                <w:noProof/>
                <w:webHidden/>
              </w:rPr>
              <w:tab/>
            </w:r>
            <w:r w:rsidR="000E4FF4">
              <w:rPr>
                <w:noProof/>
                <w:webHidden/>
              </w:rPr>
              <w:fldChar w:fldCharType="begin"/>
            </w:r>
            <w:r w:rsidR="000E4FF4">
              <w:rPr>
                <w:noProof/>
                <w:webHidden/>
              </w:rPr>
              <w:instrText xml:space="preserve"> PAGEREF _Toc388560347 \h </w:instrText>
            </w:r>
            <w:r w:rsidR="000E4FF4">
              <w:rPr>
                <w:noProof/>
                <w:webHidden/>
              </w:rPr>
            </w:r>
            <w:r w:rsidR="000E4FF4">
              <w:rPr>
                <w:noProof/>
                <w:webHidden/>
              </w:rPr>
              <w:fldChar w:fldCharType="separate"/>
            </w:r>
            <w:r w:rsidR="00AC19EF">
              <w:rPr>
                <w:noProof/>
                <w:webHidden/>
              </w:rPr>
              <w:t>29</w:t>
            </w:r>
            <w:r w:rsidR="000E4FF4">
              <w:rPr>
                <w:noProof/>
                <w:webHidden/>
              </w:rPr>
              <w:fldChar w:fldCharType="end"/>
            </w:r>
          </w:hyperlink>
        </w:p>
        <w:p w:rsidR="000E4FF4" w:rsidRDefault="005D2E0F">
          <w:pPr>
            <w:pStyle w:val="Turinys2"/>
            <w:tabs>
              <w:tab w:val="right" w:leader="dot" w:pos="9911"/>
            </w:tabs>
            <w:rPr>
              <w:rFonts w:eastAsiaTheme="minorEastAsia"/>
              <w:noProof/>
              <w:lang w:eastAsia="lt-LT"/>
            </w:rPr>
          </w:pPr>
          <w:hyperlink w:anchor="_Toc388560348" w:history="1">
            <w:r w:rsidR="000E4FF4" w:rsidRPr="006F2990">
              <w:rPr>
                <w:rStyle w:val="Hipersaitas"/>
                <w:rFonts w:ascii="Times New Roman" w:hAnsi="Times New Roman" w:cs="Times New Roman"/>
                <w:noProof/>
              </w:rPr>
              <w:t>2.1. Tyrimo dalyvių sociodemografinės charakteristikos</w:t>
            </w:r>
            <w:r w:rsidR="000E4FF4">
              <w:rPr>
                <w:noProof/>
                <w:webHidden/>
              </w:rPr>
              <w:tab/>
            </w:r>
            <w:r w:rsidR="000E4FF4">
              <w:rPr>
                <w:noProof/>
                <w:webHidden/>
              </w:rPr>
              <w:fldChar w:fldCharType="begin"/>
            </w:r>
            <w:r w:rsidR="000E4FF4">
              <w:rPr>
                <w:noProof/>
                <w:webHidden/>
              </w:rPr>
              <w:instrText xml:space="preserve"> PAGEREF _Toc388560348 \h </w:instrText>
            </w:r>
            <w:r w:rsidR="000E4FF4">
              <w:rPr>
                <w:noProof/>
                <w:webHidden/>
              </w:rPr>
            </w:r>
            <w:r w:rsidR="000E4FF4">
              <w:rPr>
                <w:noProof/>
                <w:webHidden/>
              </w:rPr>
              <w:fldChar w:fldCharType="separate"/>
            </w:r>
            <w:r w:rsidR="00AC19EF">
              <w:rPr>
                <w:noProof/>
                <w:webHidden/>
              </w:rPr>
              <w:t>32</w:t>
            </w:r>
            <w:r w:rsidR="000E4FF4">
              <w:rPr>
                <w:noProof/>
                <w:webHidden/>
              </w:rPr>
              <w:fldChar w:fldCharType="end"/>
            </w:r>
          </w:hyperlink>
        </w:p>
        <w:p w:rsidR="000E4FF4" w:rsidRDefault="005D2E0F">
          <w:pPr>
            <w:pStyle w:val="Turinys1"/>
            <w:tabs>
              <w:tab w:val="right" w:leader="dot" w:pos="9911"/>
            </w:tabs>
            <w:rPr>
              <w:rFonts w:eastAsiaTheme="minorEastAsia"/>
              <w:noProof/>
              <w:lang w:eastAsia="lt-LT"/>
            </w:rPr>
          </w:pPr>
          <w:hyperlink w:anchor="_Toc388560349" w:history="1">
            <w:r w:rsidR="000E4FF4" w:rsidRPr="006F2990">
              <w:rPr>
                <w:rStyle w:val="Hipersaitas"/>
                <w:rFonts w:ascii="Times New Roman" w:hAnsi="Times New Roman" w:cs="Times New Roman"/>
                <w:noProof/>
              </w:rPr>
              <w:t>3. REZULTATAI</w:t>
            </w:r>
            <w:r w:rsidR="000E4FF4">
              <w:rPr>
                <w:noProof/>
                <w:webHidden/>
              </w:rPr>
              <w:tab/>
            </w:r>
            <w:r w:rsidR="000E4FF4">
              <w:rPr>
                <w:noProof/>
                <w:webHidden/>
              </w:rPr>
              <w:fldChar w:fldCharType="begin"/>
            </w:r>
            <w:r w:rsidR="000E4FF4">
              <w:rPr>
                <w:noProof/>
                <w:webHidden/>
              </w:rPr>
              <w:instrText xml:space="preserve"> PAGEREF _Toc388560349 \h </w:instrText>
            </w:r>
            <w:r w:rsidR="000E4FF4">
              <w:rPr>
                <w:noProof/>
                <w:webHidden/>
              </w:rPr>
            </w:r>
            <w:r w:rsidR="000E4FF4">
              <w:rPr>
                <w:noProof/>
                <w:webHidden/>
              </w:rPr>
              <w:fldChar w:fldCharType="separate"/>
            </w:r>
            <w:r w:rsidR="00AC19EF">
              <w:rPr>
                <w:noProof/>
                <w:webHidden/>
              </w:rPr>
              <w:t>35</w:t>
            </w:r>
            <w:r w:rsidR="000E4FF4">
              <w:rPr>
                <w:noProof/>
                <w:webHidden/>
              </w:rPr>
              <w:fldChar w:fldCharType="end"/>
            </w:r>
          </w:hyperlink>
        </w:p>
        <w:p w:rsidR="000E4FF4" w:rsidRDefault="005D2E0F">
          <w:pPr>
            <w:pStyle w:val="Turinys2"/>
            <w:tabs>
              <w:tab w:val="right" w:leader="dot" w:pos="9911"/>
            </w:tabs>
            <w:rPr>
              <w:rFonts w:eastAsiaTheme="minorEastAsia"/>
              <w:noProof/>
              <w:lang w:eastAsia="lt-LT"/>
            </w:rPr>
          </w:pPr>
          <w:hyperlink w:anchor="_Toc388560350" w:history="1">
            <w:r w:rsidR="000E4FF4" w:rsidRPr="006F2990">
              <w:rPr>
                <w:rStyle w:val="Hipersaitas"/>
                <w:rFonts w:ascii="Times New Roman" w:hAnsi="Times New Roman" w:cs="Times New Roman"/>
                <w:noProof/>
              </w:rPr>
              <w:t>3.1. Pacientų, patyrusių tolimojo stipinkaulio galo lūžį, rankos funkcijos ir savarankiškumo vertinimas  prieš ir po ergoterapijos taikant teipavimą</w:t>
            </w:r>
            <w:r w:rsidR="000E4FF4">
              <w:rPr>
                <w:noProof/>
                <w:webHidden/>
              </w:rPr>
              <w:tab/>
            </w:r>
            <w:r w:rsidR="000E4FF4">
              <w:rPr>
                <w:noProof/>
                <w:webHidden/>
              </w:rPr>
              <w:fldChar w:fldCharType="begin"/>
            </w:r>
            <w:r w:rsidR="000E4FF4">
              <w:rPr>
                <w:noProof/>
                <w:webHidden/>
              </w:rPr>
              <w:instrText xml:space="preserve"> PAGEREF _Toc388560350 \h </w:instrText>
            </w:r>
            <w:r w:rsidR="000E4FF4">
              <w:rPr>
                <w:noProof/>
                <w:webHidden/>
              </w:rPr>
            </w:r>
            <w:r w:rsidR="000E4FF4">
              <w:rPr>
                <w:noProof/>
                <w:webHidden/>
              </w:rPr>
              <w:fldChar w:fldCharType="separate"/>
            </w:r>
            <w:r w:rsidR="00AC19EF">
              <w:rPr>
                <w:noProof/>
                <w:webHidden/>
              </w:rPr>
              <w:t>35</w:t>
            </w:r>
            <w:r w:rsidR="000E4FF4">
              <w:rPr>
                <w:noProof/>
                <w:webHidden/>
              </w:rPr>
              <w:fldChar w:fldCharType="end"/>
            </w:r>
          </w:hyperlink>
        </w:p>
        <w:p w:rsidR="000E4FF4" w:rsidRDefault="005D2E0F">
          <w:pPr>
            <w:pStyle w:val="Turinys2"/>
            <w:tabs>
              <w:tab w:val="left" w:pos="880"/>
              <w:tab w:val="right" w:leader="dot" w:pos="9911"/>
            </w:tabs>
            <w:rPr>
              <w:rFonts w:eastAsiaTheme="minorEastAsia"/>
              <w:noProof/>
              <w:lang w:eastAsia="lt-LT"/>
            </w:rPr>
          </w:pPr>
          <w:hyperlink w:anchor="_Toc388560351" w:history="1">
            <w:r w:rsidR="000E4FF4" w:rsidRPr="006F2990">
              <w:rPr>
                <w:rStyle w:val="Hipersaitas"/>
                <w:rFonts w:ascii="Times New Roman" w:hAnsi="Times New Roman" w:cs="Times New Roman"/>
                <w:noProof/>
              </w:rPr>
              <w:t>3.2.</w:t>
            </w:r>
            <w:r w:rsidR="000E4FF4">
              <w:rPr>
                <w:rFonts w:eastAsiaTheme="minorEastAsia"/>
                <w:noProof/>
                <w:lang w:eastAsia="lt-LT"/>
              </w:rPr>
              <w:tab/>
            </w:r>
            <w:r w:rsidR="000E4FF4" w:rsidRPr="006F2990">
              <w:rPr>
                <w:rStyle w:val="Hipersaitas"/>
                <w:rFonts w:ascii="Times New Roman" w:hAnsi="Times New Roman" w:cs="Times New Roman"/>
                <w:noProof/>
              </w:rPr>
              <w:t>Pacientų, patyrusių tolimojo stipinkaulio galo lūžį, rankos funkcijos ir savarankiškumo vertinimas  prieš ir po ergoterapijos netaikant teipavimo</w:t>
            </w:r>
            <w:r w:rsidR="000E4FF4">
              <w:rPr>
                <w:noProof/>
                <w:webHidden/>
              </w:rPr>
              <w:tab/>
            </w:r>
            <w:r w:rsidR="000E4FF4">
              <w:rPr>
                <w:noProof/>
                <w:webHidden/>
              </w:rPr>
              <w:fldChar w:fldCharType="begin"/>
            </w:r>
            <w:r w:rsidR="000E4FF4">
              <w:rPr>
                <w:noProof/>
                <w:webHidden/>
              </w:rPr>
              <w:instrText xml:space="preserve"> PAGEREF _Toc388560351 \h </w:instrText>
            </w:r>
            <w:r w:rsidR="000E4FF4">
              <w:rPr>
                <w:noProof/>
                <w:webHidden/>
              </w:rPr>
            </w:r>
            <w:r w:rsidR="000E4FF4">
              <w:rPr>
                <w:noProof/>
                <w:webHidden/>
              </w:rPr>
              <w:fldChar w:fldCharType="separate"/>
            </w:r>
            <w:r w:rsidR="00AC19EF">
              <w:rPr>
                <w:noProof/>
                <w:webHidden/>
              </w:rPr>
              <w:t>37</w:t>
            </w:r>
            <w:r w:rsidR="000E4FF4">
              <w:rPr>
                <w:noProof/>
                <w:webHidden/>
              </w:rPr>
              <w:fldChar w:fldCharType="end"/>
            </w:r>
          </w:hyperlink>
        </w:p>
        <w:p w:rsidR="000E4FF4" w:rsidRDefault="005D2E0F">
          <w:pPr>
            <w:pStyle w:val="Turinys2"/>
            <w:tabs>
              <w:tab w:val="left" w:pos="880"/>
              <w:tab w:val="right" w:leader="dot" w:pos="9911"/>
            </w:tabs>
            <w:rPr>
              <w:rFonts w:eastAsiaTheme="minorEastAsia"/>
              <w:noProof/>
              <w:lang w:eastAsia="lt-LT"/>
            </w:rPr>
          </w:pPr>
          <w:hyperlink w:anchor="_Toc388560352" w:history="1">
            <w:r w:rsidR="000E4FF4" w:rsidRPr="006F2990">
              <w:rPr>
                <w:rStyle w:val="Hipersaitas"/>
                <w:rFonts w:ascii="Times New Roman" w:hAnsi="Times New Roman" w:cs="Times New Roman"/>
                <w:noProof/>
              </w:rPr>
              <w:t>3.3.</w:t>
            </w:r>
            <w:r w:rsidR="000E4FF4">
              <w:rPr>
                <w:rFonts w:eastAsiaTheme="minorEastAsia"/>
                <w:noProof/>
                <w:lang w:eastAsia="lt-LT"/>
              </w:rPr>
              <w:tab/>
            </w:r>
            <w:r w:rsidR="000E4FF4" w:rsidRPr="006F2990">
              <w:rPr>
                <w:rStyle w:val="Hipersaitas"/>
                <w:rFonts w:ascii="Times New Roman" w:hAnsi="Times New Roman" w:cs="Times New Roman"/>
                <w:noProof/>
              </w:rPr>
              <w:t>Ergoterapijos efektyvumo taikant teipavimą vertinimas</w:t>
            </w:r>
            <w:r w:rsidR="000E4FF4">
              <w:rPr>
                <w:noProof/>
                <w:webHidden/>
              </w:rPr>
              <w:tab/>
            </w:r>
            <w:r w:rsidR="000E4FF4">
              <w:rPr>
                <w:noProof/>
                <w:webHidden/>
              </w:rPr>
              <w:fldChar w:fldCharType="begin"/>
            </w:r>
            <w:r w:rsidR="000E4FF4">
              <w:rPr>
                <w:noProof/>
                <w:webHidden/>
              </w:rPr>
              <w:instrText xml:space="preserve"> PAGEREF _Toc388560352 \h </w:instrText>
            </w:r>
            <w:r w:rsidR="000E4FF4">
              <w:rPr>
                <w:noProof/>
                <w:webHidden/>
              </w:rPr>
            </w:r>
            <w:r w:rsidR="000E4FF4">
              <w:rPr>
                <w:noProof/>
                <w:webHidden/>
              </w:rPr>
              <w:fldChar w:fldCharType="separate"/>
            </w:r>
            <w:r w:rsidR="00AC19EF">
              <w:rPr>
                <w:noProof/>
                <w:webHidden/>
              </w:rPr>
              <w:t>40</w:t>
            </w:r>
            <w:r w:rsidR="000E4FF4">
              <w:rPr>
                <w:noProof/>
                <w:webHidden/>
              </w:rPr>
              <w:fldChar w:fldCharType="end"/>
            </w:r>
          </w:hyperlink>
        </w:p>
        <w:p w:rsidR="000E4FF4" w:rsidRDefault="005D2E0F">
          <w:pPr>
            <w:pStyle w:val="Turinys1"/>
            <w:tabs>
              <w:tab w:val="left" w:pos="440"/>
              <w:tab w:val="right" w:leader="dot" w:pos="9911"/>
            </w:tabs>
            <w:rPr>
              <w:rFonts w:eastAsiaTheme="minorEastAsia"/>
              <w:noProof/>
              <w:lang w:eastAsia="lt-LT"/>
            </w:rPr>
          </w:pPr>
          <w:hyperlink w:anchor="_Toc388560353" w:history="1">
            <w:r w:rsidR="000E4FF4" w:rsidRPr="006F2990">
              <w:rPr>
                <w:rStyle w:val="Hipersaitas"/>
                <w:rFonts w:ascii="Times New Roman" w:hAnsi="Times New Roman" w:cs="Times New Roman"/>
                <w:noProof/>
              </w:rPr>
              <w:t>4.</w:t>
            </w:r>
            <w:r w:rsidR="000E4FF4">
              <w:rPr>
                <w:rFonts w:eastAsiaTheme="minorEastAsia"/>
                <w:noProof/>
                <w:lang w:eastAsia="lt-LT"/>
              </w:rPr>
              <w:tab/>
            </w:r>
            <w:r w:rsidR="000E4FF4" w:rsidRPr="006F2990">
              <w:rPr>
                <w:rStyle w:val="Hipersaitas"/>
                <w:rFonts w:ascii="Times New Roman" w:hAnsi="Times New Roman" w:cs="Times New Roman"/>
                <w:noProof/>
              </w:rPr>
              <w:t>REZULTATŲ APTARIMAS</w:t>
            </w:r>
            <w:r w:rsidR="000E4FF4">
              <w:rPr>
                <w:noProof/>
                <w:webHidden/>
              </w:rPr>
              <w:tab/>
            </w:r>
            <w:r w:rsidR="000E4FF4">
              <w:rPr>
                <w:noProof/>
                <w:webHidden/>
              </w:rPr>
              <w:fldChar w:fldCharType="begin"/>
            </w:r>
            <w:r w:rsidR="000E4FF4">
              <w:rPr>
                <w:noProof/>
                <w:webHidden/>
              </w:rPr>
              <w:instrText xml:space="preserve"> PAGEREF _Toc388560353 \h </w:instrText>
            </w:r>
            <w:r w:rsidR="000E4FF4">
              <w:rPr>
                <w:noProof/>
                <w:webHidden/>
              </w:rPr>
            </w:r>
            <w:r w:rsidR="000E4FF4">
              <w:rPr>
                <w:noProof/>
                <w:webHidden/>
              </w:rPr>
              <w:fldChar w:fldCharType="separate"/>
            </w:r>
            <w:r w:rsidR="00AC19EF">
              <w:rPr>
                <w:noProof/>
                <w:webHidden/>
              </w:rPr>
              <w:t>51</w:t>
            </w:r>
            <w:r w:rsidR="000E4FF4">
              <w:rPr>
                <w:noProof/>
                <w:webHidden/>
              </w:rPr>
              <w:fldChar w:fldCharType="end"/>
            </w:r>
          </w:hyperlink>
        </w:p>
        <w:p w:rsidR="000E4FF4" w:rsidRDefault="005D2E0F">
          <w:pPr>
            <w:pStyle w:val="Turinys1"/>
            <w:tabs>
              <w:tab w:val="right" w:leader="dot" w:pos="9911"/>
            </w:tabs>
            <w:rPr>
              <w:rFonts w:eastAsiaTheme="minorEastAsia"/>
              <w:noProof/>
              <w:lang w:eastAsia="lt-LT"/>
            </w:rPr>
          </w:pPr>
          <w:hyperlink w:anchor="_Toc388560354" w:history="1">
            <w:r w:rsidR="000E4FF4" w:rsidRPr="006F2990">
              <w:rPr>
                <w:rStyle w:val="Hipersaitas"/>
                <w:rFonts w:ascii="Times New Roman" w:hAnsi="Times New Roman" w:cs="Times New Roman"/>
                <w:noProof/>
              </w:rPr>
              <w:t>IŠVADOS</w:t>
            </w:r>
            <w:r w:rsidR="000E4FF4">
              <w:rPr>
                <w:noProof/>
                <w:webHidden/>
              </w:rPr>
              <w:tab/>
            </w:r>
            <w:r w:rsidR="000E4FF4">
              <w:rPr>
                <w:noProof/>
                <w:webHidden/>
              </w:rPr>
              <w:fldChar w:fldCharType="begin"/>
            </w:r>
            <w:r w:rsidR="000E4FF4">
              <w:rPr>
                <w:noProof/>
                <w:webHidden/>
              </w:rPr>
              <w:instrText xml:space="preserve"> PAGEREF _Toc388560354 \h </w:instrText>
            </w:r>
            <w:r w:rsidR="000E4FF4">
              <w:rPr>
                <w:noProof/>
                <w:webHidden/>
              </w:rPr>
            </w:r>
            <w:r w:rsidR="000E4FF4">
              <w:rPr>
                <w:noProof/>
                <w:webHidden/>
              </w:rPr>
              <w:fldChar w:fldCharType="separate"/>
            </w:r>
            <w:r w:rsidR="00AC19EF">
              <w:rPr>
                <w:noProof/>
                <w:webHidden/>
              </w:rPr>
              <w:t>53</w:t>
            </w:r>
            <w:r w:rsidR="000E4FF4">
              <w:rPr>
                <w:noProof/>
                <w:webHidden/>
              </w:rPr>
              <w:fldChar w:fldCharType="end"/>
            </w:r>
          </w:hyperlink>
        </w:p>
        <w:p w:rsidR="000E4FF4" w:rsidRDefault="005D2E0F">
          <w:pPr>
            <w:pStyle w:val="Turinys1"/>
            <w:tabs>
              <w:tab w:val="right" w:leader="dot" w:pos="9911"/>
            </w:tabs>
            <w:rPr>
              <w:rFonts w:eastAsiaTheme="minorEastAsia"/>
              <w:noProof/>
              <w:lang w:eastAsia="lt-LT"/>
            </w:rPr>
          </w:pPr>
          <w:hyperlink w:anchor="_Toc388560355" w:history="1">
            <w:r w:rsidR="000E4FF4" w:rsidRPr="006F2990">
              <w:rPr>
                <w:rStyle w:val="Hipersaitas"/>
                <w:rFonts w:ascii="Times New Roman" w:hAnsi="Times New Roman" w:cs="Times New Roman"/>
                <w:noProof/>
              </w:rPr>
              <w:t>LITERATŪROS ŠALTINIAI</w:t>
            </w:r>
            <w:r w:rsidR="000E4FF4">
              <w:rPr>
                <w:noProof/>
                <w:webHidden/>
              </w:rPr>
              <w:tab/>
            </w:r>
            <w:r w:rsidR="000E4FF4">
              <w:rPr>
                <w:noProof/>
                <w:webHidden/>
              </w:rPr>
              <w:fldChar w:fldCharType="begin"/>
            </w:r>
            <w:r w:rsidR="000E4FF4">
              <w:rPr>
                <w:noProof/>
                <w:webHidden/>
              </w:rPr>
              <w:instrText xml:space="preserve"> PAGEREF _Toc388560355 \h </w:instrText>
            </w:r>
            <w:r w:rsidR="000E4FF4">
              <w:rPr>
                <w:noProof/>
                <w:webHidden/>
              </w:rPr>
            </w:r>
            <w:r w:rsidR="000E4FF4">
              <w:rPr>
                <w:noProof/>
                <w:webHidden/>
              </w:rPr>
              <w:fldChar w:fldCharType="separate"/>
            </w:r>
            <w:r w:rsidR="00AC19EF">
              <w:rPr>
                <w:noProof/>
                <w:webHidden/>
              </w:rPr>
              <w:t>54</w:t>
            </w:r>
            <w:r w:rsidR="000E4FF4">
              <w:rPr>
                <w:noProof/>
                <w:webHidden/>
              </w:rPr>
              <w:fldChar w:fldCharType="end"/>
            </w:r>
          </w:hyperlink>
        </w:p>
        <w:p w:rsidR="000E4FF4" w:rsidRDefault="005D2E0F">
          <w:pPr>
            <w:pStyle w:val="Turinys1"/>
            <w:tabs>
              <w:tab w:val="right" w:leader="dot" w:pos="9911"/>
            </w:tabs>
            <w:rPr>
              <w:rFonts w:eastAsiaTheme="minorEastAsia"/>
              <w:noProof/>
              <w:lang w:eastAsia="lt-LT"/>
            </w:rPr>
          </w:pPr>
          <w:hyperlink w:anchor="_Toc388560356" w:history="1">
            <w:r w:rsidR="000E4FF4" w:rsidRPr="006F2990">
              <w:rPr>
                <w:rStyle w:val="Hipersaitas"/>
                <w:rFonts w:ascii="Times New Roman" w:hAnsi="Times New Roman" w:cs="Times New Roman"/>
                <w:noProof/>
              </w:rPr>
              <w:t>PRIEDAI</w:t>
            </w:r>
            <w:r w:rsidR="000E4FF4">
              <w:rPr>
                <w:noProof/>
                <w:webHidden/>
              </w:rPr>
              <w:tab/>
            </w:r>
            <w:r w:rsidR="000E4FF4">
              <w:rPr>
                <w:noProof/>
                <w:webHidden/>
              </w:rPr>
              <w:fldChar w:fldCharType="begin"/>
            </w:r>
            <w:r w:rsidR="000E4FF4">
              <w:rPr>
                <w:noProof/>
                <w:webHidden/>
              </w:rPr>
              <w:instrText xml:space="preserve"> PAGEREF _Toc388560356 \h </w:instrText>
            </w:r>
            <w:r w:rsidR="000E4FF4">
              <w:rPr>
                <w:noProof/>
                <w:webHidden/>
              </w:rPr>
              <w:fldChar w:fldCharType="separate"/>
            </w:r>
            <w:r w:rsidR="00AC19EF">
              <w:rPr>
                <w:b/>
                <w:bCs/>
                <w:noProof/>
                <w:webHidden/>
              </w:rPr>
              <w:t>Klaida! Žymelė neapibrėžta.</w:t>
            </w:r>
            <w:r w:rsidR="000E4FF4">
              <w:rPr>
                <w:noProof/>
                <w:webHidden/>
              </w:rPr>
              <w:fldChar w:fldCharType="end"/>
            </w:r>
          </w:hyperlink>
        </w:p>
        <w:p w:rsidR="00FA7DEE" w:rsidRDefault="00FA7DEE" w:rsidP="002F2793">
          <w:r>
            <w:rPr>
              <w:b/>
              <w:bCs/>
            </w:rPr>
            <w:fldChar w:fldCharType="end"/>
          </w:r>
        </w:p>
      </w:sdtContent>
    </w:sdt>
    <w:p w:rsidR="00FA7DEE" w:rsidRPr="00FA7DEE" w:rsidRDefault="00FA7DEE" w:rsidP="002F2793"/>
    <w:p w:rsidR="005614D0" w:rsidRPr="005614D0" w:rsidRDefault="005614D0" w:rsidP="002F2793"/>
    <w:p w:rsidR="00A630F7" w:rsidRPr="00FA7DEE" w:rsidRDefault="00A630F7" w:rsidP="002F2793">
      <w:pPr>
        <w:pStyle w:val="Antrat1"/>
        <w:spacing w:before="0" w:line="360" w:lineRule="auto"/>
        <w:contextualSpacing/>
        <w:jc w:val="center"/>
        <w:rPr>
          <w:rFonts w:ascii="Times New Roman" w:hAnsi="Times New Roman" w:cs="Times New Roman"/>
          <w:sz w:val="32"/>
          <w:szCs w:val="32"/>
        </w:rPr>
      </w:pPr>
      <w:r>
        <w:br w:type="page"/>
      </w:r>
      <w:bookmarkStart w:id="9" w:name="_Toc388560324"/>
      <w:r w:rsidRPr="00FA7DEE">
        <w:rPr>
          <w:rFonts w:ascii="Times New Roman" w:hAnsi="Times New Roman" w:cs="Times New Roman"/>
          <w:color w:val="auto"/>
          <w:sz w:val="32"/>
          <w:szCs w:val="32"/>
        </w:rPr>
        <w:lastRenderedPageBreak/>
        <w:t>SANTRUMPOS</w:t>
      </w:r>
      <w:bookmarkEnd w:id="9"/>
    </w:p>
    <w:p w:rsidR="00A630F7" w:rsidRDefault="00A630F7" w:rsidP="00455298">
      <w:pPr>
        <w:tabs>
          <w:tab w:val="left" w:pos="9226"/>
        </w:tabs>
        <w:spacing w:after="0" w:line="360" w:lineRule="auto"/>
        <w:contextualSpacing/>
        <w:jc w:val="both"/>
        <w:rPr>
          <w:rFonts w:ascii="Times New Roman" w:hAnsi="Times New Roman" w:cs="Times New Roman"/>
          <w:sz w:val="28"/>
          <w:szCs w:val="28"/>
        </w:rPr>
      </w:pPr>
      <w:r w:rsidRPr="00AD0080">
        <w:rPr>
          <w:rFonts w:ascii="Times New Roman" w:hAnsi="Times New Roman" w:cs="Times New Roman"/>
          <w:sz w:val="24"/>
          <w:szCs w:val="24"/>
        </w:rPr>
        <w:t>SDGL</w:t>
      </w:r>
      <w:r>
        <w:rPr>
          <w:rFonts w:ascii="Times New Roman" w:hAnsi="Times New Roman" w:cs="Times New Roman"/>
          <w:sz w:val="28"/>
          <w:szCs w:val="28"/>
        </w:rPr>
        <w:t xml:space="preserve"> - </w:t>
      </w:r>
      <w:r w:rsidRPr="00D52971">
        <w:rPr>
          <w:rFonts w:ascii="Times New Roman" w:hAnsi="Times New Roman" w:cs="Times New Roman"/>
          <w:sz w:val="24"/>
          <w:szCs w:val="24"/>
        </w:rPr>
        <w:t>Stipinkaulio distalinio galo lūžiai </w:t>
      </w:r>
      <w:r>
        <w:rPr>
          <w:rFonts w:ascii="Times New Roman" w:hAnsi="Times New Roman" w:cs="Times New Roman"/>
          <w:sz w:val="28"/>
          <w:szCs w:val="28"/>
        </w:rPr>
        <w:t xml:space="preserve"> </w:t>
      </w:r>
      <w:r w:rsidR="00455298">
        <w:rPr>
          <w:rFonts w:ascii="Times New Roman" w:hAnsi="Times New Roman" w:cs="Times New Roman"/>
          <w:sz w:val="28"/>
          <w:szCs w:val="28"/>
        </w:rPr>
        <w:tab/>
      </w:r>
    </w:p>
    <w:p w:rsidR="00A630F7" w:rsidRDefault="00A630F7" w:rsidP="002F2793">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KT – kompiuterinė tomografija</w:t>
      </w:r>
    </w:p>
    <w:p w:rsidR="00A630F7" w:rsidRDefault="00A630F7" w:rsidP="002F2793">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MRT – magnetinio rezonanso tomografija</w:t>
      </w:r>
    </w:p>
    <w:p w:rsidR="00243B09" w:rsidRDefault="00A630F7" w:rsidP="002F2793">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KRSS – kompleksinis regioninis skausmo sindromas</w:t>
      </w:r>
    </w:p>
    <w:p w:rsidR="00C3225A" w:rsidRDefault="00243B09" w:rsidP="002F2793">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PSO – pasaulinė sveikatos organizacija</w:t>
      </w:r>
    </w:p>
    <w:p w:rsidR="00571556" w:rsidRDefault="00C3225A" w:rsidP="002F2793">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TENS – transkutaninis elektrinis nervų stimuliavimas</w:t>
      </w:r>
    </w:p>
    <w:p w:rsidR="00A630F7" w:rsidRDefault="00571556" w:rsidP="002F2793">
      <w:pPr>
        <w:spacing w:after="0" w:line="360" w:lineRule="auto"/>
        <w:contextualSpacing/>
        <w:jc w:val="both"/>
        <w:rPr>
          <w:rFonts w:ascii="Times New Roman" w:hAnsi="Times New Roman" w:cs="Times New Roman"/>
          <w:sz w:val="28"/>
          <w:szCs w:val="28"/>
        </w:rPr>
      </w:pPr>
      <w:r>
        <w:rPr>
          <w:rFonts w:ascii="Times New Roman" w:hAnsi="Times New Roman" w:cs="Times New Roman"/>
          <w:sz w:val="24"/>
          <w:szCs w:val="24"/>
        </w:rPr>
        <w:t>AOTA – Amerikos užimtumo terapijos asociacija</w:t>
      </w:r>
    </w:p>
    <w:p w:rsidR="00455298" w:rsidRDefault="00455298" w:rsidP="002F2793">
      <w:pPr>
        <w:spacing w:after="0" w:line="360" w:lineRule="auto"/>
        <w:contextualSpacing/>
        <w:jc w:val="both"/>
        <w:rPr>
          <w:rFonts w:ascii="Times New Roman" w:hAnsi="Times New Roman" w:cs="Times New Roman"/>
          <w:sz w:val="28"/>
          <w:szCs w:val="28"/>
        </w:rPr>
        <w:sectPr w:rsidR="00455298" w:rsidSect="00045FF2">
          <w:headerReference w:type="default" r:id="rId9"/>
          <w:pgSz w:w="11906" w:h="16838"/>
          <w:pgMar w:top="1134" w:right="567" w:bottom="1134" w:left="1418" w:header="567" w:footer="567" w:gutter="0"/>
          <w:pgNumType w:chapStyle="1"/>
          <w:cols w:space="1296"/>
          <w:docGrid w:linePitch="360"/>
        </w:sectPr>
      </w:pPr>
    </w:p>
    <w:p w:rsidR="00A630F7" w:rsidRDefault="00A630F7" w:rsidP="002F2793">
      <w:pPr>
        <w:pStyle w:val="Antrat1"/>
        <w:spacing w:before="0" w:line="360" w:lineRule="auto"/>
        <w:contextualSpacing/>
        <w:jc w:val="center"/>
        <w:rPr>
          <w:rFonts w:ascii="Times New Roman" w:hAnsi="Times New Roman" w:cs="Times New Roman"/>
          <w:color w:val="auto"/>
          <w:sz w:val="32"/>
          <w:szCs w:val="32"/>
        </w:rPr>
      </w:pPr>
      <w:bookmarkStart w:id="10" w:name="_Toc388560325"/>
      <w:r w:rsidRPr="00045FF2">
        <w:rPr>
          <w:rFonts w:ascii="Times New Roman" w:hAnsi="Times New Roman" w:cs="Times New Roman"/>
          <w:color w:val="auto"/>
          <w:sz w:val="32"/>
          <w:szCs w:val="32"/>
        </w:rPr>
        <w:lastRenderedPageBreak/>
        <w:t>ĮVADAS</w:t>
      </w:r>
      <w:bookmarkEnd w:id="10"/>
    </w:p>
    <w:p w:rsidR="00045FF2" w:rsidRPr="00045FF2" w:rsidRDefault="00045FF2" w:rsidP="002F2793"/>
    <w:p w:rsidR="00A630F7" w:rsidRDefault="00A630F7" w:rsidP="002F2793">
      <w:pPr>
        <w:spacing w:after="0" w:line="36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Žmogaus rankos, smegenų pagalba, leidžia valdyti bei sąveikauti su aplinka bei vykdyti įprastą  kasdienę veiklą, kaip pvz. durų atvėrimas ir t.t. Rankos taip pat veikia kaip sensorinės sistemos organas, suteikia lytėjimo pojūtį, padeda atlikti kompleksinius judesius be regėjimo pagalbos. Todėl jos yra labiausiai pažeidžiama žmogaus kūno dalis. Pagrindinė plaštakos funkcija – paimti daiktus, juos išlaikyti, pajusti smulkių daiktų formą bei struktūrą (1).</w:t>
      </w:r>
    </w:p>
    <w:p w:rsidR="00A630F7" w:rsidRDefault="00A630F7" w:rsidP="002F2793">
      <w:pPr>
        <w:spacing w:after="0" w:line="360" w:lineRule="auto"/>
        <w:ind w:firstLine="720"/>
        <w:contextualSpacing/>
        <w:jc w:val="both"/>
        <w:rPr>
          <w:rFonts w:ascii="Times New Roman" w:hAnsi="Times New Roman" w:cs="Times New Roman"/>
          <w:sz w:val="24"/>
          <w:szCs w:val="24"/>
        </w:rPr>
      </w:pPr>
      <w:r w:rsidRPr="00E815C6">
        <w:rPr>
          <w:rFonts w:ascii="Times New Roman" w:hAnsi="Times New Roman" w:cs="Times New Roman"/>
          <w:sz w:val="24"/>
          <w:szCs w:val="24"/>
        </w:rPr>
        <w:t xml:space="preserve">Kasdienėje žmogaus veikloje traumų pasitaiko gana dažnai. Labai aktualios  yra rankų bei plaštakos traumos, kadangi daugiausia jomis atliekami kasdieniai veiksmai, kurių metu gali būti sužalojamos plaštakos funkcijai svarbios struktūros. </w:t>
      </w:r>
      <w:r>
        <w:rPr>
          <w:rFonts w:ascii="Times New Roman" w:hAnsi="Times New Roman" w:cs="Times New Roman"/>
          <w:sz w:val="24"/>
          <w:szCs w:val="24"/>
        </w:rPr>
        <w:t>(2).</w:t>
      </w:r>
    </w:p>
    <w:p w:rsidR="00A630F7" w:rsidRDefault="00A630F7" w:rsidP="002F2793">
      <w:pPr>
        <w:spacing w:after="0" w:line="360" w:lineRule="auto"/>
        <w:ind w:firstLine="720"/>
        <w:contextualSpacing/>
        <w:jc w:val="both"/>
        <w:rPr>
          <w:rFonts w:ascii="Times New Roman" w:hAnsi="Times New Roman" w:cs="Times New Roman"/>
          <w:sz w:val="24"/>
          <w:szCs w:val="24"/>
        </w:rPr>
      </w:pPr>
      <w:r w:rsidRPr="00D52971">
        <w:rPr>
          <w:rFonts w:ascii="Times New Roman" w:hAnsi="Times New Roman" w:cs="Times New Roman"/>
          <w:sz w:val="24"/>
          <w:szCs w:val="24"/>
        </w:rPr>
        <w:t>Stipinkaulio distalinio galo lūžiai yra vienas dažniaus</w:t>
      </w:r>
      <w:r>
        <w:rPr>
          <w:rFonts w:ascii="Times New Roman" w:hAnsi="Times New Roman" w:cs="Times New Roman"/>
          <w:sz w:val="24"/>
          <w:szCs w:val="24"/>
        </w:rPr>
        <w:t>ių kaulų ir raumenų sužalojimų, sudarantys</w:t>
      </w:r>
      <w:r w:rsidRPr="00D52971">
        <w:rPr>
          <w:rFonts w:ascii="Times New Roman" w:hAnsi="Times New Roman" w:cs="Times New Roman"/>
          <w:sz w:val="24"/>
          <w:szCs w:val="24"/>
        </w:rPr>
        <w:t xml:space="preserve"> apie</w:t>
      </w:r>
      <w:r>
        <w:rPr>
          <w:rFonts w:ascii="Times New Roman" w:hAnsi="Times New Roman" w:cs="Times New Roman"/>
          <w:sz w:val="24"/>
          <w:szCs w:val="24"/>
        </w:rPr>
        <w:t xml:space="preserve"> 3 proc. visų rankos sužeidimų (3).</w:t>
      </w:r>
    </w:p>
    <w:p w:rsidR="00A630F7" w:rsidRPr="00E815C6" w:rsidRDefault="00A630F7" w:rsidP="002F2793">
      <w:pPr>
        <w:spacing w:after="0" w:line="360" w:lineRule="auto"/>
        <w:ind w:firstLine="720"/>
        <w:contextualSpacing/>
        <w:jc w:val="both"/>
        <w:rPr>
          <w:rFonts w:ascii="Times New Roman" w:hAnsi="Times New Roman" w:cs="Times New Roman"/>
          <w:sz w:val="24"/>
          <w:szCs w:val="24"/>
        </w:rPr>
      </w:pPr>
      <w:r w:rsidRPr="00E815C6">
        <w:rPr>
          <w:rFonts w:ascii="Times New Roman" w:hAnsi="Times New Roman" w:cs="Times New Roman"/>
          <w:sz w:val="24"/>
          <w:szCs w:val="24"/>
          <w:shd w:val="clear" w:color="auto" w:fill="FFFFFF"/>
        </w:rPr>
        <w:t xml:space="preserve">Lūžio vieta distaliniame stipinkaulio gale, sąnario pažeidimas, skeveldrų buvimas ir minkštųjų audinių pažeidimas tiesiogiai priklauso nuo riešo padėties, kaulų būklės traumos metu bei traumos pobūdžio </w:t>
      </w:r>
      <w:r>
        <w:rPr>
          <w:rFonts w:ascii="Times New Roman" w:hAnsi="Times New Roman" w:cs="Times New Roman"/>
          <w:sz w:val="24"/>
          <w:szCs w:val="24"/>
          <w:shd w:val="clear" w:color="auto" w:fill="FFFFFF"/>
        </w:rPr>
        <w:t>(3).</w:t>
      </w:r>
    </w:p>
    <w:p w:rsidR="00A630F7" w:rsidRDefault="00A630F7" w:rsidP="002F2793">
      <w:pPr>
        <w:spacing w:after="0" w:line="36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Lūžus kaulams sumažė</w:t>
      </w:r>
      <w:r w:rsidR="00AA096F">
        <w:rPr>
          <w:rFonts w:ascii="Times New Roman" w:hAnsi="Times New Roman" w:cs="Times New Roman"/>
          <w:sz w:val="24"/>
          <w:szCs w:val="24"/>
        </w:rPr>
        <w:t>ja jėga bei judesių amplitudė, nusilpsta</w:t>
      </w:r>
      <w:r>
        <w:rPr>
          <w:rFonts w:ascii="Times New Roman" w:hAnsi="Times New Roman" w:cs="Times New Roman"/>
          <w:sz w:val="24"/>
          <w:szCs w:val="24"/>
        </w:rPr>
        <w:t xml:space="preserve"> griebimas. Todėl ergoterapeutas</w:t>
      </w:r>
      <w:r w:rsidR="00AA096F">
        <w:rPr>
          <w:rFonts w:ascii="Times New Roman" w:hAnsi="Times New Roman" w:cs="Times New Roman"/>
          <w:sz w:val="24"/>
          <w:szCs w:val="24"/>
        </w:rPr>
        <w:t>,</w:t>
      </w:r>
      <w:r>
        <w:rPr>
          <w:rFonts w:ascii="Times New Roman" w:hAnsi="Times New Roman" w:cs="Times New Roman"/>
          <w:sz w:val="24"/>
          <w:szCs w:val="24"/>
        </w:rPr>
        <w:t xml:space="preserve"> būdamas reabilitacijos komandos dalimi, nuo pat ligos ar traumos pradžios siekia, kad pacientas būtų kiek įmanoma mažiau priklausomas kasdienėje veikloje. </w:t>
      </w:r>
    </w:p>
    <w:p w:rsidR="00A630F7" w:rsidRPr="00196E17" w:rsidRDefault="00A630F7" w:rsidP="002F2793">
      <w:pPr>
        <w:spacing w:after="0" w:line="36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Ši</w:t>
      </w:r>
      <w:r w:rsidR="00AA096F">
        <w:rPr>
          <w:rFonts w:ascii="Times New Roman" w:hAnsi="Times New Roman" w:cs="Times New Roman"/>
          <w:sz w:val="24"/>
          <w:szCs w:val="24"/>
        </w:rPr>
        <w:t>uo</w:t>
      </w:r>
      <w:r>
        <w:rPr>
          <w:rFonts w:ascii="Times New Roman" w:hAnsi="Times New Roman" w:cs="Times New Roman"/>
          <w:sz w:val="24"/>
          <w:szCs w:val="24"/>
        </w:rPr>
        <w:t xml:space="preserve"> tyrimu norėjome išsiaiškinti ergoterapijos efektyvumą taikant kinezioteipavimą  pacientams, patyrusiems tolimojo stipinkaulio galo lūžius, rankos funkcijai ir savarankiškumui.</w:t>
      </w:r>
    </w:p>
    <w:p w:rsidR="00A630F7" w:rsidRDefault="00A630F7" w:rsidP="002F2793">
      <w:pPr>
        <w:spacing w:after="0" w:line="360" w:lineRule="auto"/>
        <w:contextualSpacing/>
        <w:jc w:val="both"/>
        <w:rPr>
          <w:rFonts w:ascii="Times New Roman" w:hAnsi="Times New Roman" w:cs="Times New Roman"/>
          <w:sz w:val="24"/>
          <w:szCs w:val="24"/>
        </w:rPr>
      </w:pPr>
    </w:p>
    <w:p w:rsidR="00A630F7" w:rsidRDefault="00A630F7" w:rsidP="002F2793">
      <w:pPr>
        <w:spacing w:after="0" w:line="360" w:lineRule="auto"/>
        <w:contextualSpacing/>
        <w:jc w:val="both"/>
        <w:rPr>
          <w:sz w:val="28"/>
          <w:szCs w:val="28"/>
        </w:rPr>
      </w:pPr>
    </w:p>
    <w:p w:rsidR="00A630F7" w:rsidRDefault="00A630F7" w:rsidP="002F2793">
      <w:pPr>
        <w:spacing w:after="0" w:line="360" w:lineRule="auto"/>
        <w:contextualSpacing/>
        <w:jc w:val="both"/>
        <w:rPr>
          <w:sz w:val="28"/>
          <w:szCs w:val="28"/>
        </w:rPr>
      </w:pPr>
      <w:r>
        <w:rPr>
          <w:sz w:val="28"/>
          <w:szCs w:val="28"/>
        </w:rPr>
        <w:br w:type="page"/>
      </w:r>
    </w:p>
    <w:p w:rsidR="00A630F7" w:rsidRPr="000D29FC" w:rsidRDefault="00A630F7" w:rsidP="002F2793">
      <w:pPr>
        <w:spacing w:after="0" w:line="360" w:lineRule="auto"/>
        <w:contextualSpacing/>
        <w:jc w:val="both"/>
        <w:rPr>
          <w:rFonts w:ascii="Times New Roman" w:hAnsi="Times New Roman" w:cs="Times New Roman"/>
          <w:b/>
          <w:sz w:val="32"/>
          <w:szCs w:val="32"/>
        </w:rPr>
      </w:pPr>
      <w:r w:rsidRPr="000D29FC">
        <w:rPr>
          <w:rFonts w:ascii="Times New Roman" w:hAnsi="Times New Roman" w:cs="Times New Roman"/>
          <w:b/>
          <w:sz w:val="32"/>
          <w:szCs w:val="32"/>
        </w:rPr>
        <w:lastRenderedPageBreak/>
        <w:t>DARBO TIKSLAS</w:t>
      </w:r>
    </w:p>
    <w:p w:rsidR="00A630F7" w:rsidRPr="00584839" w:rsidRDefault="00A630F7" w:rsidP="002F2793">
      <w:pPr>
        <w:spacing w:after="0" w:line="360" w:lineRule="auto"/>
        <w:contextualSpacing/>
        <w:jc w:val="both"/>
        <w:rPr>
          <w:rFonts w:ascii="Times New Roman" w:hAnsi="Times New Roman" w:cs="Times New Roman"/>
          <w:bCs/>
          <w:sz w:val="24"/>
          <w:szCs w:val="24"/>
        </w:rPr>
      </w:pPr>
      <w:r w:rsidRPr="00584839">
        <w:rPr>
          <w:rFonts w:ascii="Times New Roman" w:hAnsi="Times New Roman" w:cs="Times New Roman"/>
          <w:bCs/>
          <w:sz w:val="24"/>
          <w:szCs w:val="24"/>
        </w:rPr>
        <w:t xml:space="preserve">Įvertinti </w:t>
      </w:r>
      <w:r>
        <w:rPr>
          <w:rFonts w:ascii="Times New Roman" w:hAnsi="Times New Roman" w:cs="Times New Roman"/>
          <w:bCs/>
          <w:sz w:val="24"/>
          <w:szCs w:val="24"/>
        </w:rPr>
        <w:t>kinezi</w:t>
      </w:r>
      <w:r w:rsidRPr="00584839">
        <w:rPr>
          <w:rFonts w:ascii="Times New Roman" w:hAnsi="Times New Roman" w:cs="Times New Roman"/>
          <w:bCs/>
          <w:sz w:val="24"/>
          <w:szCs w:val="24"/>
        </w:rPr>
        <w:t>teipavimo poveikį pacientams po tolimojo stipinkaulio galo lūžių.</w:t>
      </w:r>
    </w:p>
    <w:p w:rsidR="00A630F7" w:rsidRDefault="00A630F7" w:rsidP="002F2793">
      <w:pPr>
        <w:spacing w:after="0" w:line="360" w:lineRule="auto"/>
        <w:contextualSpacing/>
        <w:jc w:val="both"/>
        <w:rPr>
          <w:sz w:val="28"/>
          <w:szCs w:val="28"/>
        </w:rPr>
      </w:pPr>
    </w:p>
    <w:p w:rsidR="00A630F7" w:rsidRPr="000D29FC" w:rsidRDefault="00A630F7" w:rsidP="002F2793">
      <w:pPr>
        <w:spacing w:after="0" w:line="360" w:lineRule="auto"/>
        <w:contextualSpacing/>
        <w:jc w:val="both"/>
        <w:rPr>
          <w:rFonts w:ascii="Times New Roman" w:hAnsi="Times New Roman" w:cs="Times New Roman"/>
          <w:b/>
          <w:sz w:val="32"/>
          <w:szCs w:val="32"/>
        </w:rPr>
      </w:pPr>
      <w:r w:rsidRPr="000D29FC">
        <w:rPr>
          <w:rFonts w:ascii="Times New Roman" w:hAnsi="Times New Roman" w:cs="Times New Roman"/>
          <w:b/>
          <w:sz w:val="32"/>
          <w:szCs w:val="32"/>
        </w:rPr>
        <w:t>DARBO UŽDAVINIAI</w:t>
      </w:r>
    </w:p>
    <w:p w:rsidR="00E10B46" w:rsidRDefault="00A630F7" w:rsidP="002F2793">
      <w:pPr>
        <w:spacing w:after="0" w:line="360" w:lineRule="auto"/>
        <w:contextualSpacing/>
        <w:jc w:val="both"/>
        <w:rPr>
          <w:rFonts w:ascii="Times New Roman" w:hAnsi="Times New Roman" w:cs="Times New Roman"/>
          <w:bCs/>
          <w:sz w:val="24"/>
          <w:szCs w:val="24"/>
        </w:rPr>
      </w:pPr>
      <w:r>
        <w:rPr>
          <w:rFonts w:ascii="Times New Roman" w:hAnsi="Times New Roman" w:cs="Times New Roman"/>
          <w:bCs/>
          <w:sz w:val="24"/>
          <w:szCs w:val="24"/>
        </w:rPr>
        <w:t>1.</w:t>
      </w:r>
      <w:r w:rsidR="00E10B46" w:rsidRPr="00E10B46">
        <w:rPr>
          <w:rFonts w:ascii="Times New Roman" w:hAnsi="Times New Roman" w:cs="Times New Roman"/>
          <w:sz w:val="24"/>
          <w:szCs w:val="24"/>
        </w:rPr>
        <w:t xml:space="preserve"> </w:t>
      </w:r>
      <w:r w:rsidR="00E10B46" w:rsidRPr="00584839">
        <w:rPr>
          <w:rFonts w:ascii="Times New Roman" w:hAnsi="Times New Roman" w:cs="Times New Roman"/>
          <w:sz w:val="24"/>
          <w:szCs w:val="24"/>
        </w:rPr>
        <w:t xml:space="preserve">Įvertinti pacientų rankos funkciją ir savarankiškumą prieš ergoterapiją ir po jos taikant </w:t>
      </w:r>
      <w:r w:rsidR="00AA096F">
        <w:rPr>
          <w:rFonts w:ascii="Times New Roman" w:hAnsi="Times New Roman" w:cs="Times New Roman"/>
          <w:sz w:val="24"/>
          <w:szCs w:val="24"/>
        </w:rPr>
        <w:t>kinezio</w:t>
      </w:r>
      <w:r w:rsidR="00E10B46" w:rsidRPr="00584839">
        <w:rPr>
          <w:rFonts w:ascii="Times New Roman" w:hAnsi="Times New Roman" w:cs="Times New Roman"/>
          <w:sz w:val="24"/>
          <w:szCs w:val="24"/>
        </w:rPr>
        <w:t>teipavimą;</w:t>
      </w:r>
    </w:p>
    <w:p w:rsidR="00A630F7" w:rsidRDefault="00E10B46" w:rsidP="002F2793">
      <w:pPr>
        <w:spacing w:after="0" w:line="360" w:lineRule="auto"/>
        <w:contextualSpacing/>
        <w:jc w:val="both"/>
        <w:rPr>
          <w:rFonts w:ascii="Times New Roman" w:hAnsi="Times New Roman" w:cs="Times New Roman"/>
          <w:sz w:val="24"/>
          <w:szCs w:val="24"/>
        </w:rPr>
      </w:pPr>
      <w:r>
        <w:rPr>
          <w:rFonts w:ascii="Times New Roman" w:hAnsi="Times New Roman" w:cs="Times New Roman"/>
          <w:bCs/>
          <w:sz w:val="24"/>
          <w:szCs w:val="24"/>
        </w:rPr>
        <w:t>2.</w:t>
      </w:r>
      <w:r w:rsidR="00A630F7">
        <w:rPr>
          <w:rFonts w:ascii="Times New Roman" w:hAnsi="Times New Roman" w:cs="Times New Roman"/>
          <w:bCs/>
          <w:sz w:val="24"/>
          <w:szCs w:val="24"/>
        </w:rPr>
        <w:t xml:space="preserve"> </w:t>
      </w:r>
      <w:r w:rsidR="00A630F7" w:rsidRPr="00584839">
        <w:rPr>
          <w:rFonts w:ascii="Times New Roman" w:hAnsi="Times New Roman" w:cs="Times New Roman"/>
          <w:sz w:val="24"/>
          <w:szCs w:val="24"/>
        </w:rPr>
        <w:t xml:space="preserve">Įvertinti pacientų rankos funkciją ir savarankiškumą prieš ergoterapiją ir po jos be </w:t>
      </w:r>
      <w:r w:rsidR="00AA096F">
        <w:rPr>
          <w:rFonts w:ascii="Times New Roman" w:hAnsi="Times New Roman" w:cs="Times New Roman"/>
          <w:sz w:val="24"/>
          <w:szCs w:val="24"/>
        </w:rPr>
        <w:t>kinezio</w:t>
      </w:r>
      <w:r w:rsidR="00A630F7" w:rsidRPr="00584839">
        <w:rPr>
          <w:rFonts w:ascii="Times New Roman" w:hAnsi="Times New Roman" w:cs="Times New Roman"/>
          <w:sz w:val="24"/>
          <w:szCs w:val="24"/>
        </w:rPr>
        <w:t>teipavimo;</w:t>
      </w:r>
      <w:r w:rsidR="00A630F7">
        <w:rPr>
          <w:rFonts w:ascii="Times New Roman" w:hAnsi="Times New Roman" w:cs="Times New Roman"/>
          <w:sz w:val="24"/>
          <w:szCs w:val="24"/>
        </w:rPr>
        <w:t xml:space="preserve"> </w:t>
      </w:r>
    </w:p>
    <w:p w:rsidR="00A630F7" w:rsidRDefault="00A630F7" w:rsidP="002F2793">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3. </w:t>
      </w:r>
      <w:r w:rsidRPr="00584839">
        <w:rPr>
          <w:rFonts w:ascii="Times New Roman" w:hAnsi="Times New Roman" w:cs="Times New Roman"/>
          <w:sz w:val="24"/>
          <w:szCs w:val="24"/>
        </w:rPr>
        <w:t xml:space="preserve">Palyginti ergoterapijos efektyvumą taikant </w:t>
      </w:r>
      <w:r w:rsidR="00AA096F">
        <w:rPr>
          <w:rFonts w:ascii="Times New Roman" w:hAnsi="Times New Roman" w:cs="Times New Roman"/>
          <w:sz w:val="24"/>
          <w:szCs w:val="24"/>
        </w:rPr>
        <w:t>kinezio</w:t>
      </w:r>
      <w:r w:rsidRPr="00584839">
        <w:rPr>
          <w:rFonts w:ascii="Times New Roman" w:hAnsi="Times New Roman" w:cs="Times New Roman"/>
          <w:sz w:val="24"/>
          <w:szCs w:val="24"/>
        </w:rPr>
        <w:t>teipavimą;</w:t>
      </w:r>
    </w:p>
    <w:p w:rsidR="00A630F7" w:rsidRDefault="00A630F7" w:rsidP="002F2793">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br w:type="page"/>
      </w:r>
    </w:p>
    <w:p w:rsidR="00A630F7" w:rsidRPr="00045FF2" w:rsidRDefault="00A630F7" w:rsidP="002F2793">
      <w:pPr>
        <w:pStyle w:val="Antrat1"/>
        <w:spacing w:before="0" w:line="360" w:lineRule="auto"/>
        <w:contextualSpacing/>
        <w:jc w:val="center"/>
        <w:rPr>
          <w:rFonts w:ascii="Times New Roman" w:hAnsi="Times New Roman" w:cs="Times New Roman"/>
          <w:color w:val="auto"/>
          <w:sz w:val="32"/>
          <w:szCs w:val="32"/>
        </w:rPr>
      </w:pPr>
      <w:bookmarkStart w:id="11" w:name="_Toc388560326"/>
      <w:r w:rsidRPr="00045FF2">
        <w:rPr>
          <w:rFonts w:ascii="Times New Roman" w:hAnsi="Times New Roman" w:cs="Times New Roman"/>
          <w:color w:val="auto"/>
          <w:sz w:val="32"/>
          <w:szCs w:val="32"/>
        </w:rPr>
        <w:lastRenderedPageBreak/>
        <w:t>1. LITERATŪROS APŽVALGA</w:t>
      </w:r>
      <w:bookmarkEnd w:id="11"/>
    </w:p>
    <w:p w:rsidR="00A630F7" w:rsidRDefault="00A630F7" w:rsidP="002F2793">
      <w:pPr>
        <w:pStyle w:val="Antrat2"/>
        <w:spacing w:before="0" w:line="360" w:lineRule="auto"/>
        <w:contextualSpacing/>
        <w:jc w:val="both"/>
        <w:rPr>
          <w:rFonts w:ascii="Times New Roman" w:hAnsi="Times New Roman" w:cs="Times New Roman"/>
          <w:color w:val="auto"/>
          <w:sz w:val="28"/>
          <w:szCs w:val="28"/>
        </w:rPr>
      </w:pPr>
      <w:bookmarkStart w:id="12" w:name="_Toc388560327"/>
      <w:r w:rsidRPr="00045FF2">
        <w:rPr>
          <w:rFonts w:ascii="Times New Roman" w:hAnsi="Times New Roman" w:cs="Times New Roman"/>
          <w:color w:val="auto"/>
          <w:sz w:val="28"/>
          <w:szCs w:val="28"/>
        </w:rPr>
        <w:t>1.1 Plaštakos funkcijos ypatybės</w:t>
      </w:r>
      <w:bookmarkEnd w:id="12"/>
    </w:p>
    <w:p w:rsidR="00045FF2" w:rsidRPr="00045FF2" w:rsidRDefault="00045FF2" w:rsidP="002F2793">
      <w:pPr>
        <w:spacing w:after="0" w:line="360" w:lineRule="auto"/>
        <w:contextualSpacing/>
        <w:jc w:val="both"/>
      </w:pPr>
    </w:p>
    <w:p w:rsidR="00A630F7" w:rsidRPr="00AA096F" w:rsidRDefault="00A630F7" w:rsidP="002F2793">
      <w:pPr>
        <w:spacing w:after="0" w:line="360" w:lineRule="auto"/>
        <w:ind w:firstLine="851"/>
        <w:contextualSpacing/>
        <w:jc w:val="both"/>
        <w:rPr>
          <w:rFonts w:ascii="Times New Roman" w:hAnsi="Times New Roman" w:cs="Times New Roman"/>
          <w:sz w:val="24"/>
          <w:szCs w:val="24"/>
          <w:shd w:val="clear" w:color="auto" w:fill="FFFFFF"/>
        </w:rPr>
      </w:pPr>
      <w:r w:rsidRPr="00AA096F">
        <w:rPr>
          <w:rFonts w:ascii="Times New Roman" w:hAnsi="Times New Roman" w:cs="Times New Roman"/>
          <w:sz w:val="24"/>
          <w:szCs w:val="24"/>
          <w:shd w:val="clear" w:color="auto" w:fill="FFFFFF"/>
        </w:rPr>
        <w:t>Stipinkaulio distalinio galo lūžius patiria</w:t>
      </w:r>
      <w:r w:rsidRPr="00AA096F">
        <w:rPr>
          <w:rStyle w:val="apple-converted-space"/>
          <w:rFonts w:ascii="Times New Roman" w:hAnsi="Times New Roman" w:cs="Times New Roman"/>
          <w:bCs/>
          <w:sz w:val="24"/>
          <w:szCs w:val="24"/>
          <w:shd w:val="clear" w:color="auto" w:fill="FFFFFF"/>
        </w:rPr>
        <w:t xml:space="preserve"> vienas iš šešių žmonių, kurie reabilituojami gydymo įstaigose</w:t>
      </w:r>
      <w:r w:rsidR="00AA096F">
        <w:rPr>
          <w:rStyle w:val="apple-converted-space"/>
          <w:rFonts w:ascii="Times New Roman" w:hAnsi="Times New Roman" w:cs="Times New Roman"/>
          <w:bCs/>
          <w:sz w:val="24"/>
          <w:szCs w:val="24"/>
          <w:shd w:val="clear" w:color="auto" w:fill="FFFFFF"/>
        </w:rPr>
        <w:t>.</w:t>
      </w:r>
      <w:r w:rsidRPr="00AA096F">
        <w:rPr>
          <w:rStyle w:val="apple-converted-space"/>
          <w:rFonts w:ascii="Times New Roman" w:hAnsi="Times New Roman" w:cs="Times New Roman"/>
          <w:bCs/>
          <w:sz w:val="24"/>
          <w:szCs w:val="24"/>
          <w:shd w:val="clear" w:color="auto" w:fill="FFFFFF"/>
        </w:rPr>
        <w:t xml:space="preserve"> </w:t>
      </w:r>
      <w:r w:rsidR="008048B5">
        <w:rPr>
          <w:rStyle w:val="apple-converted-space"/>
          <w:rFonts w:ascii="Times New Roman" w:hAnsi="Times New Roman" w:cs="Times New Roman"/>
          <w:bCs/>
          <w:sz w:val="24"/>
          <w:szCs w:val="24"/>
          <w:shd w:val="clear" w:color="auto" w:fill="FFFFFF"/>
        </w:rPr>
        <w:t>Traumos metu išryškėja osteoporozės požymiai</w:t>
      </w:r>
      <w:r w:rsidRPr="00AA096F">
        <w:rPr>
          <w:rFonts w:ascii="Times New Roman" w:hAnsi="Times New Roman" w:cs="Times New Roman"/>
          <w:sz w:val="24"/>
          <w:szCs w:val="24"/>
          <w:shd w:val="clear" w:color="auto" w:fill="FFFFFF"/>
        </w:rPr>
        <w:t>. (11).</w:t>
      </w:r>
    </w:p>
    <w:p w:rsidR="00A630F7" w:rsidRDefault="00A630F7" w:rsidP="002F2793">
      <w:pPr>
        <w:spacing w:after="0" w:line="360" w:lineRule="auto"/>
        <w:ind w:firstLine="360"/>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Žmogaus ranka yra instrumentas, kurios dėka nustatome objektų informaciją, pvz. daiktų paviršiaus struktūrą, svorį, formą, dydžius, orientaciją ir šilumines savybes. Rankų dėka parodome įspūdingą miklumą, siekdami manipuliuoti objektais, bei juos suvokti. Taip pat galima pasiūlyti vertingų bendravimo formų, kaip gestų kalb</w:t>
      </w:r>
      <w:r w:rsidR="007920E0">
        <w:rPr>
          <w:rFonts w:ascii="Times New Roman" w:hAnsi="Times New Roman" w:cs="Times New Roman"/>
          <w:sz w:val="24"/>
          <w:szCs w:val="24"/>
          <w:shd w:val="clear" w:color="auto" w:fill="FFFFFF"/>
        </w:rPr>
        <w:t>ą</w:t>
      </w:r>
      <w:r>
        <w:rPr>
          <w:rFonts w:ascii="Times New Roman" w:hAnsi="Times New Roman" w:cs="Times New Roman"/>
          <w:sz w:val="24"/>
          <w:szCs w:val="24"/>
          <w:shd w:val="clear" w:color="auto" w:fill="FFFFFF"/>
        </w:rPr>
        <w:t>, siekdam</w:t>
      </w:r>
      <w:r w:rsidR="008048B5">
        <w:rPr>
          <w:rFonts w:ascii="Times New Roman" w:hAnsi="Times New Roman" w:cs="Times New Roman"/>
          <w:sz w:val="24"/>
          <w:szCs w:val="24"/>
          <w:shd w:val="clear" w:color="auto" w:fill="FFFFFF"/>
        </w:rPr>
        <w:t>i komunikuoti su klausos negalią</w:t>
      </w:r>
      <w:r>
        <w:rPr>
          <w:rFonts w:ascii="Times New Roman" w:hAnsi="Times New Roman" w:cs="Times New Roman"/>
          <w:sz w:val="24"/>
          <w:szCs w:val="24"/>
          <w:shd w:val="clear" w:color="auto" w:fill="FFFFFF"/>
        </w:rPr>
        <w:t xml:space="preserve"> turinčiais žmonėmis</w:t>
      </w:r>
      <w:r w:rsidR="006B6059">
        <w:rPr>
          <w:rFonts w:ascii="Times New Roman" w:hAnsi="Times New Roman" w:cs="Times New Roman"/>
          <w:sz w:val="24"/>
          <w:szCs w:val="24"/>
          <w:shd w:val="clear" w:color="auto" w:fill="FFFFFF"/>
        </w:rPr>
        <w:t xml:space="preserve"> (14)</w:t>
      </w:r>
      <w:r>
        <w:rPr>
          <w:rFonts w:ascii="Times New Roman" w:hAnsi="Times New Roman" w:cs="Times New Roman"/>
          <w:sz w:val="24"/>
          <w:szCs w:val="24"/>
          <w:shd w:val="clear" w:color="auto" w:fill="FFFFFF"/>
        </w:rPr>
        <w:t xml:space="preserve">. </w:t>
      </w:r>
    </w:p>
    <w:p w:rsidR="00A630F7" w:rsidRPr="00DD49BA" w:rsidRDefault="00A630F7" w:rsidP="002F2793">
      <w:pPr>
        <w:pStyle w:val="Pagrindinistekstas"/>
        <w:spacing w:after="0" w:line="360" w:lineRule="auto"/>
        <w:ind w:firstLine="360"/>
        <w:contextualSpacing/>
        <w:jc w:val="both"/>
        <w:rPr>
          <w:lang w:val="lt-LT"/>
        </w:rPr>
      </w:pPr>
      <w:r w:rsidRPr="00DD49BA">
        <w:rPr>
          <w:lang w:val="lt-LT"/>
        </w:rPr>
        <w:t>Yra skiriamos 6 suėmimo formos</w:t>
      </w:r>
      <w:r>
        <w:rPr>
          <w:lang w:val="lt-LT"/>
        </w:rPr>
        <w:t xml:space="preserve"> (1 priedas)</w:t>
      </w:r>
      <w:r w:rsidRPr="00DD49BA">
        <w:rPr>
          <w:lang w:val="lt-LT"/>
        </w:rPr>
        <w:t xml:space="preserve"> (2):</w:t>
      </w:r>
    </w:p>
    <w:p w:rsidR="00A630F7" w:rsidRPr="00DD49BA" w:rsidRDefault="00A630F7" w:rsidP="002F2793">
      <w:pPr>
        <w:pStyle w:val="Pagrindinistekstas"/>
        <w:numPr>
          <w:ilvl w:val="0"/>
          <w:numId w:val="3"/>
        </w:numPr>
        <w:spacing w:after="0" w:line="360" w:lineRule="auto"/>
        <w:contextualSpacing/>
        <w:jc w:val="both"/>
        <w:rPr>
          <w:lang w:val="lt-LT"/>
        </w:rPr>
      </w:pPr>
      <w:r w:rsidRPr="00DD49BA">
        <w:rPr>
          <w:lang w:val="lt-LT"/>
        </w:rPr>
        <w:t>Sulenktais kabliu pirštais suėmimas;</w:t>
      </w:r>
    </w:p>
    <w:p w:rsidR="00A630F7" w:rsidRPr="00DD49BA" w:rsidRDefault="00A630F7" w:rsidP="002F2793">
      <w:pPr>
        <w:pStyle w:val="Pagrindinistekstas"/>
        <w:numPr>
          <w:ilvl w:val="0"/>
          <w:numId w:val="3"/>
        </w:numPr>
        <w:spacing w:after="0" w:line="360" w:lineRule="auto"/>
        <w:contextualSpacing/>
        <w:jc w:val="both"/>
        <w:rPr>
          <w:lang w:val="lt-LT"/>
        </w:rPr>
      </w:pPr>
      <w:r w:rsidRPr="00DD49BA">
        <w:rPr>
          <w:lang w:val="lt-LT"/>
        </w:rPr>
        <w:t>Tarpupirštinis;</w:t>
      </w:r>
    </w:p>
    <w:p w:rsidR="00A630F7" w:rsidRPr="00DD49BA" w:rsidRDefault="00A630F7" w:rsidP="002F2793">
      <w:pPr>
        <w:pStyle w:val="Pagrindinistekstas"/>
        <w:numPr>
          <w:ilvl w:val="0"/>
          <w:numId w:val="3"/>
        </w:numPr>
        <w:spacing w:after="0" w:line="360" w:lineRule="auto"/>
        <w:contextualSpacing/>
        <w:jc w:val="both"/>
        <w:rPr>
          <w:lang w:val="lt-LT"/>
        </w:rPr>
      </w:pPr>
      <w:r w:rsidRPr="00DD49BA">
        <w:rPr>
          <w:lang w:val="lt-LT"/>
        </w:rPr>
        <w:t>Plokštuminis;</w:t>
      </w:r>
    </w:p>
    <w:p w:rsidR="00A630F7" w:rsidRPr="00DD49BA" w:rsidRDefault="00A630F7" w:rsidP="002F2793">
      <w:pPr>
        <w:pStyle w:val="Pagrindinistekstas"/>
        <w:numPr>
          <w:ilvl w:val="0"/>
          <w:numId w:val="3"/>
        </w:numPr>
        <w:spacing w:after="0" w:line="360" w:lineRule="auto"/>
        <w:contextualSpacing/>
        <w:jc w:val="both"/>
        <w:rPr>
          <w:lang w:val="lt-LT"/>
        </w:rPr>
      </w:pPr>
      <w:r w:rsidRPr="00DD49BA">
        <w:rPr>
          <w:lang w:val="lt-LT"/>
        </w:rPr>
        <w:t>Žiupsninis</w:t>
      </w:r>
    </w:p>
    <w:p w:rsidR="00A630F7" w:rsidRPr="00DD49BA" w:rsidRDefault="00A630F7" w:rsidP="002F2793">
      <w:pPr>
        <w:pStyle w:val="Pagrindinistekstas"/>
        <w:numPr>
          <w:ilvl w:val="0"/>
          <w:numId w:val="3"/>
        </w:numPr>
        <w:spacing w:after="0" w:line="360" w:lineRule="auto"/>
        <w:contextualSpacing/>
        <w:jc w:val="both"/>
        <w:rPr>
          <w:lang w:val="lt-LT"/>
        </w:rPr>
      </w:pPr>
      <w:r w:rsidRPr="00DD49BA">
        <w:rPr>
          <w:lang w:val="lt-LT"/>
        </w:rPr>
        <w:t>Cilindrinis</w:t>
      </w:r>
    </w:p>
    <w:p w:rsidR="00A630F7" w:rsidRDefault="00A630F7" w:rsidP="002F2793">
      <w:pPr>
        <w:pStyle w:val="Pagrindinistekstas"/>
        <w:numPr>
          <w:ilvl w:val="0"/>
          <w:numId w:val="3"/>
        </w:numPr>
        <w:spacing w:after="0" w:line="360" w:lineRule="auto"/>
        <w:contextualSpacing/>
        <w:jc w:val="both"/>
        <w:rPr>
          <w:lang w:val="lt-LT"/>
        </w:rPr>
      </w:pPr>
      <w:r w:rsidRPr="00DD49BA">
        <w:rPr>
          <w:lang w:val="lt-LT"/>
        </w:rPr>
        <w:t>Sferinis</w:t>
      </w:r>
    </w:p>
    <w:p w:rsidR="0066266B" w:rsidRDefault="00A630F7" w:rsidP="002F2793">
      <w:pPr>
        <w:spacing w:after="0" w:line="36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Plaštaka turi sudėtingą kompleksinę struktūrą, kurią sudaro raumenys, sąnariai, fascijos, nervų skaidulos, kraujagyslės. Dėl tokio kompleksiškumo, ranka gali būti labai pažeidžiama. Plaštakos sritis dalijama į delno sritį ir delną. Pastaroji, viduryje delno yra stora ir vadinama delno sausplėve (angl. Aponeurosis palmaris). Ši sritis yra labiausiai apsaugota sausgyslių, kuri suteikia galimybių išvystyti griebimo jėgą. Esminiai judesių komponentai yra šie: dilbio atgręžimas ir nugręžimas, plaštakos atitraukimas ir pritraukimas</w:t>
      </w:r>
      <w:r w:rsidR="008048B5">
        <w:rPr>
          <w:rFonts w:ascii="Times New Roman" w:hAnsi="Times New Roman" w:cs="Times New Roman"/>
          <w:sz w:val="24"/>
          <w:szCs w:val="24"/>
        </w:rPr>
        <w:t>,</w:t>
      </w:r>
      <w:r>
        <w:rPr>
          <w:rFonts w:ascii="Times New Roman" w:hAnsi="Times New Roman" w:cs="Times New Roman"/>
          <w:sz w:val="24"/>
          <w:szCs w:val="24"/>
        </w:rPr>
        <w:t xml:space="preserve"> riešo tiesimas ir lenkimas, pirštų lenkimas ir tiesimas bei atitraukimas ir pritraukimas, nykščio atitraukimas ir pritraukimas</w:t>
      </w:r>
      <w:r w:rsidR="007920E0">
        <w:rPr>
          <w:rFonts w:ascii="Times New Roman" w:hAnsi="Times New Roman" w:cs="Times New Roman"/>
          <w:sz w:val="24"/>
          <w:szCs w:val="24"/>
        </w:rPr>
        <w:t xml:space="preserve">. </w:t>
      </w:r>
      <w:r>
        <w:rPr>
          <w:rFonts w:ascii="Times New Roman" w:hAnsi="Times New Roman" w:cs="Times New Roman"/>
          <w:sz w:val="24"/>
          <w:szCs w:val="24"/>
        </w:rPr>
        <w:t>Norint</w:t>
      </w:r>
      <w:r w:rsidRPr="00C10687">
        <w:rPr>
          <w:rFonts w:ascii="Times New Roman" w:hAnsi="Times New Roman" w:cs="Times New Roman"/>
          <w:sz w:val="24"/>
          <w:szCs w:val="24"/>
        </w:rPr>
        <w:t xml:space="preserve"> judinti pirštus (suimti daiktą), arčiau esantys sąnariai (riešo, alkūnės) turi būti stabilūs. Judesių metu susidaro harmoninga pusiausvyra tarp atskirų raumenų grupių tonuso. Dilbio lenkiamųjų ir tiesiamųjų, delno trumpųjų raumenų tonuso pusiausvyra susidaro tada, kai ranka yra funkcinėje padėtyje. Ramybės padėtyje ranka per riešo ir pirštų sąnarius būna šiek tiek sulenkta, nykštys </w:t>
      </w:r>
      <w:r w:rsidR="0066266B">
        <w:rPr>
          <w:rFonts w:ascii="Times New Roman" w:hAnsi="Times New Roman" w:cs="Times New Roman"/>
          <w:sz w:val="24"/>
          <w:szCs w:val="24"/>
        </w:rPr>
        <w:t>turi būti laisvas nuo metakarpofalanginio sąnario ir laisva nykščio opozicija prieš V pirštą</w:t>
      </w:r>
      <w:r w:rsidRPr="00C10687">
        <w:rPr>
          <w:rFonts w:ascii="Times New Roman" w:hAnsi="Times New Roman" w:cs="Times New Roman"/>
          <w:sz w:val="24"/>
          <w:szCs w:val="24"/>
        </w:rPr>
        <w:t>. Jei plaštakos su</w:t>
      </w:r>
      <w:r>
        <w:rPr>
          <w:rFonts w:ascii="Times New Roman" w:hAnsi="Times New Roman" w:cs="Times New Roman"/>
          <w:sz w:val="24"/>
          <w:szCs w:val="24"/>
        </w:rPr>
        <w:t>ž</w:t>
      </w:r>
      <w:r w:rsidRPr="00C10687">
        <w:rPr>
          <w:rFonts w:ascii="Times New Roman" w:hAnsi="Times New Roman" w:cs="Times New Roman"/>
          <w:sz w:val="24"/>
          <w:szCs w:val="24"/>
        </w:rPr>
        <w:t xml:space="preserve">alojimai ir ligos gydomi jos neimobilizavus funkcinėje padėtyje, tai ji savo mase sulenkia riešo sąnarį, pertempia tiesiamųjų raumenų sausgysles ir pirštai pasidaro nejudrūs, nykštys pritraukiamas, lėčiau ir sunkiau atsistato plaštakos funkcija. </w:t>
      </w:r>
      <w:r>
        <w:rPr>
          <w:rFonts w:ascii="Times New Roman" w:hAnsi="Times New Roman" w:cs="Times New Roman"/>
          <w:sz w:val="24"/>
          <w:szCs w:val="24"/>
        </w:rPr>
        <w:t>(31;19</w:t>
      </w:r>
      <w:r w:rsidR="0066266B">
        <w:rPr>
          <w:rFonts w:ascii="Times New Roman" w:hAnsi="Times New Roman" w:cs="Times New Roman"/>
          <w:sz w:val="24"/>
          <w:szCs w:val="24"/>
        </w:rPr>
        <w:t>;62</w:t>
      </w:r>
      <w:r>
        <w:rPr>
          <w:rFonts w:ascii="Times New Roman" w:hAnsi="Times New Roman" w:cs="Times New Roman"/>
          <w:sz w:val="24"/>
          <w:szCs w:val="24"/>
        </w:rPr>
        <w:t>)</w:t>
      </w:r>
      <w:r w:rsidRPr="00C10687">
        <w:rPr>
          <w:rFonts w:ascii="Times New Roman" w:hAnsi="Times New Roman" w:cs="Times New Roman"/>
          <w:sz w:val="24"/>
          <w:szCs w:val="24"/>
        </w:rPr>
        <w:t>.</w:t>
      </w:r>
      <w:r w:rsidR="00281974">
        <w:rPr>
          <w:rFonts w:ascii="Times New Roman" w:hAnsi="Times New Roman" w:cs="Times New Roman"/>
          <w:sz w:val="24"/>
          <w:szCs w:val="24"/>
        </w:rPr>
        <w:t xml:space="preserve"> </w:t>
      </w:r>
    </w:p>
    <w:p w:rsidR="00281974" w:rsidRPr="00C10687" w:rsidRDefault="00281974" w:rsidP="002F2793">
      <w:pPr>
        <w:spacing w:after="0" w:line="36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„Colles“ tipo lūžiams rekomenduojama riešo padėtis – neutrali fleksija, 20 – 30 laipsnių alkūninė deviacija. „Smith“ tipo lūžiams rekomenduojam</w:t>
      </w:r>
      <w:r w:rsidR="007920E0">
        <w:rPr>
          <w:rFonts w:ascii="Times New Roman" w:hAnsi="Times New Roman" w:cs="Times New Roman"/>
          <w:sz w:val="24"/>
          <w:szCs w:val="24"/>
        </w:rPr>
        <w:t>a</w:t>
      </w:r>
      <w:r>
        <w:rPr>
          <w:rFonts w:ascii="Times New Roman" w:hAnsi="Times New Roman" w:cs="Times New Roman"/>
          <w:sz w:val="24"/>
          <w:szCs w:val="24"/>
        </w:rPr>
        <w:t xml:space="preserve"> – riešo imobilizacija ekstenzinėje padėtyje, dilbis supinacijoje 45 – 60 laipsnių kartu imobilizuojant alkūnę</w:t>
      </w:r>
      <w:r w:rsidR="0066266B">
        <w:rPr>
          <w:rFonts w:ascii="Times New Roman" w:hAnsi="Times New Roman" w:cs="Times New Roman"/>
          <w:sz w:val="24"/>
          <w:szCs w:val="24"/>
        </w:rPr>
        <w:t xml:space="preserve"> (62)</w:t>
      </w:r>
      <w:r>
        <w:rPr>
          <w:rFonts w:ascii="Times New Roman" w:hAnsi="Times New Roman" w:cs="Times New Roman"/>
          <w:sz w:val="24"/>
          <w:szCs w:val="24"/>
        </w:rPr>
        <w:t xml:space="preserve">.  </w:t>
      </w:r>
    </w:p>
    <w:p w:rsidR="00A630F7" w:rsidRDefault="00A630F7" w:rsidP="002F2793">
      <w:pPr>
        <w:spacing w:after="0" w:line="360" w:lineRule="auto"/>
        <w:ind w:firstLine="720"/>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Kaulų lūžiai gali būti skirstomi pagal (24):</w:t>
      </w:r>
    </w:p>
    <w:p w:rsidR="00A630F7" w:rsidRDefault="00A630F7" w:rsidP="002F2793">
      <w:pPr>
        <w:pStyle w:val="Sraopastraipa"/>
        <w:numPr>
          <w:ilvl w:val="0"/>
          <w:numId w:val="6"/>
        </w:num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Minkštųjų audinių sužalojimus (atviri, uždari);</w:t>
      </w:r>
    </w:p>
    <w:p w:rsidR="00A630F7" w:rsidRDefault="00A630F7" w:rsidP="002F2793">
      <w:pPr>
        <w:pStyle w:val="Sraopastraipa"/>
        <w:numPr>
          <w:ilvl w:val="0"/>
          <w:numId w:val="6"/>
        </w:num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Lūžio linijos pobūdį (skersiniai, įstrižiniai, spiraliniai, skeveldriniai):</w:t>
      </w:r>
    </w:p>
    <w:p w:rsidR="00A630F7" w:rsidRDefault="00A630F7" w:rsidP="002F2793">
      <w:pPr>
        <w:pStyle w:val="Sraopastraipa"/>
        <w:numPr>
          <w:ilvl w:val="0"/>
          <w:numId w:val="8"/>
        </w:num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Skeveldriniai lūžiai skirstomi į segmentinius ir „plaštakės“ (angl. butterfly).</w:t>
      </w:r>
    </w:p>
    <w:p w:rsidR="00A630F7" w:rsidRDefault="00A630F7" w:rsidP="002F2793">
      <w:pPr>
        <w:pStyle w:val="Sraopastraipa"/>
        <w:numPr>
          <w:ilvl w:val="0"/>
          <w:numId w:val="6"/>
        </w:num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Lūžgalių dislokacijos pobūdį (be dislokacijos, su šonine, kampine, išilgine, rotacine dislokacija),</w:t>
      </w:r>
    </w:p>
    <w:p w:rsidR="00A630F7" w:rsidRDefault="00A630F7" w:rsidP="002F2793">
      <w:pPr>
        <w:pStyle w:val="Sraopastraipa"/>
        <w:numPr>
          <w:ilvl w:val="0"/>
          <w:numId w:val="6"/>
        </w:num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Gretutinius sužalojimus (su magistralinių arterijų ir venų, magistralinių nervų sužalojimu).</w:t>
      </w:r>
    </w:p>
    <w:p w:rsidR="00A630F7" w:rsidRDefault="00A630F7" w:rsidP="002F2793">
      <w:pPr>
        <w:spacing w:after="0" w:line="360" w:lineRule="auto"/>
        <w:ind w:firstLine="720"/>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Pagal sąnarių pažeidimą lūžiai skirstomi:</w:t>
      </w:r>
    </w:p>
    <w:p w:rsidR="00A630F7" w:rsidRDefault="00A630F7" w:rsidP="002F2793">
      <w:pPr>
        <w:pStyle w:val="Sraopastraipa"/>
        <w:numPr>
          <w:ilvl w:val="0"/>
          <w:numId w:val="7"/>
        </w:num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Ekstrasąnariniai lūžiai – tai lūžiai, kai nepažeidžiamas sąnarinis paviršius, dar gali būti skirstomi į:</w:t>
      </w:r>
    </w:p>
    <w:p w:rsidR="00A630F7" w:rsidRDefault="00A630F7" w:rsidP="002F2793">
      <w:pPr>
        <w:pStyle w:val="Sraopastraipa"/>
        <w:numPr>
          <w:ilvl w:val="0"/>
          <w:numId w:val="8"/>
        </w:num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Dalinai sąnariniai;</w:t>
      </w:r>
    </w:p>
    <w:p w:rsidR="00A630F7" w:rsidRDefault="00A630F7" w:rsidP="002F2793">
      <w:pPr>
        <w:pStyle w:val="Sraopastraipa"/>
        <w:numPr>
          <w:ilvl w:val="0"/>
          <w:numId w:val="8"/>
        </w:num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Pilnai sąnariniai;</w:t>
      </w:r>
    </w:p>
    <w:p w:rsidR="00A630F7" w:rsidRDefault="00A630F7" w:rsidP="002F2793">
      <w:pPr>
        <w:pStyle w:val="Sraopastraipa"/>
        <w:numPr>
          <w:ilvl w:val="0"/>
          <w:numId w:val="7"/>
        </w:num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Intrasąnariniai lūžiai – tai lūžiai, kai lūžimo linija eina per sąnarinį kaulo paviršių;</w:t>
      </w:r>
    </w:p>
    <w:p w:rsidR="00A630F7" w:rsidRDefault="00A630F7" w:rsidP="002F2793">
      <w:pPr>
        <w:spacing w:after="0" w:line="360" w:lineRule="auto"/>
        <w:ind w:firstLine="720"/>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Papildomi kaulų lūžiai gali būti skirstomi į (24):</w:t>
      </w:r>
    </w:p>
    <w:p w:rsidR="00A630F7" w:rsidRDefault="00A630F7" w:rsidP="002F2793">
      <w:pPr>
        <w:pStyle w:val="Sraopastraipa"/>
        <w:numPr>
          <w:ilvl w:val="0"/>
          <w:numId w:val="9"/>
        </w:num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Visiškus ir nevisiškus;</w:t>
      </w:r>
    </w:p>
    <w:p w:rsidR="00A630F7" w:rsidRDefault="00A630F7" w:rsidP="002F2793">
      <w:pPr>
        <w:pStyle w:val="Sraopastraipa"/>
        <w:numPr>
          <w:ilvl w:val="0"/>
          <w:numId w:val="9"/>
        </w:num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Stabilius ir nestabilius;</w:t>
      </w:r>
    </w:p>
    <w:p w:rsidR="00A630F7" w:rsidRDefault="00A630F7" w:rsidP="002F2793">
      <w:pPr>
        <w:pStyle w:val="Sraopastraipa"/>
        <w:numPr>
          <w:ilvl w:val="0"/>
          <w:numId w:val="9"/>
        </w:num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Atitraukiamieji (Avulsiniai) lūžiai;</w:t>
      </w:r>
    </w:p>
    <w:p w:rsidR="00A630F7" w:rsidRDefault="00A630F7" w:rsidP="002F2793">
      <w:pPr>
        <w:pStyle w:val="Sraopastraipa"/>
        <w:numPr>
          <w:ilvl w:val="0"/>
          <w:numId w:val="9"/>
        </w:num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Įkaltinis lūžis;</w:t>
      </w:r>
    </w:p>
    <w:p w:rsidR="00A630F7" w:rsidRDefault="00A630F7" w:rsidP="002F2793">
      <w:pPr>
        <w:pStyle w:val="Sraopastraipa"/>
        <w:numPr>
          <w:ilvl w:val="0"/>
          <w:numId w:val="9"/>
        </w:num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Kompresinis lūžis;</w:t>
      </w:r>
    </w:p>
    <w:p w:rsidR="00A630F7" w:rsidRDefault="00A630F7" w:rsidP="002F2793">
      <w:pPr>
        <w:pStyle w:val="Sraopastraipa"/>
        <w:numPr>
          <w:ilvl w:val="0"/>
          <w:numId w:val="9"/>
        </w:num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Pataloginiai lūžiai;</w:t>
      </w:r>
    </w:p>
    <w:p w:rsidR="002F2793" w:rsidRDefault="00A630F7" w:rsidP="002F2793">
      <w:pPr>
        <w:pStyle w:val="Sraopastraipa"/>
        <w:numPr>
          <w:ilvl w:val="0"/>
          <w:numId w:val="9"/>
        </w:num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Stresiniai lūžiai;</w:t>
      </w:r>
    </w:p>
    <w:p w:rsidR="007920E0" w:rsidRPr="002F2793" w:rsidRDefault="007920E0" w:rsidP="007920E0">
      <w:pPr>
        <w:pStyle w:val="Sraopastraipa"/>
        <w:spacing w:after="0" w:line="360" w:lineRule="auto"/>
        <w:jc w:val="both"/>
        <w:rPr>
          <w:rFonts w:ascii="Times New Roman" w:hAnsi="Times New Roman" w:cs="Times New Roman"/>
          <w:sz w:val="24"/>
          <w:szCs w:val="24"/>
          <w:shd w:val="clear" w:color="auto" w:fill="FFFFFF"/>
        </w:rPr>
      </w:pPr>
    </w:p>
    <w:p w:rsidR="00A630F7" w:rsidRDefault="00A630F7" w:rsidP="002F2793">
      <w:pPr>
        <w:spacing w:after="0" w:line="360" w:lineRule="auto"/>
        <w:ind w:firstLine="720"/>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Kaulų išnirimai skir</w:t>
      </w:r>
      <w:r w:rsidR="00194AA6">
        <w:rPr>
          <w:rFonts w:ascii="Times New Roman" w:hAnsi="Times New Roman" w:cs="Times New Roman"/>
          <w:sz w:val="24"/>
          <w:szCs w:val="24"/>
          <w:shd w:val="clear" w:color="auto" w:fill="FFFFFF"/>
        </w:rPr>
        <w:t>s</w:t>
      </w:r>
      <w:r>
        <w:rPr>
          <w:rFonts w:ascii="Times New Roman" w:hAnsi="Times New Roman" w:cs="Times New Roman"/>
          <w:sz w:val="24"/>
          <w:szCs w:val="24"/>
          <w:shd w:val="clear" w:color="auto" w:fill="FFFFFF"/>
        </w:rPr>
        <w:t>tomi pagal (24):</w:t>
      </w:r>
    </w:p>
    <w:p w:rsidR="00A630F7" w:rsidRDefault="00A630F7" w:rsidP="002F2793">
      <w:pPr>
        <w:pStyle w:val="Sraopastraipa"/>
        <w:numPr>
          <w:ilvl w:val="0"/>
          <w:numId w:val="12"/>
        </w:num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Lokalizaciją: dilbio kaulų, raktikaulio, žastikaulio. Išnyra distalinis kaulas, o ne sąnarys;</w:t>
      </w:r>
    </w:p>
    <w:p w:rsidR="00A630F7" w:rsidRDefault="00A630F7" w:rsidP="002F2793">
      <w:pPr>
        <w:pStyle w:val="Sraopastraipa"/>
        <w:numPr>
          <w:ilvl w:val="0"/>
          <w:numId w:val="12"/>
        </w:num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Distalinio kaulo dislokaciją, pvz.: priekinis, užpakalinis;</w:t>
      </w:r>
    </w:p>
    <w:p w:rsidR="00A630F7" w:rsidRPr="006F28CC" w:rsidRDefault="00A630F7" w:rsidP="002F2793">
      <w:pPr>
        <w:pStyle w:val="Sraopastraipa"/>
        <w:numPr>
          <w:ilvl w:val="0"/>
          <w:numId w:val="12"/>
        </w:num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Kitų struktūrų galimus sužalojimus: pvz. kartu su lūžiais ar nervų sužalojimais;</w:t>
      </w:r>
    </w:p>
    <w:p w:rsidR="00A630F7" w:rsidRDefault="00A630F7" w:rsidP="002F2793">
      <w:pPr>
        <w:spacing w:after="0" w:line="360" w:lineRule="auto"/>
        <w:ind w:firstLine="360"/>
        <w:contextualSpacing/>
        <w:jc w:val="both"/>
        <w:rPr>
          <w:rFonts w:ascii="Times New Roman" w:hAnsi="Times New Roman" w:cs="Times New Roman"/>
          <w:sz w:val="24"/>
          <w:szCs w:val="24"/>
          <w:shd w:val="clear" w:color="auto" w:fill="FFFFFF"/>
        </w:rPr>
      </w:pPr>
    </w:p>
    <w:p w:rsidR="00A630F7" w:rsidRPr="00FA7DEE" w:rsidRDefault="00FE58A0" w:rsidP="002F2793">
      <w:pPr>
        <w:pStyle w:val="Antrat2"/>
        <w:spacing w:before="0" w:line="360" w:lineRule="auto"/>
        <w:contextualSpacing/>
        <w:rPr>
          <w:rFonts w:ascii="Times New Roman" w:hAnsi="Times New Roman" w:cs="Times New Roman"/>
          <w:color w:val="auto"/>
          <w:sz w:val="28"/>
          <w:szCs w:val="28"/>
        </w:rPr>
      </w:pPr>
      <w:bookmarkStart w:id="13" w:name="_Toc388560328"/>
      <w:r w:rsidRPr="00FA7DEE">
        <w:rPr>
          <w:rFonts w:ascii="Times New Roman" w:hAnsi="Times New Roman" w:cs="Times New Roman"/>
          <w:color w:val="auto"/>
          <w:sz w:val="28"/>
          <w:szCs w:val="28"/>
        </w:rPr>
        <w:t xml:space="preserve">1.2 </w:t>
      </w:r>
      <w:r w:rsidR="00A630F7" w:rsidRPr="00FA7DEE">
        <w:rPr>
          <w:rFonts w:ascii="Times New Roman" w:hAnsi="Times New Roman" w:cs="Times New Roman"/>
          <w:color w:val="auto"/>
          <w:sz w:val="28"/>
          <w:szCs w:val="28"/>
        </w:rPr>
        <w:t>Stipinkaulio kaulo lūžių epidemiologija</w:t>
      </w:r>
      <w:bookmarkEnd w:id="13"/>
    </w:p>
    <w:p w:rsidR="002F2793" w:rsidRDefault="002F2793" w:rsidP="002F2793">
      <w:pPr>
        <w:spacing w:after="0" w:line="360" w:lineRule="auto"/>
        <w:contextualSpacing/>
        <w:jc w:val="both"/>
        <w:rPr>
          <w:rFonts w:ascii="Times New Roman" w:hAnsi="Times New Roman" w:cs="Times New Roman"/>
          <w:b/>
          <w:sz w:val="28"/>
          <w:szCs w:val="28"/>
        </w:rPr>
      </w:pPr>
    </w:p>
    <w:p w:rsidR="002F2793" w:rsidRDefault="00A630F7" w:rsidP="002F2793">
      <w:pPr>
        <w:spacing w:after="0" w:line="360" w:lineRule="auto"/>
        <w:ind w:firstLine="709"/>
        <w:contextualSpacing/>
        <w:jc w:val="both"/>
        <w:rPr>
          <w:rFonts w:ascii="Times New Roman" w:hAnsi="Times New Roman" w:cs="Times New Roman"/>
          <w:sz w:val="24"/>
          <w:szCs w:val="24"/>
          <w:shd w:val="clear" w:color="auto" w:fill="FFFFFF"/>
        </w:rPr>
      </w:pPr>
      <w:r w:rsidRPr="002D5CA0">
        <w:rPr>
          <w:rFonts w:ascii="Times New Roman" w:hAnsi="Times New Roman" w:cs="Times New Roman"/>
          <w:sz w:val="24"/>
          <w:szCs w:val="24"/>
          <w:shd w:val="clear" w:color="auto" w:fill="FFFFFF"/>
        </w:rPr>
        <w:t>Stipinkaulio distalinio galo lūžiai</w:t>
      </w:r>
      <w:r w:rsidRPr="002D5CA0">
        <w:rPr>
          <w:rStyle w:val="apple-converted-space"/>
          <w:b/>
          <w:bCs/>
          <w:shd w:val="clear" w:color="auto" w:fill="FFFFFF"/>
        </w:rPr>
        <w:t> </w:t>
      </w:r>
      <w:r w:rsidRPr="002D5CA0">
        <w:rPr>
          <w:rFonts w:ascii="Times New Roman" w:hAnsi="Times New Roman" w:cs="Times New Roman"/>
          <w:sz w:val="24"/>
          <w:szCs w:val="24"/>
          <w:shd w:val="clear" w:color="auto" w:fill="FFFFFF"/>
        </w:rPr>
        <w:t xml:space="preserve">yra vienas dažniausių kaulų ir raumenų sužalojimų. Jis sudaro apie 3 proc. visų rankos sužeidimų. Jungtinėse Amerikos Valstijose per metus </w:t>
      </w:r>
      <w:r>
        <w:rPr>
          <w:rFonts w:ascii="Times New Roman" w:hAnsi="Times New Roman" w:cs="Times New Roman"/>
          <w:sz w:val="24"/>
          <w:szCs w:val="24"/>
          <w:shd w:val="clear" w:color="auto" w:fill="FFFFFF"/>
        </w:rPr>
        <w:t>šių lūžių</w:t>
      </w:r>
      <w:r w:rsidRPr="002D5CA0">
        <w:rPr>
          <w:rFonts w:ascii="Times New Roman" w:hAnsi="Times New Roman" w:cs="Times New Roman"/>
          <w:sz w:val="24"/>
          <w:szCs w:val="24"/>
          <w:shd w:val="clear" w:color="auto" w:fill="FFFFFF"/>
        </w:rPr>
        <w:t xml:space="preserve"> įvykst</w:t>
      </w:r>
      <w:r>
        <w:rPr>
          <w:rFonts w:ascii="Times New Roman" w:hAnsi="Times New Roman" w:cs="Times New Roman"/>
          <w:sz w:val="24"/>
          <w:szCs w:val="24"/>
          <w:shd w:val="clear" w:color="auto" w:fill="FFFFFF"/>
        </w:rPr>
        <w:t xml:space="preserve">a maždaug 640 tūkst. Gyventojų, </w:t>
      </w:r>
      <w:r w:rsidRPr="002D5CA0">
        <w:rPr>
          <w:rFonts w:ascii="Times New Roman" w:hAnsi="Times New Roman" w:cs="Times New Roman"/>
          <w:sz w:val="24"/>
          <w:szCs w:val="24"/>
          <w:shd w:val="clear" w:color="auto" w:fill="FFFFFF"/>
        </w:rPr>
        <w:t>Suomijoje – 258 iš 100 tūkst. gyventojų, Didžiojoje Britanijoje – 36,8 atvejai 10 tūkst. moterų ir 9 atvejai 10 tūkst. vyrų, vyresnių nei 35 m., Olandijoje – 26 atvejai 10 tūkst. gyventojų per metus</w:t>
      </w:r>
      <w:r>
        <w:rPr>
          <w:rFonts w:ascii="Times New Roman" w:hAnsi="Times New Roman" w:cs="Times New Roman"/>
          <w:sz w:val="24"/>
          <w:szCs w:val="24"/>
          <w:shd w:val="clear" w:color="auto" w:fill="FFFFFF"/>
        </w:rPr>
        <w:t xml:space="preserve"> (3).</w:t>
      </w:r>
    </w:p>
    <w:p w:rsidR="002F2793" w:rsidRDefault="00A630F7" w:rsidP="002F2793">
      <w:pPr>
        <w:spacing w:after="0" w:line="360" w:lineRule="auto"/>
        <w:ind w:firstLine="709"/>
        <w:contextualSpacing/>
        <w:jc w:val="both"/>
        <w:rPr>
          <w:rFonts w:ascii="Times New Roman" w:hAnsi="Times New Roman" w:cs="Times New Roman"/>
          <w:sz w:val="24"/>
          <w:szCs w:val="24"/>
          <w:shd w:val="clear" w:color="auto" w:fill="FFFFFF"/>
        </w:rPr>
      </w:pPr>
      <w:r w:rsidRPr="00D52971">
        <w:rPr>
          <w:rFonts w:ascii="Times New Roman" w:hAnsi="Times New Roman" w:cs="Times New Roman"/>
          <w:sz w:val="24"/>
          <w:szCs w:val="24"/>
        </w:rPr>
        <w:lastRenderedPageBreak/>
        <w:t xml:space="preserve">Lietuvoje, Sveidros duomenimis, 2010 m. dėl SDGL hospitalizuoti 1375 pacientai (986 moterys ir 389 vyrai). Vyrų traumų skaičius </w:t>
      </w:r>
      <w:r>
        <w:rPr>
          <w:rFonts w:ascii="Times New Roman" w:hAnsi="Times New Roman" w:cs="Times New Roman"/>
          <w:sz w:val="24"/>
          <w:szCs w:val="24"/>
        </w:rPr>
        <w:t xml:space="preserve">nekinta. </w:t>
      </w:r>
      <w:r w:rsidRPr="00D52971">
        <w:rPr>
          <w:rFonts w:ascii="Times New Roman" w:hAnsi="Times New Roman" w:cs="Times New Roman"/>
          <w:sz w:val="24"/>
          <w:szCs w:val="24"/>
        </w:rPr>
        <w:t>Moterų traumų nuo 50–55 m. skaičius padvigubėj</w:t>
      </w:r>
      <w:r>
        <w:rPr>
          <w:rFonts w:ascii="Times New Roman" w:hAnsi="Times New Roman" w:cs="Times New Roman"/>
          <w:sz w:val="24"/>
          <w:szCs w:val="24"/>
        </w:rPr>
        <w:t>o</w:t>
      </w:r>
      <w:r w:rsidRPr="00D52971">
        <w:rPr>
          <w:rFonts w:ascii="Times New Roman" w:hAnsi="Times New Roman" w:cs="Times New Roman"/>
          <w:sz w:val="24"/>
          <w:szCs w:val="24"/>
        </w:rPr>
        <w:t xml:space="preserve"> (47 iki 99). Vyresnių moterų SDGL patogenezės pagrindas gali būti osteoporozė</w:t>
      </w:r>
      <w:r>
        <w:rPr>
          <w:rFonts w:ascii="Times New Roman" w:hAnsi="Times New Roman" w:cs="Times New Roman"/>
          <w:sz w:val="24"/>
          <w:szCs w:val="24"/>
        </w:rPr>
        <w:t xml:space="preserve"> (3</w:t>
      </w:r>
      <w:r w:rsidR="007E6E67">
        <w:rPr>
          <w:rFonts w:ascii="Times New Roman" w:hAnsi="Times New Roman" w:cs="Times New Roman"/>
          <w:sz w:val="24"/>
          <w:szCs w:val="24"/>
        </w:rPr>
        <w:t>,</w:t>
      </w:r>
      <w:r w:rsidR="003F683B">
        <w:rPr>
          <w:rFonts w:ascii="Times New Roman" w:hAnsi="Times New Roman" w:cs="Times New Roman"/>
          <w:sz w:val="24"/>
          <w:szCs w:val="24"/>
        </w:rPr>
        <w:t>61</w:t>
      </w:r>
      <w:r>
        <w:rPr>
          <w:rFonts w:ascii="Times New Roman" w:hAnsi="Times New Roman" w:cs="Times New Roman"/>
          <w:sz w:val="24"/>
          <w:szCs w:val="24"/>
        </w:rPr>
        <w:t>). Osteoporozės liga moterys pradeda sirgti sulaukusios 50 metų ir daugiau, pasitaiko 55</w:t>
      </w:r>
      <w:r w:rsidRPr="003E5367">
        <w:rPr>
          <w:rFonts w:ascii="Times New Roman" w:hAnsi="Times New Roman" w:cs="Times New Roman"/>
          <w:sz w:val="24"/>
          <w:szCs w:val="24"/>
        </w:rPr>
        <w:t>% moterų (21).</w:t>
      </w:r>
    </w:p>
    <w:p w:rsidR="002F2793" w:rsidRDefault="008048B5" w:rsidP="002F2793">
      <w:pPr>
        <w:spacing w:after="0" w:line="360" w:lineRule="auto"/>
        <w:ind w:firstLine="709"/>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rPr>
        <w:t>Antro laipsnio dilbio kaulų distalinės dalies</w:t>
      </w:r>
      <w:r w:rsidR="00A630F7">
        <w:rPr>
          <w:rFonts w:ascii="Times New Roman" w:hAnsi="Times New Roman" w:cs="Times New Roman"/>
          <w:sz w:val="24"/>
          <w:szCs w:val="24"/>
        </w:rPr>
        <w:t xml:space="preserve"> lūžius patyrusios moterys vidutiniškai sudaro 81,9 proc. visų asmenų. Su amžiumi vyrų bei moterų mažos traumos dilbio distalinės dalies lūžių dažnumas didėja ir didžiausias būna 65 ir vyresnių moterų (93,75 atvejai 10000 moterų per metus). Didėja ir mažos traumos dilbio dažnumo santykis tarp vyrų ir moterų: 35 – 49 m. amžiaus grupėse jis yra 1 : 1,3. 50 – 64 m. amžiaus grupėse – 1 : 4,1, o 65 m. ir vyresniųjų grupėje – 1 : 4,3, atitinkamai. Dažniausiai stebimas stipinkaulio lūžimas tipinėje vietoje (12). Nustatyta, jog 75 proc. pacientų, traumos priežastis yra kritimas iš stovimos p</w:t>
      </w:r>
      <w:r>
        <w:rPr>
          <w:rFonts w:ascii="Times New Roman" w:hAnsi="Times New Roman" w:cs="Times New Roman"/>
          <w:sz w:val="24"/>
          <w:szCs w:val="24"/>
        </w:rPr>
        <w:t>adėties</w:t>
      </w:r>
      <w:r w:rsidR="00A630F7">
        <w:rPr>
          <w:rFonts w:ascii="Times New Roman" w:hAnsi="Times New Roman" w:cs="Times New Roman"/>
          <w:sz w:val="24"/>
          <w:szCs w:val="24"/>
        </w:rPr>
        <w:t xml:space="preserve"> ir 13 proc. pacientų traumos priežastis sportinė trauma (13).</w:t>
      </w:r>
    </w:p>
    <w:p w:rsidR="00A630F7" w:rsidRPr="002F2793" w:rsidRDefault="00A630F7" w:rsidP="002F2793">
      <w:pPr>
        <w:spacing w:after="0" w:line="360" w:lineRule="auto"/>
        <w:ind w:firstLine="709"/>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rPr>
        <w:t>Tyrimų duomenimis nustatyta, jog vyresniems nei 65 metų amžiaus pacientams didėja tikimybė susirgti osteopenij</w:t>
      </w:r>
      <w:r w:rsidR="008048B5">
        <w:rPr>
          <w:rFonts w:ascii="Times New Roman" w:hAnsi="Times New Roman" w:cs="Times New Roman"/>
          <w:sz w:val="24"/>
          <w:szCs w:val="24"/>
        </w:rPr>
        <w:t>a</w:t>
      </w:r>
      <w:r>
        <w:rPr>
          <w:rFonts w:ascii="Times New Roman" w:hAnsi="Times New Roman" w:cs="Times New Roman"/>
          <w:sz w:val="24"/>
          <w:szCs w:val="24"/>
        </w:rPr>
        <w:t xml:space="preserve">, patyrusiems tolimojo stipinkaulio galo lūžius (13). </w:t>
      </w:r>
      <w:r w:rsidR="005F05E7">
        <w:rPr>
          <w:rFonts w:ascii="Times New Roman" w:hAnsi="Times New Roman" w:cs="Times New Roman"/>
          <w:sz w:val="24"/>
          <w:szCs w:val="24"/>
        </w:rPr>
        <w:t>Nustatyta, kad lūžiams būdingas bimodalinis pasiskirstymas pagal amžių ir lytį (44).</w:t>
      </w:r>
    </w:p>
    <w:p w:rsidR="00A334B5" w:rsidRDefault="00A334B5" w:rsidP="002F2793">
      <w:pPr>
        <w:spacing w:after="0" w:line="360" w:lineRule="auto"/>
        <w:ind w:firstLine="1296"/>
        <w:contextualSpacing/>
        <w:jc w:val="both"/>
        <w:rPr>
          <w:rFonts w:ascii="Times New Roman" w:hAnsi="Times New Roman" w:cs="Times New Roman"/>
          <w:sz w:val="24"/>
          <w:szCs w:val="24"/>
        </w:rPr>
      </w:pPr>
    </w:p>
    <w:p w:rsidR="00A630F7" w:rsidRPr="00FA7DEE" w:rsidRDefault="00FE58A0" w:rsidP="002F2793">
      <w:pPr>
        <w:pStyle w:val="Antrat2"/>
        <w:spacing w:before="0" w:line="360" w:lineRule="auto"/>
        <w:contextualSpacing/>
        <w:rPr>
          <w:rFonts w:ascii="Times New Roman" w:hAnsi="Times New Roman" w:cs="Times New Roman"/>
          <w:color w:val="auto"/>
          <w:sz w:val="28"/>
          <w:szCs w:val="28"/>
          <w:shd w:val="clear" w:color="auto" w:fill="FFFFFF"/>
        </w:rPr>
      </w:pPr>
      <w:bookmarkStart w:id="14" w:name="_Toc388560329"/>
      <w:r w:rsidRPr="00FA7DEE">
        <w:rPr>
          <w:rFonts w:ascii="Times New Roman" w:hAnsi="Times New Roman" w:cs="Times New Roman"/>
          <w:color w:val="auto"/>
          <w:sz w:val="28"/>
          <w:szCs w:val="28"/>
          <w:shd w:val="clear" w:color="auto" w:fill="FFFFFF"/>
        </w:rPr>
        <w:t xml:space="preserve">1.3 </w:t>
      </w:r>
      <w:r w:rsidR="00A630F7" w:rsidRPr="00FA7DEE">
        <w:rPr>
          <w:rFonts w:ascii="Times New Roman" w:hAnsi="Times New Roman" w:cs="Times New Roman"/>
          <w:color w:val="auto"/>
          <w:sz w:val="28"/>
          <w:szCs w:val="28"/>
          <w:shd w:val="clear" w:color="auto" w:fill="FFFFFF"/>
        </w:rPr>
        <w:t>Stipinkaulio tolimojo galo kaulo lūžių etiologija</w:t>
      </w:r>
      <w:bookmarkEnd w:id="14"/>
    </w:p>
    <w:p w:rsidR="002F2793" w:rsidRDefault="002F2793" w:rsidP="002F2793">
      <w:pPr>
        <w:spacing w:after="0" w:line="360" w:lineRule="auto"/>
        <w:contextualSpacing/>
        <w:jc w:val="both"/>
        <w:rPr>
          <w:rFonts w:ascii="Times New Roman" w:hAnsi="Times New Roman" w:cs="Times New Roman"/>
          <w:b/>
          <w:sz w:val="28"/>
          <w:szCs w:val="28"/>
          <w:shd w:val="clear" w:color="auto" w:fill="FFFFFF"/>
        </w:rPr>
      </w:pPr>
    </w:p>
    <w:p w:rsidR="002F2793" w:rsidRDefault="00A630F7" w:rsidP="002F2793">
      <w:pPr>
        <w:spacing w:after="0" w:line="360" w:lineRule="auto"/>
        <w:ind w:firstLine="709"/>
        <w:contextualSpacing/>
        <w:jc w:val="both"/>
        <w:rPr>
          <w:rFonts w:ascii="Times New Roman" w:hAnsi="Times New Roman" w:cs="Times New Roman"/>
          <w:sz w:val="24"/>
          <w:szCs w:val="24"/>
          <w:shd w:val="clear" w:color="auto" w:fill="FFFFFF"/>
        </w:rPr>
      </w:pPr>
      <w:r w:rsidRPr="002D5CA0">
        <w:rPr>
          <w:rFonts w:ascii="Times New Roman" w:hAnsi="Times New Roman" w:cs="Times New Roman"/>
          <w:sz w:val="24"/>
          <w:szCs w:val="24"/>
          <w:shd w:val="clear" w:color="auto" w:fill="FFFFFF"/>
        </w:rPr>
        <w:t xml:space="preserve">Dvi pagrindinės grupės pacientų, kuriems įvyksta </w:t>
      </w:r>
      <w:r>
        <w:rPr>
          <w:rFonts w:ascii="Times New Roman" w:hAnsi="Times New Roman" w:cs="Times New Roman"/>
          <w:sz w:val="24"/>
          <w:szCs w:val="24"/>
          <w:shd w:val="clear" w:color="auto" w:fill="FFFFFF"/>
        </w:rPr>
        <w:t>stipinkaulio distalinio galo lūžiai</w:t>
      </w:r>
      <w:r w:rsidRPr="002D5CA0">
        <w:rPr>
          <w:rFonts w:ascii="Times New Roman" w:hAnsi="Times New Roman" w:cs="Times New Roman"/>
          <w:sz w:val="24"/>
          <w:szCs w:val="24"/>
          <w:shd w:val="clear" w:color="auto" w:fill="FFFFFF"/>
        </w:rPr>
        <w:t>, yra šios: didelės energijos traumos daugiausia jaunesniems vyrams nuo 5 iki 24 m. amžiaus bei mažos energijos lūžiai dėl sumažėjusio kaulų tankio vyresnėms moterims &gt; 50 m. Dažniausias traumos mechanizmas – pasirėmimas delnu ištiesta ranka per alkūnę griūnant</w:t>
      </w:r>
      <w:r>
        <w:rPr>
          <w:rFonts w:ascii="Times New Roman" w:hAnsi="Times New Roman" w:cs="Times New Roman"/>
          <w:sz w:val="24"/>
          <w:szCs w:val="24"/>
          <w:shd w:val="clear" w:color="auto" w:fill="FFFFFF"/>
        </w:rPr>
        <w:t xml:space="preserve"> (3).</w:t>
      </w:r>
    </w:p>
    <w:p w:rsidR="006D60EC" w:rsidRDefault="00A630F7" w:rsidP="002F2793">
      <w:pPr>
        <w:spacing w:after="0" w:line="360" w:lineRule="auto"/>
        <w:ind w:firstLine="709"/>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Tyrimų duomenimis, yra nenustatytų priežasčių, kai po tolimojo stipinkaulio galo lūžio, kaulas nustoja fiziškai bręsti</w:t>
      </w:r>
      <w:r w:rsidR="007920E0">
        <w:rPr>
          <w:rFonts w:ascii="Times New Roman" w:hAnsi="Times New Roman" w:cs="Times New Roman"/>
          <w:sz w:val="24"/>
          <w:szCs w:val="24"/>
          <w:shd w:val="clear" w:color="auto" w:fill="FFFFFF"/>
        </w:rPr>
        <w:t>. Po lūžio atstatomos funkcijos,</w:t>
      </w:r>
      <w:r>
        <w:rPr>
          <w:rFonts w:ascii="Times New Roman" w:hAnsi="Times New Roman" w:cs="Times New Roman"/>
          <w:sz w:val="24"/>
          <w:szCs w:val="24"/>
          <w:shd w:val="clear" w:color="auto" w:fill="FFFFFF"/>
        </w:rPr>
        <w:t xml:space="preserve"> </w:t>
      </w:r>
      <w:r w:rsidR="007920E0">
        <w:rPr>
          <w:rFonts w:ascii="Times New Roman" w:hAnsi="Times New Roman" w:cs="Times New Roman"/>
          <w:sz w:val="24"/>
          <w:szCs w:val="24"/>
          <w:shd w:val="clear" w:color="auto" w:fill="FFFFFF"/>
        </w:rPr>
        <w:t>t</w:t>
      </w:r>
      <w:r>
        <w:rPr>
          <w:rFonts w:ascii="Times New Roman" w:hAnsi="Times New Roman" w:cs="Times New Roman"/>
          <w:sz w:val="24"/>
          <w:szCs w:val="24"/>
          <w:shd w:val="clear" w:color="auto" w:fill="FFFFFF"/>
        </w:rPr>
        <w:t>ačiau po kurio laiko atsiranda skausmas bei lengva riešo deformacija. Dar po kurio laiko formuojasi tolimojo stipinkaulio galo epifizės deformacijos. Atlikta kranioplastikos bei osteotomijos operacijos nesuteikia galimybių kaului toliau bręsti. Nors pagerėja lenkimas bei tiesimas, tačiau ulnarinis ir radialinis nukrypimai išlieka su ribota judesių amplitude (10).</w:t>
      </w:r>
    </w:p>
    <w:p w:rsidR="00844D59" w:rsidRDefault="00844D59" w:rsidP="002F2793">
      <w:pPr>
        <w:spacing w:after="0" w:line="360" w:lineRule="auto"/>
        <w:ind w:firstLine="1296"/>
        <w:contextualSpacing/>
        <w:jc w:val="both"/>
        <w:rPr>
          <w:rFonts w:ascii="Times New Roman" w:hAnsi="Times New Roman" w:cs="Times New Roman"/>
          <w:sz w:val="24"/>
          <w:szCs w:val="24"/>
          <w:shd w:val="clear" w:color="auto" w:fill="FFFFFF"/>
        </w:rPr>
      </w:pPr>
    </w:p>
    <w:p w:rsidR="00A630F7" w:rsidRPr="00FA7DEE" w:rsidRDefault="00FE58A0" w:rsidP="002F2793">
      <w:pPr>
        <w:pStyle w:val="Antrat2"/>
        <w:spacing w:before="0" w:line="360" w:lineRule="auto"/>
        <w:contextualSpacing/>
        <w:rPr>
          <w:rFonts w:ascii="Times New Roman" w:hAnsi="Times New Roman" w:cs="Times New Roman"/>
          <w:color w:val="auto"/>
          <w:sz w:val="28"/>
          <w:szCs w:val="28"/>
        </w:rPr>
      </w:pPr>
      <w:bookmarkStart w:id="15" w:name="_Toc388560330"/>
      <w:r w:rsidRPr="00FA7DEE">
        <w:rPr>
          <w:rFonts w:ascii="Times New Roman" w:hAnsi="Times New Roman" w:cs="Times New Roman"/>
          <w:color w:val="auto"/>
          <w:sz w:val="28"/>
          <w:szCs w:val="28"/>
        </w:rPr>
        <w:t xml:space="preserve">1.4 </w:t>
      </w:r>
      <w:r w:rsidR="00A630F7" w:rsidRPr="00FA7DEE">
        <w:rPr>
          <w:rFonts w:ascii="Times New Roman" w:hAnsi="Times New Roman" w:cs="Times New Roman"/>
          <w:color w:val="auto"/>
          <w:sz w:val="28"/>
          <w:szCs w:val="28"/>
        </w:rPr>
        <w:t>Tolimojo stipinkaulio galo anatomija</w:t>
      </w:r>
      <w:bookmarkEnd w:id="15"/>
    </w:p>
    <w:p w:rsidR="00844D59" w:rsidRPr="00623B62" w:rsidRDefault="00844D59" w:rsidP="002F2793">
      <w:pPr>
        <w:pStyle w:val="Pagrindinistekstas"/>
        <w:spacing w:after="0" w:line="360" w:lineRule="auto"/>
        <w:contextualSpacing/>
        <w:jc w:val="both"/>
        <w:rPr>
          <w:b/>
          <w:sz w:val="28"/>
          <w:szCs w:val="28"/>
          <w:lang w:val="lt-LT"/>
        </w:rPr>
      </w:pPr>
    </w:p>
    <w:p w:rsidR="00FA7DEE" w:rsidRDefault="00A630F7" w:rsidP="002F2793">
      <w:pPr>
        <w:pStyle w:val="Pagrindinistekstas"/>
        <w:spacing w:after="0" w:line="360" w:lineRule="auto"/>
        <w:ind w:firstLine="720"/>
        <w:contextualSpacing/>
        <w:jc w:val="both"/>
        <w:rPr>
          <w:lang w:val="lt-LT"/>
        </w:rPr>
      </w:pPr>
      <w:r>
        <w:rPr>
          <w:lang w:val="lt-LT"/>
        </w:rPr>
        <w:t>Tolimojo stipinkaulio epifizė yra plati ir tvirta. Jo galinis paviršius vadinamas riešiniu sąnariniu paviršiumi, kuris yra skirtas sunerti su riešu. Tolimosios epifizės vidiniame šone yra alkūnkaulinė įlanka, o išoriniame šone – stipinkaulio ylinė atauga.</w:t>
      </w:r>
      <w:r w:rsidR="00CE4D99">
        <w:rPr>
          <w:lang w:val="lt-LT"/>
        </w:rPr>
        <w:t xml:space="preserve"> </w:t>
      </w:r>
      <w:r>
        <w:rPr>
          <w:lang w:val="lt-LT"/>
        </w:rPr>
        <w:t xml:space="preserve">Tolimasis stipinkaulinis alkūnkaulio sąnarys, sudarytas iš alkūnkaulio galvos sąnarinio apvado, stipinkaulio alkūnkaulinės įlankos ir sąnarinio disko. </w:t>
      </w:r>
      <w:r>
        <w:rPr>
          <w:lang w:val="lt-LT"/>
        </w:rPr>
        <w:lastRenderedPageBreak/>
        <w:t xml:space="preserve">Pusės apskritimo sąnarinis apvadas įeina į seklią alkūnkaulinę įlanką. Iš apačios šį sąnarį uždaro ir jį atskiria nuo riešo trikampis sąnarinis diskas. Jo sustorėjęs pagrindas suaugęs su stipinkaulio alkūnkaulinės įlankos apatiniu kraštu, o viršūnė </w:t>
      </w:r>
      <w:r w:rsidR="00FA7DEE">
        <w:rPr>
          <w:lang w:val="lt-LT"/>
        </w:rPr>
        <w:t>– su stipinkaulio yline atauga.</w:t>
      </w:r>
    </w:p>
    <w:p w:rsidR="00FA7DEE" w:rsidRDefault="00A630F7" w:rsidP="002F2793">
      <w:pPr>
        <w:pStyle w:val="Pagrindinistekstas"/>
        <w:spacing w:after="0" w:line="360" w:lineRule="auto"/>
        <w:ind w:firstLine="720"/>
        <w:contextualSpacing/>
        <w:jc w:val="both"/>
        <w:rPr>
          <w:lang w:val="lt-LT"/>
        </w:rPr>
      </w:pPr>
      <w:r>
        <w:rPr>
          <w:lang w:val="lt-LT"/>
        </w:rPr>
        <w:t>Riešą su dilbiu jungia stipinkaulinis riešo sąnarys, o riešakaulius – tarpriešakauliniai sąnariai. Sąnarinė jungtis su dilbiu anatomiškai yra atskirta nuo tarpriešakaulinių jungčių, tačiau jos yra vieningos funkciškai, nes kartu veikdamos padidina plaštakos judesių amplitu</w:t>
      </w:r>
      <w:r w:rsidR="00FA7DEE">
        <w:rPr>
          <w:lang w:val="lt-LT"/>
        </w:rPr>
        <w:t>dę ir jos judėjimo laisvę (26).</w:t>
      </w:r>
    </w:p>
    <w:p w:rsidR="00A630F7" w:rsidRDefault="00A630F7" w:rsidP="002F2793">
      <w:pPr>
        <w:pStyle w:val="Pagrindinistekstas"/>
        <w:spacing w:after="0" w:line="360" w:lineRule="auto"/>
        <w:ind w:firstLine="720"/>
        <w:contextualSpacing/>
        <w:jc w:val="both"/>
        <w:rPr>
          <w:lang w:val="lt-LT"/>
        </w:rPr>
      </w:pPr>
      <w:r>
        <w:rPr>
          <w:lang w:val="lt-LT"/>
        </w:rPr>
        <w:t>Stipinkaulinis riešo sąnarys, jungia tolimąjį stipinkaulio galą ir 3 artimosios eilės riešakaulius: laivelį, mėnulį ir trikampį. Elipsinės sąnarinės duobės didesnę dalį sudaro stipinkaulio riešinis sąnarinis paviršius, mažesnę dalį – sąnarinis diskas, atskiriantis šį sąnarį nuo tolimojo stipinkaulinio alkūnkaulio sąnario. Sąnarinę galvą sudaro artimieji laivelio, mėnulio ir trikampio paviršiai. Stipinkaulinio alkūnkaulio sąnarys yra rotacinis sąnarys, leidžiantis dilbio nugręžimą (pronaciją) ir atgrežimą (supinaciją) (15).</w:t>
      </w:r>
    </w:p>
    <w:p w:rsidR="00A630F7" w:rsidRPr="00DD49BA" w:rsidRDefault="00A630F7" w:rsidP="002F2793">
      <w:pPr>
        <w:pStyle w:val="Pagrindinistekstas"/>
        <w:spacing w:after="0" w:line="360" w:lineRule="auto"/>
        <w:ind w:left="720" w:firstLine="576"/>
        <w:contextualSpacing/>
        <w:jc w:val="both"/>
        <w:rPr>
          <w:lang w:val="lt-LT"/>
        </w:rPr>
      </w:pPr>
    </w:p>
    <w:p w:rsidR="00A630F7" w:rsidRDefault="00FE58A0" w:rsidP="002F2793">
      <w:pPr>
        <w:pStyle w:val="Antrat2"/>
        <w:spacing w:before="0" w:line="360" w:lineRule="auto"/>
        <w:contextualSpacing/>
        <w:rPr>
          <w:rFonts w:ascii="Times New Roman" w:hAnsi="Times New Roman" w:cs="Times New Roman"/>
          <w:color w:val="auto"/>
          <w:sz w:val="28"/>
          <w:szCs w:val="28"/>
          <w:shd w:val="clear" w:color="auto" w:fill="FFFFFF"/>
        </w:rPr>
      </w:pPr>
      <w:bookmarkStart w:id="16" w:name="_Toc388560331"/>
      <w:r w:rsidRPr="00FA7DEE">
        <w:rPr>
          <w:rFonts w:ascii="Times New Roman" w:hAnsi="Times New Roman" w:cs="Times New Roman"/>
          <w:color w:val="auto"/>
          <w:sz w:val="28"/>
          <w:szCs w:val="28"/>
          <w:shd w:val="clear" w:color="auto" w:fill="FFFFFF"/>
        </w:rPr>
        <w:t xml:space="preserve">1.5 </w:t>
      </w:r>
      <w:r w:rsidR="00A630F7" w:rsidRPr="00FA7DEE">
        <w:rPr>
          <w:rFonts w:ascii="Times New Roman" w:hAnsi="Times New Roman" w:cs="Times New Roman"/>
          <w:color w:val="auto"/>
          <w:sz w:val="28"/>
          <w:szCs w:val="28"/>
          <w:shd w:val="clear" w:color="auto" w:fill="FFFFFF"/>
        </w:rPr>
        <w:t>Stipinkaulio lūžio mechanizmas</w:t>
      </w:r>
      <w:bookmarkEnd w:id="16"/>
    </w:p>
    <w:p w:rsidR="002F2793" w:rsidRDefault="002F2793" w:rsidP="002F2793">
      <w:pPr>
        <w:spacing w:after="0" w:line="360" w:lineRule="auto"/>
        <w:contextualSpacing/>
        <w:jc w:val="both"/>
      </w:pPr>
    </w:p>
    <w:p w:rsidR="00A630F7" w:rsidRDefault="00A630F7" w:rsidP="002F2793">
      <w:pPr>
        <w:spacing w:after="0" w:line="360" w:lineRule="auto"/>
        <w:ind w:firstLine="709"/>
        <w:contextualSpacing/>
        <w:jc w:val="both"/>
        <w:rPr>
          <w:rFonts w:ascii="Times New Roman" w:hAnsi="Times New Roman" w:cs="Times New Roman"/>
          <w:sz w:val="24"/>
          <w:szCs w:val="24"/>
        </w:rPr>
      </w:pPr>
      <w:r w:rsidRPr="004E231E">
        <w:rPr>
          <w:rFonts w:ascii="Times New Roman" w:hAnsi="Times New Roman" w:cs="Times New Roman"/>
          <w:sz w:val="24"/>
          <w:szCs w:val="24"/>
          <w:shd w:val="clear" w:color="auto" w:fill="FFFFFF"/>
        </w:rPr>
        <w:t>Traumos mechanizmas gali būti linkimo, suspaudimo, lūžimo ir suk</w:t>
      </w:r>
      <w:r w:rsidR="00907A48">
        <w:rPr>
          <w:rFonts w:ascii="Times New Roman" w:hAnsi="Times New Roman" w:cs="Times New Roman"/>
          <w:sz w:val="24"/>
          <w:szCs w:val="24"/>
          <w:shd w:val="clear" w:color="auto" w:fill="FFFFFF"/>
        </w:rPr>
        <w:t>i</w:t>
      </w:r>
      <w:r w:rsidRPr="004E231E">
        <w:rPr>
          <w:rFonts w:ascii="Times New Roman" w:hAnsi="Times New Roman" w:cs="Times New Roman"/>
          <w:sz w:val="24"/>
          <w:szCs w:val="24"/>
          <w:shd w:val="clear" w:color="auto" w:fill="FFFFFF"/>
        </w:rPr>
        <w:t xml:space="preserve">mo jėgų darinys. Tolimojo stipinkaulio galo lūžiai skirstomi: </w:t>
      </w:r>
      <w:r w:rsidRPr="004E231E">
        <w:rPr>
          <w:rFonts w:ascii="Times New Roman" w:hAnsi="Times New Roman" w:cs="Times New Roman"/>
          <w:sz w:val="24"/>
          <w:szCs w:val="24"/>
        </w:rPr>
        <w:t>Smith lūžiai; Colles lūžiai; Barton dorsaliniai lūžiai; Barton volariniai lūžiai;</w:t>
      </w:r>
      <w:r>
        <w:rPr>
          <w:rFonts w:ascii="Times New Roman" w:hAnsi="Times New Roman" w:cs="Times New Roman"/>
          <w:sz w:val="24"/>
          <w:szCs w:val="24"/>
        </w:rPr>
        <w:t xml:space="preserve"> Hutchinson lūžiai (16).</w:t>
      </w:r>
    </w:p>
    <w:p w:rsidR="00FA7DEE" w:rsidRPr="004E231E" w:rsidRDefault="00FA7DEE" w:rsidP="002F2793">
      <w:pPr>
        <w:spacing w:after="0" w:line="360" w:lineRule="auto"/>
        <w:ind w:firstLine="1296"/>
        <w:contextualSpacing/>
        <w:jc w:val="both"/>
        <w:rPr>
          <w:rFonts w:ascii="Times New Roman" w:hAnsi="Times New Roman" w:cs="Times New Roman"/>
          <w:sz w:val="24"/>
          <w:szCs w:val="24"/>
        </w:rPr>
      </w:pPr>
    </w:p>
    <w:p w:rsidR="002F2793" w:rsidRDefault="002F2793" w:rsidP="002F2793">
      <w:pPr>
        <w:spacing w:after="0" w:line="360" w:lineRule="auto"/>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COLLES LŪŽIAI</w:t>
      </w:r>
    </w:p>
    <w:p w:rsidR="00A630F7" w:rsidRPr="002F2793" w:rsidRDefault="00A630F7" w:rsidP="002F2793">
      <w:pPr>
        <w:spacing w:after="0" w:line="360" w:lineRule="auto"/>
        <w:ind w:firstLine="851"/>
        <w:contextualSpacing/>
        <w:jc w:val="both"/>
        <w:rPr>
          <w:rFonts w:ascii="Times New Roman" w:hAnsi="Times New Roman" w:cs="Times New Roman"/>
          <w:sz w:val="28"/>
          <w:szCs w:val="28"/>
          <w:shd w:val="clear" w:color="auto" w:fill="FFFFFF"/>
        </w:rPr>
      </w:pPr>
      <w:r>
        <w:rPr>
          <w:rFonts w:ascii="Times New Roman" w:hAnsi="Times New Roman" w:cs="Times New Roman"/>
          <w:sz w:val="24"/>
          <w:szCs w:val="24"/>
          <w:shd w:val="clear" w:color="auto" w:fill="FFFFFF"/>
        </w:rPr>
        <w:t>Tai dažniausiai pasitaikantys tolimojo stipinkaulio galo lūžiai. Trauma įvyksta krentant ant atverstos plaštakos pusės, lūži</w:t>
      </w:r>
      <w:r w:rsidR="003212BB">
        <w:rPr>
          <w:rFonts w:ascii="Times New Roman" w:hAnsi="Times New Roman" w:cs="Times New Roman"/>
          <w:sz w:val="24"/>
          <w:szCs w:val="24"/>
          <w:shd w:val="clear" w:color="auto" w:fill="FFFFFF"/>
        </w:rPr>
        <w:t>o</w:t>
      </w:r>
      <w:r>
        <w:rPr>
          <w:rFonts w:ascii="Times New Roman" w:hAnsi="Times New Roman" w:cs="Times New Roman"/>
          <w:sz w:val="24"/>
          <w:szCs w:val="24"/>
          <w:shd w:val="clear" w:color="auto" w:fill="FFFFFF"/>
        </w:rPr>
        <w:t xml:space="preserve"> linija paprastai eina 2 – 3 cm nuo proksimalinio stipinkaulio galo. Stipinkaulio nugarinis (dorsalinis) kampas panašus į „šakutės“ deformaciją, rentgeno nuotraukoje žiūrint iš šono paprastai matoma alkūnkaulio ylinės ataugos plyšimas (33). Lūžgalių distalinis galas dislokuojamas į ekstenzorių pusę, išryškėja alkūnkaulio kontūras (16)</w:t>
      </w:r>
      <w:r w:rsidR="003E5AD1">
        <w:rPr>
          <w:rFonts w:ascii="Times New Roman" w:hAnsi="Times New Roman" w:cs="Times New Roman"/>
          <w:sz w:val="24"/>
          <w:szCs w:val="24"/>
          <w:shd w:val="clear" w:color="auto" w:fill="FFFFFF"/>
        </w:rPr>
        <w:t xml:space="preserve"> (II priedas, 1 pav.)</w:t>
      </w:r>
      <w:r>
        <w:rPr>
          <w:rFonts w:ascii="Times New Roman" w:hAnsi="Times New Roman" w:cs="Times New Roman"/>
          <w:sz w:val="24"/>
          <w:szCs w:val="24"/>
          <w:shd w:val="clear" w:color="auto" w:fill="FFFFFF"/>
        </w:rPr>
        <w:t>.</w:t>
      </w:r>
    </w:p>
    <w:p w:rsidR="00FA7DEE" w:rsidRDefault="00FA7DEE" w:rsidP="002F2793">
      <w:pPr>
        <w:spacing w:after="0" w:line="360" w:lineRule="auto"/>
        <w:ind w:firstLine="1296"/>
        <w:contextualSpacing/>
        <w:jc w:val="both"/>
        <w:rPr>
          <w:rFonts w:ascii="Times New Roman" w:hAnsi="Times New Roman" w:cs="Times New Roman"/>
          <w:sz w:val="24"/>
          <w:szCs w:val="24"/>
          <w:shd w:val="clear" w:color="auto" w:fill="FFFFFF"/>
        </w:rPr>
      </w:pPr>
    </w:p>
    <w:p w:rsidR="002F2793" w:rsidRDefault="00A630F7" w:rsidP="002F2793">
      <w:pPr>
        <w:spacing w:after="0" w:line="360" w:lineRule="auto"/>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SMITH LŪŽIAI</w:t>
      </w:r>
    </w:p>
    <w:p w:rsidR="00A630F7" w:rsidRPr="002F2793" w:rsidRDefault="00A630F7" w:rsidP="002F2793">
      <w:pPr>
        <w:spacing w:after="0" w:line="360" w:lineRule="auto"/>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4"/>
          <w:szCs w:val="24"/>
          <w:shd w:val="clear" w:color="auto" w:fill="FFFFFF"/>
        </w:rPr>
        <w:t>Trauma įvyksta krentant ant atvestos į šalį rankos, remiantis į pagrindą nugariniu plaštakos paviršiumi. Ši trauma įvyksta rečiau nei Colles lūžiai. Tolimesnieji lūžio fragmentai pasislenka į lenkėjų raumenų pusę su palmariniu stipinkaulio galo pakrypimu (16)</w:t>
      </w:r>
      <w:r w:rsidR="003E5AD1">
        <w:rPr>
          <w:rFonts w:ascii="Times New Roman" w:hAnsi="Times New Roman" w:cs="Times New Roman"/>
          <w:sz w:val="24"/>
          <w:szCs w:val="24"/>
          <w:shd w:val="clear" w:color="auto" w:fill="FFFFFF"/>
        </w:rPr>
        <w:t xml:space="preserve"> (II priedas, 2 pav.)</w:t>
      </w:r>
      <w:r>
        <w:rPr>
          <w:rFonts w:ascii="Times New Roman" w:hAnsi="Times New Roman" w:cs="Times New Roman"/>
          <w:sz w:val="24"/>
          <w:szCs w:val="24"/>
          <w:shd w:val="clear" w:color="auto" w:fill="FFFFFF"/>
        </w:rPr>
        <w:t xml:space="preserve">. </w:t>
      </w:r>
    </w:p>
    <w:p w:rsidR="00FA7DEE" w:rsidRDefault="00FA7DEE" w:rsidP="002F2793">
      <w:pPr>
        <w:spacing w:after="0" w:line="360" w:lineRule="auto"/>
        <w:ind w:firstLine="1296"/>
        <w:contextualSpacing/>
        <w:jc w:val="both"/>
        <w:rPr>
          <w:rFonts w:ascii="Times New Roman" w:hAnsi="Times New Roman" w:cs="Times New Roman"/>
          <w:sz w:val="24"/>
          <w:szCs w:val="24"/>
          <w:shd w:val="clear" w:color="auto" w:fill="FFFFFF"/>
        </w:rPr>
      </w:pPr>
    </w:p>
    <w:p w:rsidR="00A64EF6" w:rsidRDefault="00A64EF6" w:rsidP="002F2793">
      <w:pPr>
        <w:spacing w:after="0" w:line="360" w:lineRule="auto"/>
        <w:contextualSpacing/>
        <w:jc w:val="both"/>
        <w:rPr>
          <w:rFonts w:ascii="Times New Roman" w:hAnsi="Times New Roman" w:cs="Times New Roman"/>
          <w:sz w:val="24"/>
          <w:szCs w:val="24"/>
          <w:shd w:val="clear" w:color="auto" w:fill="FFFFFF"/>
        </w:rPr>
      </w:pPr>
    </w:p>
    <w:p w:rsidR="00A64EF6" w:rsidRDefault="00A64EF6" w:rsidP="002F2793">
      <w:pPr>
        <w:spacing w:after="0" w:line="360" w:lineRule="auto"/>
        <w:contextualSpacing/>
        <w:jc w:val="both"/>
        <w:rPr>
          <w:rFonts w:ascii="Times New Roman" w:hAnsi="Times New Roman" w:cs="Times New Roman"/>
          <w:sz w:val="24"/>
          <w:szCs w:val="24"/>
          <w:shd w:val="clear" w:color="auto" w:fill="FFFFFF"/>
        </w:rPr>
      </w:pPr>
    </w:p>
    <w:p w:rsidR="002F2793" w:rsidRDefault="00A630F7" w:rsidP="002F2793">
      <w:pPr>
        <w:spacing w:after="0" w:line="360" w:lineRule="auto"/>
        <w:contextualSpacing/>
        <w:jc w:val="both"/>
        <w:rPr>
          <w:rFonts w:ascii="Times New Roman" w:hAnsi="Times New Roman" w:cs="Times New Roman"/>
          <w:sz w:val="28"/>
          <w:szCs w:val="28"/>
          <w:shd w:val="clear" w:color="auto" w:fill="FFFFFF"/>
        </w:rPr>
      </w:pPr>
      <w:r>
        <w:rPr>
          <w:rFonts w:ascii="Times New Roman" w:hAnsi="Times New Roman" w:cs="Times New Roman"/>
          <w:sz w:val="24"/>
          <w:szCs w:val="24"/>
          <w:shd w:val="clear" w:color="auto" w:fill="FFFFFF"/>
        </w:rPr>
        <w:lastRenderedPageBreak/>
        <w:t xml:space="preserve"> </w:t>
      </w:r>
      <w:r w:rsidR="002F2793">
        <w:rPr>
          <w:rFonts w:ascii="Times New Roman" w:hAnsi="Times New Roman" w:cs="Times New Roman"/>
          <w:sz w:val="28"/>
          <w:szCs w:val="28"/>
          <w:shd w:val="clear" w:color="auto" w:fill="FFFFFF"/>
        </w:rPr>
        <w:t>BARTON LŪŽIAI</w:t>
      </w:r>
    </w:p>
    <w:p w:rsidR="00A630F7" w:rsidRPr="002F2793" w:rsidRDefault="00A630F7" w:rsidP="002F2793">
      <w:pPr>
        <w:spacing w:after="0" w:line="360" w:lineRule="auto"/>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4"/>
          <w:szCs w:val="24"/>
          <w:shd w:val="clear" w:color="auto" w:fill="FFFFFF"/>
        </w:rPr>
        <w:t>Barton lūžių tipas panašus į Colles lūžius, tačiau ši trauma įvyksta stipresne jėga ir esant didesniam riešo apkrovimui. Barton lūžio priežastis yra kritimas ant išties</w:t>
      </w:r>
      <w:r w:rsidR="00907A48">
        <w:rPr>
          <w:rFonts w:ascii="Times New Roman" w:hAnsi="Times New Roman" w:cs="Times New Roman"/>
          <w:sz w:val="24"/>
          <w:szCs w:val="24"/>
          <w:shd w:val="clear" w:color="auto" w:fill="FFFFFF"/>
        </w:rPr>
        <w:t>t</w:t>
      </w:r>
      <w:r>
        <w:rPr>
          <w:rFonts w:ascii="Times New Roman" w:hAnsi="Times New Roman" w:cs="Times New Roman"/>
          <w:sz w:val="24"/>
          <w:szCs w:val="24"/>
          <w:shd w:val="clear" w:color="auto" w:fill="FFFFFF"/>
        </w:rPr>
        <w:t>o ir nugręžto riešo, kai yra suspaudžiamas riešo kraštas. Barton lūžio metu atsiranda proksimalinis riešo fragmentų poslinkis. Dažniausiai ši trauma ištinka vyresnio amžiaus žmonėms. Fragmentų dydis priklauso nuo sumažėjusio stabilumo, to</w:t>
      </w:r>
      <w:r w:rsidR="00907A48">
        <w:rPr>
          <w:rFonts w:ascii="Times New Roman" w:hAnsi="Times New Roman" w:cs="Times New Roman"/>
          <w:sz w:val="24"/>
          <w:szCs w:val="24"/>
          <w:shd w:val="clear" w:color="auto" w:fill="FFFFFF"/>
        </w:rPr>
        <w:t xml:space="preserve">dėl </w:t>
      </w:r>
      <w:r>
        <w:rPr>
          <w:rFonts w:ascii="Times New Roman" w:hAnsi="Times New Roman" w:cs="Times New Roman"/>
          <w:sz w:val="24"/>
          <w:szCs w:val="24"/>
          <w:shd w:val="clear" w:color="auto" w:fill="FFFFFF"/>
        </w:rPr>
        <w:t>dažniausiai atliekama vidinė fiksacija (16)</w:t>
      </w:r>
      <w:r w:rsidR="003E5AD1">
        <w:rPr>
          <w:rFonts w:ascii="Times New Roman" w:hAnsi="Times New Roman" w:cs="Times New Roman"/>
          <w:sz w:val="24"/>
          <w:szCs w:val="24"/>
          <w:shd w:val="clear" w:color="auto" w:fill="FFFFFF"/>
        </w:rPr>
        <w:t xml:space="preserve"> (II priedas, 4 pav.)</w:t>
      </w:r>
      <w:r>
        <w:rPr>
          <w:rFonts w:ascii="Times New Roman" w:hAnsi="Times New Roman" w:cs="Times New Roman"/>
          <w:sz w:val="24"/>
          <w:szCs w:val="24"/>
          <w:shd w:val="clear" w:color="auto" w:fill="FFFFFF"/>
        </w:rPr>
        <w:t xml:space="preserve">. </w:t>
      </w:r>
    </w:p>
    <w:p w:rsidR="00FA7DEE" w:rsidRDefault="00FA7DEE" w:rsidP="002F2793">
      <w:pPr>
        <w:spacing w:after="0" w:line="360" w:lineRule="auto"/>
        <w:ind w:firstLine="1296"/>
        <w:contextualSpacing/>
        <w:jc w:val="both"/>
        <w:rPr>
          <w:rFonts w:ascii="Times New Roman" w:hAnsi="Times New Roman" w:cs="Times New Roman"/>
          <w:sz w:val="24"/>
          <w:szCs w:val="24"/>
          <w:shd w:val="clear" w:color="auto" w:fill="FFFFFF"/>
        </w:rPr>
      </w:pPr>
    </w:p>
    <w:p w:rsidR="002F2793" w:rsidRDefault="003C11D9" w:rsidP="002F2793">
      <w:pPr>
        <w:spacing w:after="0" w:line="360" w:lineRule="auto"/>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ATGRĘ</w:t>
      </w:r>
      <w:r w:rsidR="002F2793">
        <w:rPr>
          <w:rFonts w:ascii="Times New Roman" w:hAnsi="Times New Roman" w:cs="Times New Roman"/>
          <w:sz w:val="28"/>
          <w:szCs w:val="28"/>
          <w:shd w:val="clear" w:color="auto" w:fill="FFFFFF"/>
        </w:rPr>
        <w:t>ŽIAMIEJI BARTON LŪŽIAI</w:t>
      </w:r>
    </w:p>
    <w:p w:rsidR="00A630F7" w:rsidRPr="002F2793" w:rsidRDefault="00A630F7" w:rsidP="002F2793">
      <w:pPr>
        <w:spacing w:after="0" w:line="360" w:lineRule="auto"/>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4"/>
          <w:szCs w:val="24"/>
          <w:shd w:val="clear" w:color="auto" w:fill="FFFFFF"/>
        </w:rPr>
        <w:t>Atgr</w:t>
      </w:r>
      <w:r w:rsidR="003C11D9">
        <w:rPr>
          <w:rFonts w:ascii="Times New Roman" w:hAnsi="Times New Roman" w:cs="Times New Roman"/>
          <w:sz w:val="24"/>
          <w:szCs w:val="24"/>
          <w:shd w:val="clear" w:color="auto" w:fill="FFFFFF"/>
        </w:rPr>
        <w:t>ę</w:t>
      </w:r>
      <w:r>
        <w:rPr>
          <w:rFonts w:ascii="Times New Roman" w:hAnsi="Times New Roman" w:cs="Times New Roman"/>
          <w:sz w:val="24"/>
          <w:szCs w:val="24"/>
          <w:shd w:val="clear" w:color="auto" w:fill="FFFFFF"/>
        </w:rPr>
        <w:t>žiamojo Barton lūžio priežastis yra kritimas ant ištiesto ir atgręžto riešo. Šie lūžiai artimi stipinkaulio intrasąnariniams lūžiams. Tai yra priekinis stipinkaulio sąnarinio krašto lūžis su proksimaliniu riešo fragmentų poslinkiu (16)</w:t>
      </w:r>
      <w:r w:rsidR="003E5AD1">
        <w:rPr>
          <w:rFonts w:ascii="Times New Roman" w:hAnsi="Times New Roman" w:cs="Times New Roman"/>
          <w:sz w:val="24"/>
          <w:szCs w:val="24"/>
          <w:shd w:val="clear" w:color="auto" w:fill="FFFFFF"/>
        </w:rPr>
        <w:t xml:space="preserve"> (II priedas , 6 pav.)</w:t>
      </w:r>
      <w:r>
        <w:rPr>
          <w:rFonts w:ascii="Times New Roman" w:hAnsi="Times New Roman" w:cs="Times New Roman"/>
          <w:sz w:val="24"/>
          <w:szCs w:val="24"/>
          <w:shd w:val="clear" w:color="auto" w:fill="FFFFFF"/>
        </w:rPr>
        <w:t>.</w:t>
      </w:r>
    </w:p>
    <w:p w:rsidR="00FA7DEE" w:rsidRDefault="00FA7DEE" w:rsidP="002F2793">
      <w:pPr>
        <w:spacing w:after="0" w:line="360" w:lineRule="auto"/>
        <w:ind w:firstLine="1296"/>
        <w:contextualSpacing/>
        <w:jc w:val="both"/>
        <w:rPr>
          <w:rFonts w:ascii="Times New Roman" w:hAnsi="Times New Roman" w:cs="Times New Roman"/>
          <w:sz w:val="24"/>
          <w:szCs w:val="24"/>
          <w:shd w:val="clear" w:color="auto" w:fill="FFFFFF"/>
        </w:rPr>
      </w:pPr>
    </w:p>
    <w:p w:rsidR="002F2793" w:rsidRDefault="002F2793" w:rsidP="002F2793">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HUTCHINSON LŪŽIAI</w:t>
      </w:r>
    </w:p>
    <w:p w:rsidR="00A630F7" w:rsidRPr="002F2793" w:rsidRDefault="00A630F7" w:rsidP="002F2793">
      <w:pPr>
        <w:spacing w:after="0" w:line="360" w:lineRule="auto"/>
        <w:ind w:firstLine="851"/>
        <w:contextualSpacing/>
        <w:jc w:val="both"/>
        <w:rPr>
          <w:rFonts w:ascii="Times New Roman" w:hAnsi="Times New Roman" w:cs="Times New Roman"/>
          <w:sz w:val="28"/>
          <w:szCs w:val="28"/>
        </w:rPr>
      </w:pPr>
      <w:r>
        <w:rPr>
          <w:rFonts w:ascii="Times New Roman" w:hAnsi="Times New Roman" w:cs="Times New Roman"/>
          <w:sz w:val="24"/>
          <w:szCs w:val="24"/>
          <w:shd w:val="clear" w:color="auto" w:fill="FFFFFF"/>
        </w:rPr>
        <w:t>Hutchinson lūžiai (angl. Chauffeur`s fractures). Šių lūžių priežastis yra įskilusi stipinkaulio ylinė atauga. Šios traumos metu įvyksta stipinkaulio tolimojo galo avulsija</w:t>
      </w:r>
      <w:r w:rsidR="00304C0A">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00304C0A">
        <w:rPr>
          <w:rFonts w:ascii="Times New Roman" w:hAnsi="Times New Roman" w:cs="Times New Roman"/>
          <w:sz w:val="24"/>
          <w:szCs w:val="24"/>
          <w:shd w:val="clear" w:color="auto" w:fill="FFFFFF"/>
        </w:rPr>
        <w:t>Į</w:t>
      </w:r>
      <w:r>
        <w:rPr>
          <w:rFonts w:ascii="Times New Roman" w:hAnsi="Times New Roman" w:cs="Times New Roman"/>
          <w:sz w:val="24"/>
          <w:szCs w:val="24"/>
          <w:shd w:val="clear" w:color="auto" w:fill="FFFFFF"/>
        </w:rPr>
        <w:t>strižiniai arba skersiniai lūžiai tęsiasi nuo laivelio – mėnulio sąnarių. Dažnai, tai yra tiesioginio smūgio rezultatas (43). Šio lūžio negalima painioti su stipinkaulio epifizės randu (16)</w:t>
      </w:r>
      <w:r w:rsidR="003E5AD1">
        <w:rPr>
          <w:rFonts w:ascii="Times New Roman" w:hAnsi="Times New Roman" w:cs="Times New Roman"/>
          <w:sz w:val="24"/>
          <w:szCs w:val="24"/>
          <w:shd w:val="clear" w:color="auto" w:fill="FFFFFF"/>
        </w:rPr>
        <w:t xml:space="preserve"> (II priedas, 5 pav.)</w:t>
      </w:r>
      <w:r>
        <w:rPr>
          <w:rFonts w:ascii="Times New Roman" w:hAnsi="Times New Roman" w:cs="Times New Roman"/>
          <w:sz w:val="24"/>
          <w:szCs w:val="24"/>
          <w:shd w:val="clear" w:color="auto" w:fill="FFFFFF"/>
        </w:rPr>
        <w:t>.</w:t>
      </w:r>
    </w:p>
    <w:p w:rsidR="00844D59" w:rsidRDefault="00844D59" w:rsidP="002F2793">
      <w:pPr>
        <w:spacing w:after="0" w:line="360" w:lineRule="auto"/>
        <w:contextualSpacing/>
        <w:jc w:val="both"/>
        <w:rPr>
          <w:rFonts w:ascii="Times New Roman" w:hAnsi="Times New Roman" w:cs="Times New Roman"/>
          <w:sz w:val="24"/>
          <w:szCs w:val="24"/>
          <w:shd w:val="clear" w:color="auto" w:fill="FFFFFF"/>
        </w:rPr>
      </w:pPr>
    </w:p>
    <w:p w:rsidR="00A630F7" w:rsidRPr="00FA7DEE" w:rsidRDefault="004D3BEB" w:rsidP="002F2793">
      <w:pPr>
        <w:pStyle w:val="Antrat2"/>
        <w:spacing w:before="0" w:line="360" w:lineRule="auto"/>
        <w:contextualSpacing/>
        <w:rPr>
          <w:rFonts w:ascii="Times New Roman" w:hAnsi="Times New Roman" w:cs="Times New Roman"/>
          <w:color w:val="auto"/>
          <w:sz w:val="28"/>
          <w:szCs w:val="28"/>
          <w:shd w:val="clear" w:color="auto" w:fill="FFFFFF"/>
        </w:rPr>
      </w:pPr>
      <w:bookmarkStart w:id="17" w:name="_Toc388560332"/>
      <w:r w:rsidRPr="00FA7DEE">
        <w:rPr>
          <w:rFonts w:ascii="Times New Roman" w:hAnsi="Times New Roman" w:cs="Times New Roman"/>
          <w:color w:val="auto"/>
          <w:sz w:val="28"/>
          <w:szCs w:val="28"/>
          <w:shd w:val="clear" w:color="auto" w:fill="FFFFFF"/>
        </w:rPr>
        <w:t>1.6</w:t>
      </w:r>
      <w:r w:rsidR="00FE58A0" w:rsidRPr="00FA7DEE">
        <w:rPr>
          <w:rFonts w:ascii="Times New Roman" w:hAnsi="Times New Roman" w:cs="Times New Roman"/>
          <w:color w:val="auto"/>
          <w:sz w:val="28"/>
          <w:szCs w:val="28"/>
          <w:shd w:val="clear" w:color="auto" w:fill="FFFFFF"/>
        </w:rPr>
        <w:t xml:space="preserve"> </w:t>
      </w:r>
      <w:r w:rsidR="00A630F7" w:rsidRPr="00FA7DEE">
        <w:rPr>
          <w:rFonts w:ascii="Times New Roman" w:hAnsi="Times New Roman" w:cs="Times New Roman"/>
          <w:color w:val="auto"/>
          <w:sz w:val="28"/>
          <w:szCs w:val="28"/>
          <w:shd w:val="clear" w:color="auto" w:fill="FFFFFF"/>
        </w:rPr>
        <w:t>Stipinkaulio vidurinio trečdalio lūžiai</w:t>
      </w:r>
      <w:bookmarkEnd w:id="17"/>
    </w:p>
    <w:p w:rsidR="00844D59" w:rsidRDefault="00844D59" w:rsidP="002F2793">
      <w:pPr>
        <w:spacing w:after="0" w:line="360" w:lineRule="auto"/>
        <w:contextualSpacing/>
        <w:jc w:val="both"/>
        <w:rPr>
          <w:rFonts w:ascii="Times New Roman" w:hAnsi="Times New Roman" w:cs="Times New Roman"/>
          <w:b/>
          <w:sz w:val="28"/>
          <w:szCs w:val="28"/>
          <w:shd w:val="clear" w:color="auto" w:fill="FFFFFF"/>
        </w:rPr>
      </w:pPr>
    </w:p>
    <w:p w:rsidR="00A630F7" w:rsidRDefault="00A630F7" w:rsidP="002F2793">
      <w:pPr>
        <w:spacing w:after="0" w:line="360" w:lineRule="auto"/>
        <w:ind w:firstLine="709"/>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Monteggia lūžimas – alkūnkaulio diafizės lūžis ir artimojo stipininkaulio galo išnirimas, kurio metu pažeidžiami tarpkauliniai nervai (N. Interosseus). Vaikams šie lūžiai priskiriami prie minkšto kaulo (greenstick) lūžių. Šių lūžių metu, stipinkaulio lūžį iš priekio rentgenogramoje galima lengvai pastebėti, tačiau žiūrint iš šono alkūnkaulio diafizės vietoje dėl išlinkimo sunku įžvelgti lūžimą (16,24)</w:t>
      </w:r>
      <w:r w:rsidR="003E5AD1">
        <w:rPr>
          <w:rFonts w:ascii="Times New Roman" w:hAnsi="Times New Roman" w:cs="Times New Roman"/>
          <w:sz w:val="24"/>
          <w:szCs w:val="24"/>
          <w:shd w:val="clear" w:color="auto" w:fill="FFFFFF"/>
        </w:rPr>
        <w:t xml:space="preserve"> (II priedas, 8 pav.)</w:t>
      </w:r>
      <w:r>
        <w:rPr>
          <w:rFonts w:ascii="Times New Roman" w:hAnsi="Times New Roman" w:cs="Times New Roman"/>
          <w:sz w:val="24"/>
          <w:szCs w:val="24"/>
          <w:shd w:val="clear" w:color="auto" w:fill="FFFFFF"/>
        </w:rPr>
        <w:t>.</w:t>
      </w:r>
      <w:r w:rsidRPr="00E31D2E">
        <w:rPr>
          <w:rFonts w:ascii="Times New Roman" w:hAnsi="Times New Roman" w:cs="Times New Roman"/>
          <w:sz w:val="24"/>
          <w:szCs w:val="24"/>
          <w:shd w:val="clear" w:color="auto" w:fill="FFFFFF"/>
        </w:rPr>
        <w:t xml:space="preserve"> </w:t>
      </w:r>
    </w:p>
    <w:p w:rsidR="00A630F7" w:rsidRDefault="00A630F7" w:rsidP="002F2793">
      <w:pPr>
        <w:spacing w:after="0" w:line="360" w:lineRule="auto"/>
        <w:ind w:firstLine="709"/>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Galeazzi lūžimas</w:t>
      </w:r>
      <w:r w:rsidR="00540FDD">
        <w:rPr>
          <w:rFonts w:ascii="Times New Roman" w:hAnsi="Times New Roman" w:cs="Times New Roman"/>
          <w:sz w:val="24"/>
          <w:szCs w:val="24"/>
          <w:shd w:val="clear" w:color="auto" w:fill="FFFFFF"/>
        </w:rPr>
        <w:t xml:space="preserve"> – l</w:t>
      </w:r>
      <w:r>
        <w:rPr>
          <w:rFonts w:ascii="Times New Roman" w:hAnsi="Times New Roman" w:cs="Times New Roman"/>
          <w:sz w:val="24"/>
          <w:szCs w:val="24"/>
          <w:shd w:val="clear" w:color="auto" w:fill="FFFFFF"/>
        </w:rPr>
        <w:t>ūžta alkūnkaulis, o artimasis stipinkaulio galas išnyra. Pasislinkus tolimajam stipinkaulio galui, pažeidžiamas trikampio sąnarinio disko kompleksiškumas ir išnyra tolimasis stipinkaulinis alkūnkaulio sąnarys. Pastebima ryški riešo subliuksacija (16)</w:t>
      </w:r>
      <w:r w:rsidR="003E5AD1">
        <w:rPr>
          <w:rFonts w:ascii="Times New Roman" w:hAnsi="Times New Roman" w:cs="Times New Roman"/>
          <w:sz w:val="24"/>
          <w:szCs w:val="24"/>
          <w:shd w:val="clear" w:color="auto" w:fill="FFFFFF"/>
        </w:rPr>
        <w:t xml:space="preserve"> (II priedas, 3 pav.)</w:t>
      </w:r>
      <w:r>
        <w:rPr>
          <w:rFonts w:ascii="Times New Roman" w:hAnsi="Times New Roman" w:cs="Times New Roman"/>
          <w:sz w:val="24"/>
          <w:szCs w:val="24"/>
          <w:shd w:val="clear" w:color="auto" w:fill="FFFFFF"/>
        </w:rPr>
        <w:t>.</w:t>
      </w:r>
    </w:p>
    <w:p w:rsidR="00A630F7" w:rsidRDefault="00A630F7" w:rsidP="002F2793">
      <w:pPr>
        <w:spacing w:after="0" w:line="360" w:lineRule="auto"/>
        <w:ind w:firstLine="709"/>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Nightstick – „apsigynimo“ lūžimas. Alkūnkaulio diafizės skersinis lūžimas. Šiuo atveju nėra stipinkaulio galvos dislokacijos</w:t>
      </w:r>
      <w:r w:rsidRPr="00964C38">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(16)</w:t>
      </w:r>
      <w:r w:rsidR="003E5AD1">
        <w:rPr>
          <w:rFonts w:ascii="Times New Roman" w:hAnsi="Times New Roman" w:cs="Times New Roman"/>
          <w:sz w:val="24"/>
          <w:szCs w:val="24"/>
          <w:shd w:val="clear" w:color="auto" w:fill="FFFFFF"/>
        </w:rPr>
        <w:t xml:space="preserve"> (II priedas, 7 pav.)</w:t>
      </w:r>
      <w:r>
        <w:rPr>
          <w:rFonts w:ascii="Times New Roman" w:hAnsi="Times New Roman" w:cs="Times New Roman"/>
          <w:sz w:val="24"/>
          <w:szCs w:val="24"/>
          <w:shd w:val="clear" w:color="auto" w:fill="FFFFFF"/>
        </w:rPr>
        <w:t>.</w:t>
      </w:r>
    </w:p>
    <w:p w:rsidR="00E80A45" w:rsidRDefault="00E80A45" w:rsidP="002F2793">
      <w:pPr>
        <w:spacing w:after="0" w:line="360" w:lineRule="auto"/>
        <w:contextualSpacing/>
        <w:jc w:val="both"/>
        <w:rPr>
          <w:rFonts w:ascii="Times New Roman" w:hAnsi="Times New Roman" w:cs="Times New Roman"/>
          <w:sz w:val="24"/>
          <w:szCs w:val="24"/>
          <w:shd w:val="clear" w:color="auto" w:fill="FFFFFF"/>
        </w:rPr>
      </w:pPr>
    </w:p>
    <w:p w:rsidR="00A64EF6" w:rsidRDefault="00A64EF6" w:rsidP="002F2793">
      <w:pPr>
        <w:pStyle w:val="Antrat2"/>
        <w:spacing w:before="0" w:line="360" w:lineRule="auto"/>
        <w:contextualSpacing/>
        <w:rPr>
          <w:rFonts w:ascii="Times New Roman" w:hAnsi="Times New Roman" w:cs="Times New Roman"/>
          <w:color w:val="auto"/>
          <w:sz w:val="28"/>
          <w:szCs w:val="28"/>
          <w:shd w:val="clear" w:color="auto" w:fill="FFFFFF"/>
        </w:rPr>
      </w:pPr>
    </w:p>
    <w:p w:rsidR="00A64EF6" w:rsidRPr="00A64EF6" w:rsidRDefault="00A64EF6" w:rsidP="00A64EF6"/>
    <w:p w:rsidR="00A630F7" w:rsidRDefault="004D3BEB" w:rsidP="002F2793">
      <w:pPr>
        <w:pStyle w:val="Antrat2"/>
        <w:spacing w:before="0" w:line="360" w:lineRule="auto"/>
        <w:contextualSpacing/>
        <w:rPr>
          <w:rFonts w:ascii="Times New Roman" w:hAnsi="Times New Roman" w:cs="Times New Roman"/>
          <w:color w:val="auto"/>
          <w:sz w:val="28"/>
          <w:szCs w:val="28"/>
          <w:shd w:val="clear" w:color="auto" w:fill="FFFFFF"/>
        </w:rPr>
      </w:pPr>
      <w:bookmarkStart w:id="18" w:name="_Toc388560333"/>
      <w:r w:rsidRPr="00FA7DEE">
        <w:rPr>
          <w:rFonts w:ascii="Times New Roman" w:hAnsi="Times New Roman" w:cs="Times New Roman"/>
          <w:color w:val="auto"/>
          <w:sz w:val="28"/>
          <w:szCs w:val="28"/>
          <w:shd w:val="clear" w:color="auto" w:fill="FFFFFF"/>
        </w:rPr>
        <w:lastRenderedPageBreak/>
        <w:t xml:space="preserve">1.7 </w:t>
      </w:r>
      <w:r w:rsidR="00A630F7" w:rsidRPr="00FA7DEE">
        <w:rPr>
          <w:rFonts w:ascii="Times New Roman" w:hAnsi="Times New Roman" w:cs="Times New Roman"/>
          <w:color w:val="auto"/>
          <w:sz w:val="28"/>
          <w:szCs w:val="28"/>
          <w:shd w:val="clear" w:color="auto" w:fill="FFFFFF"/>
        </w:rPr>
        <w:t>Stipinkaulio galvos lūžiai</w:t>
      </w:r>
      <w:bookmarkEnd w:id="18"/>
    </w:p>
    <w:p w:rsidR="00A64EF6" w:rsidRPr="00A64EF6" w:rsidRDefault="00A64EF6" w:rsidP="00A64EF6"/>
    <w:p w:rsidR="00A630F7" w:rsidRDefault="00A630F7" w:rsidP="002F2793">
      <w:pPr>
        <w:spacing w:after="0" w:line="360" w:lineRule="auto"/>
        <w:ind w:firstLine="851"/>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Šie lūžiai gali būti kelių tipų: stipinkaulio galvos šlyties lūžis, spaustinis sąnarinis skeveldrinis lūžis, ekstrasąnarinis stipinkaulio galvos lūžis (dažniausiai susijęs su raiščių plyšimu) Šie lūžių metu, poveikio jėga perduodama į viršų stipinkauliu ir stipinkaulio galva atsiremia į žastikaulio galvutę (17).</w:t>
      </w:r>
    </w:p>
    <w:p w:rsidR="00844D59" w:rsidRPr="00964C38" w:rsidRDefault="00844D59" w:rsidP="002F2793">
      <w:pPr>
        <w:spacing w:after="0" w:line="360" w:lineRule="auto"/>
        <w:contextualSpacing/>
        <w:jc w:val="both"/>
        <w:rPr>
          <w:rFonts w:ascii="Times New Roman" w:hAnsi="Times New Roman" w:cs="Times New Roman"/>
          <w:sz w:val="24"/>
          <w:szCs w:val="24"/>
          <w:shd w:val="clear" w:color="auto" w:fill="FFFFFF"/>
        </w:rPr>
      </w:pPr>
    </w:p>
    <w:p w:rsidR="00A630F7" w:rsidRPr="00FA7DEE" w:rsidRDefault="004D3BEB" w:rsidP="002F2793">
      <w:pPr>
        <w:pStyle w:val="Antrat2"/>
        <w:spacing w:before="0" w:line="360" w:lineRule="auto"/>
        <w:contextualSpacing/>
        <w:rPr>
          <w:rFonts w:ascii="Times New Roman" w:hAnsi="Times New Roman" w:cs="Times New Roman"/>
          <w:color w:val="auto"/>
          <w:sz w:val="28"/>
          <w:szCs w:val="28"/>
        </w:rPr>
      </w:pPr>
      <w:bookmarkStart w:id="19" w:name="_Toc388560334"/>
      <w:r w:rsidRPr="00FA7DEE">
        <w:rPr>
          <w:rFonts w:ascii="Times New Roman" w:hAnsi="Times New Roman" w:cs="Times New Roman"/>
          <w:color w:val="auto"/>
          <w:sz w:val="28"/>
          <w:szCs w:val="28"/>
        </w:rPr>
        <w:t xml:space="preserve">1.8 </w:t>
      </w:r>
      <w:r w:rsidR="00A630F7" w:rsidRPr="00FA7DEE">
        <w:rPr>
          <w:rFonts w:ascii="Times New Roman" w:hAnsi="Times New Roman" w:cs="Times New Roman"/>
          <w:color w:val="auto"/>
          <w:sz w:val="28"/>
          <w:szCs w:val="28"/>
        </w:rPr>
        <w:t>Stipinkaulio lūžių klasifikacija</w:t>
      </w:r>
      <w:bookmarkEnd w:id="19"/>
    </w:p>
    <w:p w:rsidR="00844D59" w:rsidRPr="00EF4B65" w:rsidRDefault="00844D59" w:rsidP="002F2793">
      <w:pPr>
        <w:spacing w:after="0" w:line="360" w:lineRule="auto"/>
        <w:contextualSpacing/>
        <w:jc w:val="both"/>
        <w:rPr>
          <w:rFonts w:ascii="Times New Roman" w:hAnsi="Times New Roman" w:cs="Times New Roman"/>
          <w:b/>
          <w:sz w:val="28"/>
          <w:szCs w:val="28"/>
          <w:shd w:val="clear" w:color="auto" w:fill="FFFFFF"/>
        </w:rPr>
      </w:pPr>
    </w:p>
    <w:p w:rsidR="00A630F7" w:rsidRDefault="00A630F7" w:rsidP="002F2793">
      <w:pPr>
        <w:spacing w:after="0" w:line="360" w:lineRule="auto"/>
        <w:ind w:firstLine="851"/>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Kaulų lūžiai gali būti įvairiai klasifikuojami. Dažniausiai naudojama ilgųjų kaulų lūžių A.O. Frykman`o klasifikacija, kurioje atsispindi lūžio lokalizacija, tipas, sudėtingumas. Taip pat naudojamos Salter – Harris, Gustillo, Mayo ir kt (18).</w:t>
      </w:r>
    </w:p>
    <w:p w:rsidR="00A630F7" w:rsidRDefault="00A630F7" w:rsidP="002F2793">
      <w:pPr>
        <w:spacing w:after="0" w:line="360" w:lineRule="auto"/>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Frykman`o klasifikacijos sistemoje tolimojo stipinkaulio lūžiai suskirstyti taip:</w:t>
      </w:r>
    </w:p>
    <w:p w:rsidR="00A630F7" w:rsidRDefault="00A630F7" w:rsidP="002F2793">
      <w:pPr>
        <w:pStyle w:val="Sraopastraipa"/>
        <w:numPr>
          <w:ilvl w:val="0"/>
          <w:numId w:val="4"/>
        </w:num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 ir 2 tipo ekstrasąnariniai lūžiai – tokie lūžiai, kai nepažeistas sąnarinis paviršius.</w:t>
      </w:r>
    </w:p>
    <w:p w:rsidR="00A630F7" w:rsidRDefault="00A630F7" w:rsidP="002F2793">
      <w:pPr>
        <w:pStyle w:val="Sraopastraipa"/>
        <w:numPr>
          <w:ilvl w:val="0"/>
          <w:numId w:val="4"/>
        </w:num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 ir 4 tipo intrasąnariniai lūžiai – tokie lūžiai, kai lūžimo linija eina sąnariniu kaulo paviršiumi, šiuo atveju stipinkaulinio riešo sąnariu.</w:t>
      </w:r>
    </w:p>
    <w:p w:rsidR="00A630F7" w:rsidRDefault="00A630F7" w:rsidP="002F2793">
      <w:pPr>
        <w:pStyle w:val="Sraopastraipa"/>
        <w:numPr>
          <w:ilvl w:val="0"/>
          <w:numId w:val="4"/>
        </w:num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 ir 6 tipo ekstrasąnariniai lūžiai – tokie lūžiai, kai pažeidžiamas tolimojo stipinkaulinio alkūnkaulio sąnarys.</w:t>
      </w:r>
    </w:p>
    <w:p w:rsidR="00A630F7" w:rsidRDefault="00A630F7" w:rsidP="002F2793">
      <w:pPr>
        <w:pStyle w:val="Sraopastraipa"/>
        <w:numPr>
          <w:ilvl w:val="0"/>
          <w:numId w:val="4"/>
        </w:num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7 ir 8 tipo intrasąnariniai lūžiai – tokie lūžiai, kai pažeidžiamas tolimojo stipinkaulinio alkūnkaulio ir stipinkaulinio riešo sąnariai.</w:t>
      </w:r>
    </w:p>
    <w:p w:rsidR="00A630F7" w:rsidRDefault="00A630F7" w:rsidP="002F2793">
      <w:pPr>
        <w:spacing w:after="0" w:line="360" w:lineRule="auto"/>
        <w:ind w:firstLine="709"/>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Kaip teigia autorius, Frykman`o klasifikacijos tipų daugėja dėl nepalankių gydymo rezultatų (19).</w:t>
      </w:r>
    </w:p>
    <w:p w:rsidR="00A630F7" w:rsidRDefault="00A630F7" w:rsidP="002F2793">
      <w:pPr>
        <w:spacing w:after="0" w:line="360" w:lineRule="auto"/>
        <w:ind w:firstLine="709"/>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Autorių nuomone, lūžiai priklausomai nuo traumos sunkumo dar gali būti klasifikuojami (23):</w:t>
      </w:r>
    </w:p>
    <w:p w:rsidR="00A630F7" w:rsidRDefault="00A630F7" w:rsidP="002F2793">
      <w:pPr>
        <w:pStyle w:val="Sraopastraipa"/>
        <w:numPr>
          <w:ilvl w:val="0"/>
          <w:numId w:val="5"/>
        </w:num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 – jo laipsnio – savaiminis lūžis;</w:t>
      </w:r>
    </w:p>
    <w:p w:rsidR="00A630F7" w:rsidRDefault="00A630F7" w:rsidP="002F2793">
      <w:pPr>
        <w:pStyle w:val="Sraopastraipa"/>
        <w:numPr>
          <w:ilvl w:val="0"/>
          <w:numId w:val="5"/>
        </w:num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2 – jo laipsnio – mažos traumos lūžis – pargriuvus iš „savo ūgio“ aukščio; </w:t>
      </w:r>
    </w:p>
    <w:p w:rsidR="00844D59" w:rsidRPr="00FA7DEE" w:rsidRDefault="00A630F7" w:rsidP="002F2793">
      <w:pPr>
        <w:pStyle w:val="Sraopastraipa"/>
        <w:numPr>
          <w:ilvl w:val="0"/>
          <w:numId w:val="5"/>
        </w:num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3 – jo laipsnio – didelės traumos lūžis (nukritus iš aukščiau – nuo 2 ar daugiau laiptų pakopų dėl išorinės jėgos poveikio); </w:t>
      </w:r>
    </w:p>
    <w:p w:rsidR="00A630F7" w:rsidRDefault="00A630F7" w:rsidP="002F2793">
      <w:pPr>
        <w:pStyle w:val="Sraopastraipa"/>
        <w:spacing w:after="0" w:line="360" w:lineRule="auto"/>
        <w:ind w:left="840"/>
        <w:jc w:val="both"/>
        <w:rPr>
          <w:rFonts w:ascii="Times New Roman" w:hAnsi="Times New Roman" w:cs="Times New Roman"/>
          <w:sz w:val="24"/>
          <w:szCs w:val="24"/>
          <w:shd w:val="clear" w:color="auto" w:fill="FFFFFF"/>
        </w:rPr>
      </w:pPr>
    </w:p>
    <w:p w:rsidR="00A630F7" w:rsidRPr="00FA7DEE" w:rsidRDefault="004D3BEB" w:rsidP="002F2793">
      <w:pPr>
        <w:pStyle w:val="Antrat2"/>
        <w:spacing w:before="0" w:line="360" w:lineRule="auto"/>
        <w:contextualSpacing/>
        <w:rPr>
          <w:rFonts w:ascii="Times New Roman" w:hAnsi="Times New Roman" w:cs="Times New Roman"/>
          <w:color w:val="auto"/>
          <w:sz w:val="28"/>
          <w:szCs w:val="28"/>
          <w:shd w:val="clear" w:color="auto" w:fill="FFFFFF"/>
        </w:rPr>
      </w:pPr>
      <w:bookmarkStart w:id="20" w:name="_Toc388560335"/>
      <w:r w:rsidRPr="00FA7DEE">
        <w:rPr>
          <w:rFonts w:ascii="Times New Roman" w:hAnsi="Times New Roman" w:cs="Times New Roman"/>
          <w:color w:val="auto"/>
          <w:sz w:val="28"/>
          <w:szCs w:val="28"/>
          <w:shd w:val="clear" w:color="auto" w:fill="FFFFFF"/>
        </w:rPr>
        <w:t xml:space="preserve">1.9 </w:t>
      </w:r>
      <w:r w:rsidR="00A630F7" w:rsidRPr="00FA7DEE">
        <w:rPr>
          <w:rFonts w:ascii="Times New Roman" w:hAnsi="Times New Roman" w:cs="Times New Roman"/>
          <w:color w:val="auto"/>
          <w:sz w:val="28"/>
          <w:szCs w:val="28"/>
          <w:shd w:val="clear" w:color="auto" w:fill="FFFFFF"/>
        </w:rPr>
        <w:t>Stipinkaulio lūžių gydymas</w:t>
      </w:r>
      <w:bookmarkEnd w:id="20"/>
    </w:p>
    <w:p w:rsidR="00844D59" w:rsidRDefault="00844D59" w:rsidP="002F2793">
      <w:pPr>
        <w:pStyle w:val="Sraopastraipa"/>
        <w:spacing w:after="0" w:line="360" w:lineRule="auto"/>
        <w:ind w:left="840"/>
        <w:jc w:val="both"/>
        <w:rPr>
          <w:rFonts w:ascii="Times New Roman" w:hAnsi="Times New Roman" w:cs="Times New Roman"/>
          <w:b/>
          <w:sz w:val="28"/>
          <w:szCs w:val="28"/>
          <w:shd w:val="clear" w:color="auto" w:fill="FFFFFF"/>
        </w:rPr>
      </w:pPr>
    </w:p>
    <w:p w:rsidR="002F2793" w:rsidRDefault="00A630F7" w:rsidP="002F2793">
      <w:pPr>
        <w:spacing w:after="0" w:line="360" w:lineRule="auto"/>
        <w:ind w:firstLine="840"/>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Vienos svarbiausių tyrimų yra kompiuterinė tomografija, magnetinio rezonanso tomografijos, rentgeno diagnostika. Nors tiek KT tiek MRT gali pateikti išsamesn</w:t>
      </w:r>
      <w:r w:rsidR="002E7AF6">
        <w:rPr>
          <w:rFonts w:ascii="Times New Roman" w:hAnsi="Times New Roman" w:cs="Times New Roman"/>
          <w:sz w:val="24"/>
          <w:szCs w:val="24"/>
          <w:shd w:val="clear" w:color="auto" w:fill="FFFFFF"/>
        </w:rPr>
        <w:t>į</w:t>
      </w:r>
      <w:r>
        <w:rPr>
          <w:rFonts w:ascii="Times New Roman" w:hAnsi="Times New Roman" w:cs="Times New Roman"/>
          <w:sz w:val="24"/>
          <w:szCs w:val="24"/>
          <w:shd w:val="clear" w:color="auto" w:fill="FFFFFF"/>
        </w:rPr>
        <w:t xml:space="preserve"> lūžio vaizdavimo modelį, tačiau kasdieniam naudojimui netinka, dėl papildomų išlaidų bei praktinių apribojimų. Rentgenogramų analizė išsamiai gali nustatyti kaulų deformacijas, lūžimo lokalizaciją, jo dydį, pokyčius, todėl galima sukurti tikslesnį vizualinį vaizdą ir racionalų p</w:t>
      </w:r>
      <w:r w:rsidR="002F2793">
        <w:rPr>
          <w:rFonts w:ascii="Times New Roman" w:hAnsi="Times New Roman" w:cs="Times New Roman"/>
          <w:sz w:val="24"/>
          <w:szCs w:val="24"/>
          <w:shd w:val="clear" w:color="auto" w:fill="FFFFFF"/>
        </w:rPr>
        <w:t>ožiūrį į tolimesnį gydymą (26).</w:t>
      </w:r>
    </w:p>
    <w:p w:rsidR="00A630F7" w:rsidRDefault="003212BB" w:rsidP="002F2793">
      <w:pPr>
        <w:spacing w:after="0" w:line="360" w:lineRule="auto"/>
        <w:ind w:firstLine="840"/>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Atliekant diagnostiką</w:t>
      </w:r>
      <w:r w:rsidR="00A630F7">
        <w:rPr>
          <w:rFonts w:ascii="Times New Roman" w:hAnsi="Times New Roman" w:cs="Times New Roman"/>
          <w:sz w:val="24"/>
          <w:szCs w:val="24"/>
          <w:shd w:val="clear" w:color="auto" w:fill="FFFFFF"/>
        </w:rPr>
        <w:t xml:space="preserve"> būtina atlikti dviejų krypčių rentgenogramas kartu su alkūnės ir riešo sąnariais. Sudėtingesniems ir daugiaskeveldriniams lūžiams vertinti atliekamos papildomų krypčių rentgenogramos arba KT.  Paprastas alkūnkaulio arba stipinkaulio lūžis gali būti susijęs su išnirimu, todėl vertinant rentgenogramas reikia ieškoti ne tik lūžių bet ir galimo išnirimo arba panirimo. Nesąnariniams lūžiams diagnozuoti pakanka atlikti dviejų krypčių rentgenogramas. Sąnariniams lūžiams vertinti daromos papildomos įstrižinės projekcijos, o sudėtingų daugiaskeveldrinių lūžių atveju atliekamas KT tyrimas (26).</w:t>
      </w:r>
    </w:p>
    <w:p w:rsidR="00A630F7" w:rsidRDefault="00A630F7" w:rsidP="002F2793">
      <w:pPr>
        <w:spacing w:after="0" w:line="360" w:lineRule="auto"/>
        <w:ind w:firstLine="840"/>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Stipinkaulio aukštis yra nustatomas iš rentgenogramos vaizdo. Normalus stipinkaulio aukštis vidutiniškai yra 11 -12 mm, o ribos vidurkiai 8 - 18º (25).</w:t>
      </w:r>
    </w:p>
    <w:p w:rsidR="00A630F7" w:rsidRDefault="00A630F7" w:rsidP="002F2793">
      <w:pPr>
        <w:spacing w:after="0" w:line="360" w:lineRule="auto"/>
        <w:ind w:firstLine="840"/>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Svarbiausi veiksniai nulemiantys gydymo rezultatus</w:t>
      </w:r>
      <w:r w:rsidR="002E7AF6">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
    <w:p w:rsidR="00A630F7" w:rsidRDefault="00A630F7" w:rsidP="002F2793">
      <w:pPr>
        <w:pStyle w:val="Sraopastraipa"/>
        <w:numPr>
          <w:ilvl w:val="0"/>
          <w:numId w:val="10"/>
        </w:num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Stipinkaulio sutrumpėjimas &lt; 6,5 mm;</w:t>
      </w:r>
    </w:p>
    <w:p w:rsidR="00A630F7" w:rsidRDefault="00A630F7" w:rsidP="002F2793">
      <w:pPr>
        <w:pStyle w:val="Sraopastraipa"/>
        <w:numPr>
          <w:ilvl w:val="0"/>
          <w:numId w:val="10"/>
        </w:num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Stipinkaulio inklinacija &gt; 6,5</w:t>
      </w:r>
      <w:r w:rsidRPr="0029206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º  tiesinėje projekcijoje;</w:t>
      </w:r>
    </w:p>
    <w:p w:rsidR="00A630F7" w:rsidRDefault="00A630F7" w:rsidP="002F2793">
      <w:pPr>
        <w:pStyle w:val="Sraopastraipa"/>
        <w:numPr>
          <w:ilvl w:val="0"/>
          <w:numId w:val="10"/>
        </w:num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Sąnariniai tarpai &lt; 2 mm;</w:t>
      </w:r>
    </w:p>
    <w:p w:rsidR="00A630F7" w:rsidRDefault="00A630F7" w:rsidP="002F2793">
      <w:pPr>
        <w:pStyle w:val="Sraopastraipa"/>
        <w:numPr>
          <w:ilvl w:val="0"/>
          <w:numId w:val="10"/>
        </w:num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Stipinkaulio pasvirimas nuo 15</w:t>
      </w:r>
      <w:r w:rsidRPr="0029206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º nugarinio iki 20</w:t>
      </w:r>
      <w:r w:rsidRPr="0029206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º volarinio pasvirimo šoninėje projekcijoje;</w:t>
      </w:r>
    </w:p>
    <w:p w:rsidR="00A630F7" w:rsidRPr="003E5367" w:rsidRDefault="00A630F7" w:rsidP="002F2793">
      <w:pPr>
        <w:spacing w:after="0" w:line="360" w:lineRule="auto"/>
        <w:ind w:firstLine="720"/>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Tyrimų duomenimis nustatyta, kad 65 pacientams stipinkaulio tolimojo galo sutrumpėjimas 6,5 mm ir stipinkaulio inklinacija 6,5</w:t>
      </w:r>
      <w:r w:rsidRPr="00F92AC0">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º turėjo neigiamų pasekmių. 93% pacientams didėja tikimybė patirti antrinio poslinkio DSGL. Vyresniems nei 52 metų pacientams ši tikybė padidėja iki 95,5</w:t>
      </w:r>
      <w:r w:rsidR="002E7AF6">
        <w:rPr>
          <w:rFonts w:ascii="Times New Roman" w:hAnsi="Times New Roman" w:cs="Times New Roman"/>
          <w:sz w:val="24"/>
          <w:szCs w:val="24"/>
          <w:shd w:val="clear" w:color="auto" w:fill="FFFFFF"/>
        </w:rPr>
        <w:t>% (27,29).</w:t>
      </w:r>
    </w:p>
    <w:p w:rsidR="00A630F7" w:rsidRPr="003E5367" w:rsidRDefault="00A630F7" w:rsidP="002F2793">
      <w:pPr>
        <w:spacing w:after="0" w:line="360" w:lineRule="auto"/>
        <w:ind w:firstLine="720"/>
        <w:contextualSpacing/>
        <w:jc w:val="both"/>
        <w:rPr>
          <w:rFonts w:ascii="Times New Roman" w:hAnsi="Times New Roman" w:cs="Times New Roman"/>
          <w:sz w:val="24"/>
          <w:szCs w:val="24"/>
          <w:shd w:val="clear" w:color="auto" w:fill="FFFFFF"/>
        </w:rPr>
      </w:pPr>
    </w:p>
    <w:p w:rsidR="00A630F7" w:rsidRDefault="00A630F7" w:rsidP="002F2793">
      <w:pPr>
        <w:spacing w:after="0" w:line="360" w:lineRule="auto"/>
        <w:ind w:firstLine="720"/>
        <w:contextualSpacing/>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Išskiriami antrinio poslinio rizikos veiksniai (27):</w:t>
      </w:r>
    </w:p>
    <w:p w:rsidR="00A630F7" w:rsidRDefault="00A630F7" w:rsidP="002F2793">
      <w:pPr>
        <w:pStyle w:val="Sraopastraipa"/>
        <w:numPr>
          <w:ilvl w:val="0"/>
          <w:numId w:val="11"/>
        </w:numPr>
        <w:spacing w:after="0" w:line="360" w:lineRule="auto"/>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Stipinkaulio nugarinio sluoksnio fragmentacija;</w:t>
      </w:r>
    </w:p>
    <w:p w:rsidR="00A630F7" w:rsidRDefault="00A630F7" w:rsidP="002F2793">
      <w:pPr>
        <w:pStyle w:val="Sraopastraipa"/>
        <w:numPr>
          <w:ilvl w:val="0"/>
          <w:numId w:val="11"/>
        </w:numPr>
        <w:spacing w:after="0" w:line="360" w:lineRule="auto"/>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Alkūnkaulio lūžiai;</w:t>
      </w:r>
    </w:p>
    <w:p w:rsidR="00A630F7" w:rsidRDefault="00A630F7" w:rsidP="002F2793">
      <w:pPr>
        <w:pStyle w:val="Sraopastraipa"/>
        <w:numPr>
          <w:ilvl w:val="0"/>
          <w:numId w:val="11"/>
        </w:numPr>
        <w:spacing w:after="0" w:line="360" w:lineRule="auto"/>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Nugarinis kampinis poslinkis &gt; 20º;</w:t>
      </w:r>
    </w:p>
    <w:p w:rsidR="00A630F7" w:rsidRPr="00C656C1" w:rsidRDefault="00A630F7" w:rsidP="002F2793">
      <w:pPr>
        <w:pStyle w:val="Sraopastraipa"/>
        <w:numPr>
          <w:ilvl w:val="0"/>
          <w:numId w:val="11"/>
        </w:numPr>
        <w:spacing w:after="0" w:line="360" w:lineRule="auto"/>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Stipinkaulio distalinio galo sąnarinis lūžis;</w:t>
      </w:r>
    </w:p>
    <w:p w:rsidR="00A630F7" w:rsidRDefault="00A630F7" w:rsidP="002F2793">
      <w:pPr>
        <w:spacing w:after="0" w:line="360" w:lineRule="auto"/>
        <w:ind w:firstLine="720"/>
        <w:contextualSpacing/>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Tyrimų duomenimis nustatyta, kad iš 146 pacientų patyrusių SDGL, 4% pacientų stipinkaulis sutrump</w:t>
      </w:r>
      <w:r>
        <w:rPr>
          <w:rFonts w:ascii="Times New Roman" w:hAnsi="Times New Roman" w:cs="Times New Roman"/>
          <w:sz w:val="24"/>
          <w:szCs w:val="24"/>
          <w:shd w:val="clear" w:color="auto" w:fill="FFFFFF"/>
        </w:rPr>
        <w:t>ėjo mažiau nei 3 mm, 25</w:t>
      </w:r>
      <w:r>
        <w:rPr>
          <w:rFonts w:ascii="Times New Roman" w:hAnsi="Times New Roman" w:cs="Times New Roman"/>
          <w:sz w:val="24"/>
          <w:szCs w:val="24"/>
          <w:shd w:val="clear" w:color="auto" w:fill="FFFFFF"/>
          <w:lang w:val="en-US"/>
        </w:rPr>
        <w:t>% pacientų stipinkaulis sutrumpėjo nuo 3 iki 5 mm ir daugiau nei 31% pacientų</w:t>
      </w:r>
      <w:r>
        <w:rPr>
          <w:rFonts w:ascii="Times New Roman" w:hAnsi="Times New Roman" w:cs="Times New Roman"/>
          <w:sz w:val="24"/>
          <w:szCs w:val="24"/>
          <w:shd w:val="clear" w:color="auto" w:fill="FFFFFF"/>
        </w:rPr>
        <w:t xml:space="preserve"> sutrumpėjo daugiau kaip 5 mm. Nuo 2 iki 3 mm sumažėjus stipinkauliui, griebimo jėga sumažėja iki 90</w:t>
      </w:r>
      <w:r w:rsidRPr="003E5367">
        <w:rPr>
          <w:rFonts w:ascii="Times New Roman" w:hAnsi="Times New Roman" w:cs="Times New Roman"/>
          <w:sz w:val="24"/>
          <w:szCs w:val="24"/>
          <w:shd w:val="clear" w:color="auto" w:fill="FFFFFF"/>
        </w:rPr>
        <w:t>%, o sum</w:t>
      </w:r>
      <w:r>
        <w:rPr>
          <w:rFonts w:ascii="Times New Roman" w:hAnsi="Times New Roman" w:cs="Times New Roman"/>
          <w:sz w:val="24"/>
          <w:szCs w:val="24"/>
          <w:shd w:val="clear" w:color="auto" w:fill="FFFFFF"/>
        </w:rPr>
        <w:t>ažėjus kaului 5 mm ir daugiau, griebimo jėga sumažėja 65</w:t>
      </w:r>
      <w:r w:rsidRPr="003E5367">
        <w:rPr>
          <w:rFonts w:ascii="Times New Roman" w:hAnsi="Times New Roman" w:cs="Times New Roman"/>
          <w:sz w:val="24"/>
          <w:szCs w:val="24"/>
          <w:shd w:val="clear" w:color="auto" w:fill="FFFFFF"/>
        </w:rPr>
        <w:t>%</w:t>
      </w:r>
      <w:r w:rsidR="004D3A35">
        <w:rPr>
          <w:rFonts w:ascii="Times New Roman" w:hAnsi="Times New Roman" w:cs="Times New Roman"/>
          <w:sz w:val="24"/>
          <w:szCs w:val="24"/>
          <w:shd w:val="clear" w:color="auto" w:fill="FFFFFF"/>
        </w:rPr>
        <w:t>.</w:t>
      </w:r>
      <w:r w:rsidRPr="003E5367">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lang w:val="en-US"/>
        </w:rPr>
        <w:t>Nustatyta, kad atsiradus sąnariniams tarpams daugiau nei 1-2 mm ir imobilizavus plaštaką funkcijai patogioje padėtyje, tikimybė atstatyti sąnarių kongruentiškuma išlieka tik 65% (29).</w:t>
      </w:r>
      <w:proofErr w:type="gramEnd"/>
    </w:p>
    <w:p w:rsidR="00A630F7" w:rsidRDefault="00A630F7" w:rsidP="002F2793">
      <w:pPr>
        <w:spacing w:after="0" w:line="360" w:lineRule="auto"/>
        <w:ind w:firstLine="720"/>
        <w:contextualSpacing/>
        <w:jc w:val="both"/>
        <w:rPr>
          <w:rFonts w:ascii="Times New Roman" w:hAnsi="Times New Roman" w:cs="Times New Roman"/>
          <w:sz w:val="24"/>
          <w:szCs w:val="24"/>
          <w:shd w:val="clear" w:color="auto" w:fill="FFFFFF"/>
          <w:lang w:val="en-US"/>
        </w:rPr>
      </w:pPr>
    </w:p>
    <w:p w:rsidR="00A630F7" w:rsidRPr="00FA7DEE" w:rsidRDefault="004D3BEB" w:rsidP="002F2793">
      <w:pPr>
        <w:pStyle w:val="Antrat2"/>
        <w:spacing w:before="0" w:line="360" w:lineRule="auto"/>
        <w:contextualSpacing/>
        <w:rPr>
          <w:rFonts w:ascii="Times New Roman" w:hAnsi="Times New Roman" w:cs="Times New Roman"/>
          <w:color w:val="auto"/>
          <w:sz w:val="28"/>
          <w:szCs w:val="28"/>
        </w:rPr>
      </w:pPr>
      <w:bookmarkStart w:id="21" w:name="_Toc388560336"/>
      <w:r w:rsidRPr="00FA7DEE">
        <w:rPr>
          <w:rFonts w:ascii="Times New Roman" w:hAnsi="Times New Roman" w:cs="Times New Roman"/>
          <w:color w:val="auto"/>
          <w:sz w:val="28"/>
          <w:szCs w:val="28"/>
        </w:rPr>
        <w:t xml:space="preserve">1.10 </w:t>
      </w:r>
      <w:r w:rsidR="00FA7DEE" w:rsidRPr="00FA7DEE">
        <w:rPr>
          <w:rFonts w:ascii="Times New Roman" w:hAnsi="Times New Roman" w:cs="Times New Roman"/>
          <w:color w:val="auto"/>
          <w:sz w:val="28"/>
          <w:szCs w:val="28"/>
        </w:rPr>
        <w:t>S</w:t>
      </w:r>
      <w:r w:rsidR="00A630F7" w:rsidRPr="00FA7DEE">
        <w:rPr>
          <w:rFonts w:ascii="Times New Roman" w:hAnsi="Times New Roman" w:cs="Times New Roman"/>
          <w:color w:val="auto"/>
          <w:sz w:val="28"/>
          <w:szCs w:val="28"/>
        </w:rPr>
        <w:t>tipinkaulio lūžių gydym</w:t>
      </w:r>
      <w:r w:rsidR="00A57CA4">
        <w:rPr>
          <w:rFonts w:ascii="Times New Roman" w:hAnsi="Times New Roman" w:cs="Times New Roman"/>
          <w:color w:val="auto"/>
          <w:sz w:val="28"/>
          <w:szCs w:val="28"/>
        </w:rPr>
        <w:t>o metodai</w:t>
      </w:r>
      <w:bookmarkEnd w:id="21"/>
    </w:p>
    <w:p w:rsidR="00FA7DEE" w:rsidRPr="00477A3E" w:rsidRDefault="00FA7DEE" w:rsidP="002F2793">
      <w:pPr>
        <w:spacing w:after="0" w:line="360" w:lineRule="auto"/>
        <w:contextualSpacing/>
        <w:jc w:val="both"/>
        <w:rPr>
          <w:rFonts w:ascii="Times New Roman" w:hAnsi="Times New Roman" w:cs="Times New Roman"/>
          <w:b/>
          <w:color w:val="000000" w:themeColor="text1"/>
          <w:sz w:val="24"/>
          <w:szCs w:val="24"/>
        </w:rPr>
      </w:pPr>
    </w:p>
    <w:p w:rsidR="00A630F7" w:rsidRPr="00140674" w:rsidRDefault="00A630F7" w:rsidP="002F2793">
      <w:pPr>
        <w:spacing w:after="0" w:line="360" w:lineRule="auto"/>
        <w:ind w:firstLine="720"/>
        <w:contextualSpacing/>
        <w:jc w:val="both"/>
        <w:rPr>
          <w:rFonts w:ascii="Times New Roman" w:hAnsi="Times New Roman" w:cs="Times New Roman"/>
          <w:color w:val="000000" w:themeColor="text1"/>
          <w:sz w:val="24"/>
          <w:szCs w:val="24"/>
        </w:rPr>
      </w:pPr>
      <w:r w:rsidRPr="00140674">
        <w:rPr>
          <w:rFonts w:ascii="Times New Roman" w:hAnsi="Times New Roman" w:cs="Times New Roman"/>
          <w:i/>
          <w:color w:val="000000" w:themeColor="text1"/>
          <w:sz w:val="24"/>
          <w:szCs w:val="24"/>
        </w:rPr>
        <w:t>Konservatyv</w:t>
      </w:r>
      <w:r w:rsidR="00B351BF">
        <w:rPr>
          <w:rFonts w:ascii="Times New Roman" w:hAnsi="Times New Roman" w:cs="Times New Roman"/>
          <w:i/>
          <w:color w:val="000000" w:themeColor="text1"/>
          <w:sz w:val="24"/>
          <w:szCs w:val="24"/>
        </w:rPr>
        <w:t>ū</w:t>
      </w:r>
      <w:r w:rsidRPr="00140674">
        <w:rPr>
          <w:rFonts w:ascii="Times New Roman" w:hAnsi="Times New Roman" w:cs="Times New Roman"/>
          <w:i/>
          <w:color w:val="000000" w:themeColor="text1"/>
          <w:sz w:val="24"/>
          <w:szCs w:val="24"/>
        </w:rPr>
        <w:t>s (imobilizacijos metodas, trakcinis metodas) gydymo būdai (1 pav.)</w:t>
      </w:r>
      <w:r w:rsidRPr="00140674">
        <w:rPr>
          <w:rFonts w:ascii="Times New Roman" w:hAnsi="Times New Roman" w:cs="Times New Roman"/>
          <w:color w:val="000000" w:themeColor="text1"/>
          <w:sz w:val="24"/>
          <w:szCs w:val="24"/>
        </w:rPr>
        <w:t>:</w:t>
      </w:r>
    </w:p>
    <w:p w:rsidR="00A630F7" w:rsidRPr="00140674" w:rsidRDefault="00A630F7" w:rsidP="002F2793">
      <w:pPr>
        <w:pStyle w:val="Sraopastraipa"/>
        <w:numPr>
          <w:ilvl w:val="0"/>
          <w:numId w:val="13"/>
        </w:numPr>
        <w:spacing w:after="0" w:line="360" w:lineRule="auto"/>
        <w:jc w:val="both"/>
        <w:rPr>
          <w:rFonts w:ascii="Times New Roman" w:hAnsi="Times New Roman" w:cs="Times New Roman"/>
          <w:color w:val="000000" w:themeColor="text1"/>
          <w:sz w:val="24"/>
          <w:szCs w:val="24"/>
        </w:rPr>
      </w:pPr>
      <w:r w:rsidRPr="00140674">
        <w:rPr>
          <w:rFonts w:ascii="Times New Roman" w:hAnsi="Times New Roman" w:cs="Times New Roman"/>
          <w:color w:val="000000" w:themeColor="text1"/>
          <w:sz w:val="24"/>
          <w:szCs w:val="24"/>
        </w:rPr>
        <w:t>Imobilizacija. Dorsalinis gipso įtvaras (nuo dilbio viršutinio 1/3 iki delnakaulių distalinės dalies). Imobilizacija tęsiama iki 5 savaičių.</w:t>
      </w:r>
    </w:p>
    <w:p w:rsidR="00A630F7" w:rsidRPr="00140674" w:rsidRDefault="00A630F7" w:rsidP="002F2793">
      <w:pPr>
        <w:pStyle w:val="Sraopastraipa"/>
        <w:numPr>
          <w:ilvl w:val="0"/>
          <w:numId w:val="13"/>
        </w:numPr>
        <w:spacing w:after="0" w:line="360" w:lineRule="auto"/>
        <w:jc w:val="both"/>
        <w:rPr>
          <w:rFonts w:ascii="Times New Roman" w:hAnsi="Times New Roman" w:cs="Times New Roman"/>
          <w:color w:val="000000" w:themeColor="text1"/>
          <w:sz w:val="24"/>
          <w:szCs w:val="24"/>
        </w:rPr>
      </w:pPr>
      <w:r w:rsidRPr="00140674">
        <w:rPr>
          <w:rFonts w:ascii="Times New Roman" w:hAnsi="Times New Roman" w:cs="Times New Roman"/>
          <w:color w:val="000000" w:themeColor="text1"/>
          <w:sz w:val="24"/>
          <w:szCs w:val="24"/>
        </w:rPr>
        <w:lastRenderedPageBreak/>
        <w:t>Uždara repozicija ir imobilizacija gipso įtvaru. Imobilizacija tęsti 6 sav. Po 10-12d. atlikti kontrolines rentgenogramas dėl galimo antrinio poslinkio.</w:t>
      </w:r>
    </w:p>
    <w:p w:rsidR="00A630F7" w:rsidRPr="00140674" w:rsidRDefault="00A630F7" w:rsidP="002F2793">
      <w:pPr>
        <w:pStyle w:val="Sraopastraipa"/>
        <w:numPr>
          <w:ilvl w:val="0"/>
          <w:numId w:val="13"/>
        </w:numPr>
        <w:spacing w:after="0" w:line="360" w:lineRule="auto"/>
        <w:jc w:val="both"/>
        <w:rPr>
          <w:rFonts w:ascii="Times New Roman" w:hAnsi="Times New Roman" w:cs="Times New Roman"/>
          <w:color w:val="000000" w:themeColor="text1"/>
          <w:sz w:val="24"/>
          <w:szCs w:val="24"/>
        </w:rPr>
      </w:pPr>
      <w:r w:rsidRPr="00140674">
        <w:rPr>
          <w:rFonts w:ascii="Times New Roman" w:hAnsi="Times New Roman" w:cs="Times New Roman"/>
          <w:color w:val="000000" w:themeColor="text1"/>
          <w:sz w:val="24"/>
          <w:szCs w:val="24"/>
        </w:rPr>
        <w:t>Analgetikai, šaltis (pirmas 2-3 dienas), pirštų ir alkūnės sąnarių mankšta. Po imobilizacijos periodo stebėti pacientą 48 val. Jeigu simptomatika išlieka</w:t>
      </w:r>
      <w:r w:rsidR="006C5119">
        <w:rPr>
          <w:rFonts w:ascii="Times New Roman" w:hAnsi="Times New Roman" w:cs="Times New Roman"/>
          <w:color w:val="000000" w:themeColor="text1"/>
          <w:sz w:val="24"/>
          <w:szCs w:val="24"/>
        </w:rPr>
        <w:t>,</w:t>
      </w:r>
      <w:r w:rsidRPr="00140674">
        <w:rPr>
          <w:rFonts w:ascii="Times New Roman" w:hAnsi="Times New Roman" w:cs="Times New Roman"/>
          <w:color w:val="000000" w:themeColor="text1"/>
          <w:sz w:val="24"/>
          <w:szCs w:val="24"/>
        </w:rPr>
        <w:t xml:space="preserve"> reikia atlikti </w:t>
      </w:r>
      <w:r w:rsidR="004D3A35">
        <w:rPr>
          <w:rFonts w:ascii="Times New Roman" w:hAnsi="Times New Roman" w:cs="Times New Roman"/>
          <w:color w:val="000000" w:themeColor="text1"/>
          <w:sz w:val="24"/>
          <w:szCs w:val="24"/>
        </w:rPr>
        <w:t xml:space="preserve">vidurinio </w:t>
      </w:r>
      <w:r w:rsidRPr="00140674">
        <w:rPr>
          <w:rFonts w:ascii="Times New Roman" w:hAnsi="Times New Roman" w:cs="Times New Roman"/>
          <w:color w:val="000000" w:themeColor="text1"/>
          <w:sz w:val="24"/>
          <w:szCs w:val="24"/>
        </w:rPr>
        <w:t>nervo dekompresij</w:t>
      </w:r>
      <w:r w:rsidR="004D3A35">
        <w:rPr>
          <w:rFonts w:ascii="Times New Roman" w:hAnsi="Times New Roman" w:cs="Times New Roman"/>
          <w:color w:val="000000" w:themeColor="text1"/>
          <w:sz w:val="24"/>
          <w:szCs w:val="24"/>
        </w:rPr>
        <w:t>ą</w:t>
      </w:r>
      <w:r w:rsidRPr="00140674">
        <w:rPr>
          <w:rFonts w:ascii="Times New Roman" w:hAnsi="Times New Roman" w:cs="Times New Roman"/>
          <w:color w:val="000000" w:themeColor="text1"/>
          <w:sz w:val="24"/>
          <w:szCs w:val="24"/>
        </w:rPr>
        <w:t xml:space="preserve">. </w:t>
      </w:r>
    </w:p>
    <w:p w:rsidR="00A630F7" w:rsidRPr="00140674" w:rsidRDefault="00A630F7" w:rsidP="002F2793">
      <w:pPr>
        <w:spacing w:after="0" w:line="360" w:lineRule="auto"/>
        <w:ind w:firstLine="720"/>
        <w:contextualSpacing/>
        <w:jc w:val="both"/>
        <w:rPr>
          <w:rFonts w:ascii="Times New Roman" w:hAnsi="Times New Roman" w:cs="Times New Roman"/>
          <w:color w:val="000000" w:themeColor="text1"/>
          <w:sz w:val="24"/>
          <w:szCs w:val="24"/>
        </w:rPr>
      </w:pPr>
      <w:r w:rsidRPr="00140674">
        <w:rPr>
          <w:rFonts w:ascii="Times New Roman" w:hAnsi="Times New Roman" w:cs="Times New Roman"/>
          <w:color w:val="000000" w:themeColor="text1"/>
          <w:sz w:val="24"/>
          <w:szCs w:val="24"/>
        </w:rPr>
        <w:t>Konservatyvaus gydymo indikacijos</w:t>
      </w:r>
      <w:r>
        <w:rPr>
          <w:rFonts w:ascii="Times New Roman" w:hAnsi="Times New Roman" w:cs="Times New Roman"/>
          <w:color w:val="000000" w:themeColor="text1"/>
          <w:sz w:val="24"/>
          <w:szCs w:val="24"/>
        </w:rPr>
        <w:t xml:space="preserve"> (34)</w:t>
      </w:r>
      <w:r w:rsidRPr="00140674">
        <w:rPr>
          <w:rFonts w:ascii="Times New Roman" w:hAnsi="Times New Roman" w:cs="Times New Roman"/>
          <w:color w:val="000000" w:themeColor="text1"/>
          <w:sz w:val="24"/>
          <w:szCs w:val="24"/>
        </w:rPr>
        <w:t>:</w:t>
      </w:r>
    </w:p>
    <w:p w:rsidR="00A630F7" w:rsidRPr="00140674" w:rsidRDefault="00A630F7" w:rsidP="002F2793">
      <w:pPr>
        <w:pStyle w:val="Sraopastraipa"/>
        <w:numPr>
          <w:ilvl w:val="0"/>
          <w:numId w:val="14"/>
        </w:numPr>
        <w:spacing w:after="0" w:line="360" w:lineRule="auto"/>
        <w:jc w:val="both"/>
        <w:rPr>
          <w:rFonts w:ascii="Times New Roman" w:hAnsi="Times New Roman" w:cs="Times New Roman"/>
          <w:color w:val="000000" w:themeColor="text1"/>
          <w:sz w:val="24"/>
          <w:szCs w:val="24"/>
        </w:rPr>
      </w:pPr>
      <w:r w:rsidRPr="00140674">
        <w:rPr>
          <w:rFonts w:ascii="Times New Roman" w:hAnsi="Times New Roman" w:cs="Times New Roman"/>
          <w:color w:val="000000" w:themeColor="text1"/>
          <w:sz w:val="24"/>
          <w:szCs w:val="24"/>
        </w:rPr>
        <w:t>Lūžiai be poslinkio arba su minimaliu poslinkiu;</w:t>
      </w:r>
    </w:p>
    <w:p w:rsidR="00A630F7" w:rsidRPr="00140674" w:rsidRDefault="00A630F7" w:rsidP="002F2793">
      <w:pPr>
        <w:pStyle w:val="Sraopastraipa"/>
        <w:numPr>
          <w:ilvl w:val="0"/>
          <w:numId w:val="14"/>
        </w:numPr>
        <w:spacing w:after="0" w:line="360" w:lineRule="auto"/>
        <w:jc w:val="both"/>
        <w:rPr>
          <w:rFonts w:ascii="Times New Roman" w:hAnsi="Times New Roman" w:cs="Times New Roman"/>
          <w:color w:val="000000" w:themeColor="text1"/>
          <w:sz w:val="24"/>
          <w:szCs w:val="24"/>
        </w:rPr>
      </w:pPr>
      <w:r w:rsidRPr="00140674">
        <w:rPr>
          <w:rFonts w:ascii="Times New Roman" w:hAnsi="Times New Roman" w:cs="Times New Roman"/>
          <w:color w:val="000000" w:themeColor="text1"/>
          <w:sz w:val="24"/>
          <w:szCs w:val="24"/>
        </w:rPr>
        <w:t>Lūžiai su poslinkiu, kuriuos pavyksta atitaisyti uždaru būdu (stabilūs lūžiai);</w:t>
      </w:r>
    </w:p>
    <w:p w:rsidR="00A630F7" w:rsidRPr="00140674" w:rsidRDefault="00A630F7" w:rsidP="002F2793">
      <w:pPr>
        <w:pStyle w:val="Sraopastraipa"/>
        <w:numPr>
          <w:ilvl w:val="0"/>
          <w:numId w:val="14"/>
        </w:numPr>
        <w:spacing w:after="0" w:line="360" w:lineRule="auto"/>
        <w:jc w:val="both"/>
        <w:rPr>
          <w:rFonts w:ascii="Times New Roman" w:hAnsi="Times New Roman" w:cs="Times New Roman"/>
          <w:color w:val="000000" w:themeColor="text1"/>
          <w:sz w:val="24"/>
          <w:szCs w:val="24"/>
        </w:rPr>
      </w:pPr>
      <w:r w:rsidRPr="00140674">
        <w:rPr>
          <w:rFonts w:ascii="Times New Roman" w:hAnsi="Times New Roman" w:cs="Times New Roman"/>
          <w:color w:val="000000" w:themeColor="text1"/>
          <w:sz w:val="24"/>
          <w:szCs w:val="24"/>
        </w:rPr>
        <w:t>Esant kontraindikacijom</w:t>
      </w:r>
      <w:r w:rsidR="004D3A35">
        <w:rPr>
          <w:rFonts w:ascii="Times New Roman" w:hAnsi="Times New Roman" w:cs="Times New Roman"/>
          <w:color w:val="000000" w:themeColor="text1"/>
          <w:sz w:val="24"/>
          <w:szCs w:val="24"/>
        </w:rPr>
        <w:t>s</w:t>
      </w:r>
      <w:r w:rsidRPr="00140674">
        <w:rPr>
          <w:rFonts w:ascii="Times New Roman" w:hAnsi="Times New Roman" w:cs="Times New Roman"/>
          <w:color w:val="000000" w:themeColor="text1"/>
          <w:sz w:val="24"/>
          <w:szCs w:val="24"/>
        </w:rPr>
        <w:t xml:space="preserve"> operaciniam gydymui;</w:t>
      </w:r>
    </w:p>
    <w:p w:rsidR="00A630F7" w:rsidRPr="00140674" w:rsidRDefault="00A630F7" w:rsidP="002F2793">
      <w:pPr>
        <w:spacing w:after="0" w:line="360" w:lineRule="auto"/>
        <w:ind w:firstLine="720"/>
        <w:contextualSpacing/>
        <w:jc w:val="both"/>
        <w:rPr>
          <w:rFonts w:ascii="Times New Roman" w:hAnsi="Times New Roman" w:cs="Times New Roman"/>
          <w:i/>
          <w:color w:val="000000" w:themeColor="text1"/>
          <w:sz w:val="24"/>
          <w:szCs w:val="24"/>
        </w:rPr>
      </w:pPr>
      <w:r w:rsidRPr="00140674">
        <w:rPr>
          <w:rFonts w:ascii="Times New Roman" w:hAnsi="Times New Roman" w:cs="Times New Roman"/>
          <w:i/>
          <w:color w:val="000000" w:themeColor="text1"/>
          <w:sz w:val="24"/>
          <w:szCs w:val="24"/>
        </w:rPr>
        <w:t>Chirurgini</w:t>
      </w:r>
      <w:r w:rsidR="00B351BF">
        <w:rPr>
          <w:rFonts w:ascii="Times New Roman" w:hAnsi="Times New Roman" w:cs="Times New Roman"/>
          <w:i/>
          <w:color w:val="000000" w:themeColor="text1"/>
          <w:sz w:val="24"/>
          <w:szCs w:val="24"/>
        </w:rPr>
        <w:t>ai</w:t>
      </w:r>
      <w:r w:rsidRPr="00140674">
        <w:rPr>
          <w:rFonts w:ascii="Times New Roman" w:hAnsi="Times New Roman" w:cs="Times New Roman"/>
          <w:i/>
          <w:color w:val="000000" w:themeColor="text1"/>
          <w:sz w:val="24"/>
          <w:szCs w:val="24"/>
        </w:rPr>
        <w:t xml:space="preserve"> (osteosintezė) gydymo būdai, metodai</w:t>
      </w:r>
      <w:r>
        <w:rPr>
          <w:rFonts w:ascii="Times New Roman" w:hAnsi="Times New Roman" w:cs="Times New Roman"/>
          <w:i/>
          <w:color w:val="000000" w:themeColor="text1"/>
          <w:sz w:val="24"/>
          <w:szCs w:val="24"/>
        </w:rPr>
        <w:t xml:space="preserve"> (34)</w:t>
      </w:r>
      <w:r w:rsidRPr="00140674">
        <w:rPr>
          <w:rFonts w:ascii="Times New Roman" w:hAnsi="Times New Roman" w:cs="Times New Roman"/>
          <w:i/>
          <w:color w:val="000000" w:themeColor="text1"/>
          <w:sz w:val="24"/>
          <w:szCs w:val="24"/>
        </w:rPr>
        <w:t xml:space="preserve"> (1 pav.).</w:t>
      </w:r>
    </w:p>
    <w:p w:rsidR="00A630F7" w:rsidRPr="00140674" w:rsidRDefault="00A630F7" w:rsidP="002F2793">
      <w:pPr>
        <w:pStyle w:val="Sraopastraipa"/>
        <w:numPr>
          <w:ilvl w:val="0"/>
          <w:numId w:val="15"/>
        </w:numPr>
        <w:spacing w:after="0" w:line="360" w:lineRule="auto"/>
        <w:jc w:val="both"/>
        <w:rPr>
          <w:rFonts w:ascii="Times New Roman" w:hAnsi="Times New Roman" w:cs="Times New Roman"/>
          <w:color w:val="000000" w:themeColor="text1"/>
          <w:sz w:val="24"/>
          <w:szCs w:val="24"/>
        </w:rPr>
      </w:pPr>
      <w:r w:rsidRPr="00140674">
        <w:rPr>
          <w:rFonts w:ascii="Times New Roman" w:hAnsi="Times New Roman" w:cs="Times New Roman"/>
          <w:color w:val="000000" w:themeColor="text1"/>
          <w:sz w:val="24"/>
          <w:szCs w:val="24"/>
        </w:rPr>
        <w:t>Perkutatinė fiksacija:</w:t>
      </w:r>
    </w:p>
    <w:p w:rsidR="00A630F7" w:rsidRPr="00140674" w:rsidRDefault="00A630F7" w:rsidP="002F2793">
      <w:pPr>
        <w:pStyle w:val="Sraopastraipa"/>
        <w:numPr>
          <w:ilvl w:val="0"/>
          <w:numId w:val="16"/>
        </w:numPr>
        <w:spacing w:after="0" w:line="360" w:lineRule="auto"/>
        <w:jc w:val="both"/>
        <w:rPr>
          <w:rFonts w:ascii="Times New Roman" w:hAnsi="Times New Roman" w:cs="Times New Roman"/>
          <w:color w:val="000000" w:themeColor="text1"/>
          <w:sz w:val="24"/>
          <w:szCs w:val="24"/>
        </w:rPr>
      </w:pPr>
      <w:r w:rsidRPr="00140674">
        <w:rPr>
          <w:rFonts w:ascii="Times New Roman" w:hAnsi="Times New Roman" w:cs="Times New Roman"/>
          <w:color w:val="000000" w:themeColor="text1"/>
          <w:sz w:val="24"/>
          <w:szCs w:val="24"/>
        </w:rPr>
        <w:t>Uždara repozicija ir fiksacija Kiršnerio vielomis (po osteosintezės Kiršnerio virbalais reikalinga imobilizacija gipso įtvaru;</w:t>
      </w:r>
    </w:p>
    <w:p w:rsidR="00A630F7" w:rsidRPr="00140674" w:rsidRDefault="00A630F7" w:rsidP="002F2793">
      <w:pPr>
        <w:pStyle w:val="Sraopastraipa"/>
        <w:numPr>
          <w:ilvl w:val="0"/>
          <w:numId w:val="16"/>
        </w:numPr>
        <w:spacing w:after="0" w:line="360" w:lineRule="auto"/>
        <w:jc w:val="both"/>
        <w:rPr>
          <w:rFonts w:ascii="Times New Roman" w:hAnsi="Times New Roman" w:cs="Times New Roman"/>
          <w:color w:val="000000" w:themeColor="text1"/>
          <w:sz w:val="24"/>
          <w:szCs w:val="24"/>
        </w:rPr>
      </w:pPr>
      <w:r w:rsidRPr="00140674">
        <w:rPr>
          <w:rFonts w:ascii="Times New Roman" w:hAnsi="Times New Roman" w:cs="Times New Roman"/>
          <w:color w:val="000000" w:themeColor="text1"/>
          <w:sz w:val="24"/>
          <w:szCs w:val="24"/>
        </w:rPr>
        <w:t>Uždara repozicija ir fiksacija sraigtais;</w:t>
      </w:r>
    </w:p>
    <w:p w:rsidR="00A630F7" w:rsidRPr="00140674" w:rsidRDefault="00A630F7" w:rsidP="002F2793">
      <w:pPr>
        <w:pStyle w:val="Sraopastraipa"/>
        <w:numPr>
          <w:ilvl w:val="0"/>
          <w:numId w:val="15"/>
        </w:numPr>
        <w:spacing w:after="0" w:line="360" w:lineRule="auto"/>
        <w:jc w:val="both"/>
        <w:rPr>
          <w:rFonts w:ascii="Times New Roman" w:hAnsi="Times New Roman" w:cs="Times New Roman"/>
          <w:color w:val="000000" w:themeColor="text1"/>
          <w:sz w:val="24"/>
          <w:szCs w:val="24"/>
        </w:rPr>
      </w:pPr>
      <w:r w:rsidRPr="00140674">
        <w:rPr>
          <w:rFonts w:ascii="Times New Roman" w:hAnsi="Times New Roman" w:cs="Times New Roman"/>
          <w:color w:val="000000" w:themeColor="text1"/>
          <w:sz w:val="24"/>
          <w:szCs w:val="24"/>
        </w:rPr>
        <w:t>Vidinė fiksacija:</w:t>
      </w:r>
    </w:p>
    <w:p w:rsidR="00A630F7" w:rsidRPr="00140674" w:rsidRDefault="00A630F7" w:rsidP="002F2793">
      <w:pPr>
        <w:pStyle w:val="Sraopastraipa"/>
        <w:numPr>
          <w:ilvl w:val="0"/>
          <w:numId w:val="17"/>
        </w:numPr>
        <w:spacing w:after="0" w:line="360" w:lineRule="auto"/>
        <w:jc w:val="both"/>
        <w:rPr>
          <w:rFonts w:ascii="Times New Roman" w:hAnsi="Times New Roman" w:cs="Times New Roman"/>
          <w:color w:val="000000" w:themeColor="text1"/>
          <w:sz w:val="24"/>
          <w:szCs w:val="24"/>
        </w:rPr>
      </w:pPr>
      <w:r w:rsidRPr="00140674">
        <w:rPr>
          <w:rFonts w:ascii="Times New Roman" w:hAnsi="Times New Roman" w:cs="Times New Roman"/>
          <w:color w:val="000000" w:themeColor="text1"/>
          <w:sz w:val="24"/>
          <w:szCs w:val="24"/>
        </w:rPr>
        <w:t>Atvira repozicija, fiksacija plokštele ir sraigtais (rakinamos delninės ir nugarinės T formos plokštelės);</w:t>
      </w:r>
    </w:p>
    <w:p w:rsidR="00A630F7" w:rsidRPr="00140674" w:rsidRDefault="00A630F7" w:rsidP="002F2793">
      <w:pPr>
        <w:pStyle w:val="Sraopastraipa"/>
        <w:numPr>
          <w:ilvl w:val="0"/>
          <w:numId w:val="17"/>
        </w:numPr>
        <w:spacing w:after="0" w:line="360" w:lineRule="auto"/>
        <w:jc w:val="both"/>
        <w:rPr>
          <w:rFonts w:ascii="Times New Roman" w:hAnsi="Times New Roman" w:cs="Times New Roman"/>
          <w:color w:val="000000" w:themeColor="text1"/>
          <w:sz w:val="24"/>
          <w:szCs w:val="24"/>
        </w:rPr>
      </w:pPr>
      <w:r w:rsidRPr="00140674">
        <w:rPr>
          <w:rFonts w:ascii="Times New Roman" w:hAnsi="Times New Roman" w:cs="Times New Roman"/>
          <w:color w:val="000000" w:themeColor="text1"/>
          <w:sz w:val="24"/>
          <w:szCs w:val="24"/>
        </w:rPr>
        <w:t>Dorsalinė rekonstrukcinė plokštelė;</w:t>
      </w:r>
    </w:p>
    <w:p w:rsidR="00A630F7" w:rsidRPr="00140674" w:rsidRDefault="00A630F7" w:rsidP="002F2793">
      <w:pPr>
        <w:pStyle w:val="Sraopastraipa"/>
        <w:numPr>
          <w:ilvl w:val="0"/>
          <w:numId w:val="15"/>
        </w:numPr>
        <w:spacing w:after="0" w:line="360" w:lineRule="auto"/>
        <w:jc w:val="both"/>
        <w:rPr>
          <w:rFonts w:ascii="Times New Roman" w:hAnsi="Times New Roman" w:cs="Times New Roman"/>
          <w:color w:val="000000" w:themeColor="text1"/>
          <w:sz w:val="24"/>
          <w:szCs w:val="24"/>
        </w:rPr>
      </w:pPr>
      <w:r w:rsidRPr="00140674">
        <w:rPr>
          <w:rFonts w:ascii="Times New Roman" w:hAnsi="Times New Roman" w:cs="Times New Roman"/>
          <w:color w:val="000000" w:themeColor="text1"/>
          <w:sz w:val="24"/>
          <w:szCs w:val="24"/>
        </w:rPr>
        <w:t>Išorinė fiksacija:</w:t>
      </w:r>
    </w:p>
    <w:p w:rsidR="00A630F7" w:rsidRPr="00140674" w:rsidRDefault="00A630F7" w:rsidP="002F2793">
      <w:pPr>
        <w:pStyle w:val="Sraopastraipa"/>
        <w:numPr>
          <w:ilvl w:val="0"/>
          <w:numId w:val="18"/>
        </w:numPr>
        <w:spacing w:after="0" w:line="360" w:lineRule="auto"/>
        <w:jc w:val="both"/>
        <w:rPr>
          <w:rFonts w:ascii="Times New Roman" w:hAnsi="Times New Roman" w:cs="Times New Roman"/>
          <w:color w:val="000000" w:themeColor="text1"/>
          <w:sz w:val="24"/>
          <w:szCs w:val="24"/>
        </w:rPr>
      </w:pPr>
      <w:r w:rsidRPr="00140674">
        <w:rPr>
          <w:rFonts w:ascii="Times New Roman" w:hAnsi="Times New Roman" w:cs="Times New Roman"/>
          <w:color w:val="000000" w:themeColor="text1"/>
          <w:sz w:val="24"/>
          <w:szCs w:val="24"/>
        </w:rPr>
        <w:t>Uždara repozicija ir išorinė fiksacija aparatu;</w:t>
      </w:r>
    </w:p>
    <w:p w:rsidR="00A630F7" w:rsidRPr="00140674" w:rsidRDefault="00A630F7" w:rsidP="002F2793">
      <w:pPr>
        <w:pStyle w:val="Sraopastraipa"/>
        <w:numPr>
          <w:ilvl w:val="0"/>
          <w:numId w:val="18"/>
        </w:numPr>
        <w:spacing w:after="0" w:line="360" w:lineRule="auto"/>
        <w:jc w:val="both"/>
        <w:rPr>
          <w:rFonts w:ascii="Times New Roman" w:hAnsi="Times New Roman" w:cs="Times New Roman"/>
          <w:color w:val="000000" w:themeColor="text1"/>
          <w:sz w:val="24"/>
          <w:szCs w:val="24"/>
        </w:rPr>
      </w:pPr>
      <w:r w:rsidRPr="00140674">
        <w:rPr>
          <w:rFonts w:ascii="Times New Roman" w:hAnsi="Times New Roman" w:cs="Times New Roman"/>
          <w:color w:val="000000" w:themeColor="text1"/>
          <w:sz w:val="24"/>
          <w:szCs w:val="24"/>
        </w:rPr>
        <w:t>Uždara repozicija, išorinė fiksacija aparatu ir papildoma fiksacija Kiršnerio virbalais;</w:t>
      </w:r>
    </w:p>
    <w:p w:rsidR="00A630F7" w:rsidRPr="00C71EB6" w:rsidRDefault="00A630F7" w:rsidP="002F2793">
      <w:pPr>
        <w:spacing w:after="0"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lt-LT"/>
        </w:rPr>
        <w:lastRenderedPageBreak/>
        <w:drawing>
          <wp:inline distT="0" distB="0" distL="0" distR="0" wp14:anchorId="29246532" wp14:editId="744AF897">
            <wp:extent cx="5890203" cy="7230139"/>
            <wp:effectExtent l="0" t="0" r="0" b="0"/>
            <wp:docPr id="2" name="Paveikslėlis 0"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0" cstate="print"/>
                    <a:stretch>
                      <a:fillRect/>
                    </a:stretch>
                  </pic:blipFill>
                  <pic:spPr>
                    <a:xfrm>
                      <a:off x="0" y="0"/>
                      <a:ext cx="5920240" cy="7267008"/>
                    </a:xfrm>
                    <a:prstGeom prst="rect">
                      <a:avLst/>
                    </a:prstGeom>
                  </pic:spPr>
                </pic:pic>
              </a:graphicData>
            </a:graphic>
          </wp:inline>
        </w:drawing>
      </w:r>
    </w:p>
    <w:p w:rsidR="00A630F7" w:rsidRDefault="00A630F7" w:rsidP="002F2793">
      <w:pPr>
        <w:spacing w:after="0" w:line="360" w:lineRule="auto"/>
        <w:contextualSpacing/>
        <w:jc w:val="center"/>
        <w:rPr>
          <w:rFonts w:ascii="Times New Roman" w:hAnsi="Times New Roman" w:cs="Times New Roman"/>
          <w:sz w:val="24"/>
          <w:szCs w:val="24"/>
        </w:rPr>
      </w:pPr>
      <w:r>
        <w:rPr>
          <w:rFonts w:ascii="Times New Roman" w:hAnsi="Times New Roman" w:cs="Times New Roman"/>
          <w:sz w:val="24"/>
          <w:szCs w:val="24"/>
        </w:rPr>
        <w:t>1 pav. SDGL gydymo būdai</w:t>
      </w:r>
    </w:p>
    <w:p w:rsidR="00A630F7" w:rsidRDefault="00A630F7" w:rsidP="002F2793">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br w:type="page"/>
      </w:r>
    </w:p>
    <w:p w:rsidR="00A630F7" w:rsidRDefault="004D3BEB" w:rsidP="002F2793">
      <w:pPr>
        <w:pStyle w:val="Antrat2"/>
        <w:spacing w:before="0" w:line="360" w:lineRule="auto"/>
        <w:contextualSpacing/>
        <w:rPr>
          <w:rFonts w:ascii="Times New Roman" w:hAnsi="Times New Roman" w:cs="Times New Roman"/>
          <w:color w:val="auto"/>
          <w:sz w:val="28"/>
          <w:szCs w:val="28"/>
        </w:rPr>
      </w:pPr>
      <w:bookmarkStart w:id="22" w:name="_Toc388560337"/>
      <w:r w:rsidRPr="00FA7DEE">
        <w:rPr>
          <w:rFonts w:ascii="Times New Roman" w:hAnsi="Times New Roman" w:cs="Times New Roman"/>
          <w:color w:val="auto"/>
          <w:sz w:val="28"/>
          <w:szCs w:val="28"/>
        </w:rPr>
        <w:lastRenderedPageBreak/>
        <w:t xml:space="preserve">1.11 </w:t>
      </w:r>
      <w:r w:rsidR="00A630F7" w:rsidRPr="00FA7DEE">
        <w:rPr>
          <w:rFonts w:ascii="Times New Roman" w:hAnsi="Times New Roman" w:cs="Times New Roman"/>
          <w:color w:val="auto"/>
          <w:sz w:val="28"/>
          <w:szCs w:val="28"/>
        </w:rPr>
        <w:t>Kaulų lūžių gijimo eiga</w:t>
      </w:r>
      <w:bookmarkEnd w:id="22"/>
    </w:p>
    <w:p w:rsidR="00FA7DEE" w:rsidRPr="00FA7DEE" w:rsidRDefault="00FA7DEE" w:rsidP="002F2793"/>
    <w:p w:rsidR="004149CA" w:rsidRDefault="004149CA" w:rsidP="002F2793">
      <w:pPr>
        <w:pStyle w:val="Sraopastraipa"/>
        <w:numPr>
          <w:ilvl w:val="0"/>
          <w:numId w:val="34"/>
        </w:numPr>
        <w:spacing w:after="0" w:line="360" w:lineRule="auto"/>
        <w:jc w:val="both"/>
        <w:rPr>
          <w:rFonts w:ascii="Times New Roman" w:hAnsi="Times New Roman" w:cs="Times New Roman"/>
          <w:sz w:val="24"/>
          <w:szCs w:val="24"/>
        </w:rPr>
      </w:pPr>
      <w:r w:rsidRPr="004149CA">
        <w:rPr>
          <w:rFonts w:ascii="Times New Roman" w:hAnsi="Times New Roman" w:cs="Times New Roman"/>
          <w:sz w:val="24"/>
          <w:szCs w:val="24"/>
        </w:rPr>
        <w:t xml:space="preserve">Pirmoji – uždegiminė (1-7 dienos) – iš karto po lūžio formuojasi hematoma, išsiskiria uždegiminis eksudatas. </w:t>
      </w:r>
    </w:p>
    <w:p w:rsidR="004149CA" w:rsidRPr="004149CA" w:rsidRDefault="004149CA" w:rsidP="002F2793">
      <w:pPr>
        <w:pStyle w:val="Sraopastraipa"/>
        <w:numPr>
          <w:ilvl w:val="0"/>
          <w:numId w:val="34"/>
        </w:numPr>
        <w:spacing w:after="0" w:line="360" w:lineRule="auto"/>
        <w:jc w:val="both"/>
        <w:rPr>
          <w:rFonts w:ascii="Times New Roman" w:hAnsi="Times New Roman" w:cs="Times New Roman"/>
          <w:sz w:val="24"/>
          <w:szCs w:val="24"/>
        </w:rPr>
      </w:pPr>
      <w:r w:rsidRPr="004149CA">
        <w:rPr>
          <w:rFonts w:ascii="Times New Roman" w:hAnsi="Times New Roman" w:cs="Times New Roman"/>
          <w:sz w:val="24"/>
          <w:szCs w:val="24"/>
        </w:rPr>
        <w:t xml:space="preserve">Minkštasis rumbas (3 savaitės) – ši fazė tęsiasi, kol tarp lūžgalių išsivysto stabilumas ir šie negali judėti vienas kito atžvilgiu. </w:t>
      </w:r>
    </w:p>
    <w:p w:rsidR="004149CA" w:rsidRPr="004149CA" w:rsidRDefault="004149CA" w:rsidP="002F2793">
      <w:pPr>
        <w:pStyle w:val="Sraopastraipa"/>
        <w:numPr>
          <w:ilvl w:val="0"/>
          <w:numId w:val="34"/>
        </w:numPr>
        <w:spacing w:after="0" w:line="360" w:lineRule="auto"/>
        <w:jc w:val="both"/>
        <w:rPr>
          <w:rFonts w:ascii="Times New Roman" w:hAnsi="Times New Roman" w:cs="Times New Roman"/>
          <w:sz w:val="24"/>
          <w:szCs w:val="24"/>
        </w:rPr>
      </w:pPr>
      <w:r w:rsidRPr="004149CA">
        <w:rPr>
          <w:rFonts w:ascii="Times New Roman" w:hAnsi="Times New Roman" w:cs="Times New Roman"/>
          <w:sz w:val="24"/>
          <w:szCs w:val="24"/>
        </w:rPr>
        <w:t>Kaulinis rumbas (3-4 mėnesiai) – stipraus kalcifikuoto audinio vystymosi fazė, trunkanti, kol lūžgalius pilnai sujungia naujas kaulinis audinys .</w:t>
      </w:r>
    </w:p>
    <w:p w:rsidR="004149CA" w:rsidRPr="004149CA" w:rsidRDefault="004149CA" w:rsidP="002F2793">
      <w:pPr>
        <w:pStyle w:val="Sraopastraipa"/>
        <w:numPr>
          <w:ilvl w:val="0"/>
          <w:numId w:val="34"/>
        </w:numPr>
        <w:spacing w:after="0" w:line="360" w:lineRule="auto"/>
        <w:jc w:val="both"/>
        <w:rPr>
          <w:rFonts w:ascii="Times New Roman" w:hAnsi="Times New Roman" w:cs="Times New Roman"/>
          <w:sz w:val="24"/>
          <w:szCs w:val="24"/>
        </w:rPr>
      </w:pPr>
      <w:r w:rsidRPr="004149CA">
        <w:rPr>
          <w:rFonts w:ascii="Times New Roman" w:hAnsi="Times New Roman" w:cs="Times New Roman"/>
          <w:sz w:val="24"/>
          <w:szCs w:val="24"/>
        </w:rPr>
        <w:t>Remodeliacijos fazė (keli mėnesiai/metai)</w:t>
      </w:r>
      <w:r w:rsidR="00B365DB">
        <w:rPr>
          <w:rFonts w:ascii="Times New Roman" w:hAnsi="Times New Roman" w:cs="Times New Roman"/>
          <w:sz w:val="24"/>
          <w:szCs w:val="24"/>
        </w:rPr>
        <w:t xml:space="preserve"> (60).</w:t>
      </w:r>
      <w:r w:rsidRPr="004149CA">
        <w:rPr>
          <w:rFonts w:ascii="Times New Roman" w:hAnsi="Times New Roman" w:cs="Times New Roman"/>
          <w:sz w:val="24"/>
          <w:szCs w:val="24"/>
        </w:rPr>
        <w:t xml:space="preserve"> </w:t>
      </w:r>
    </w:p>
    <w:p w:rsidR="00A630F7" w:rsidRPr="009F583A" w:rsidRDefault="003F26E4" w:rsidP="002F2793">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Kaulų lūžių</w:t>
      </w:r>
      <w:r w:rsidR="00A630F7" w:rsidRPr="009F583A">
        <w:rPr>
          <w:rFonts w:ascii="Times New Roman" w:hAnsi="Times New Roman" w:cs="Times New Roman"/>
          <w:sz w:val="24"/>
          <w:szCs w:val="24"/>
        </w:rPr>
        <w:t xml:space="preserve"> suaug</w:t>
      </w:r>
      <w:r>
        <w:rPr>
          <w:rFonts w:ascii="Times New Roman" w:hAnsi="Times New Roman" w:cs="Times New Roman"/>
          <w:sz w:val="24"/>
          <w:szCs w:val="24"/>
        </w:rPr>
        <w:t>imas vyksta</w:t>
      </w:r>
      <w:r w:rsidR="00A630F7" w:rsidRPr="009F583A">
        <w:rPr>
          <w:rFonts w:ascii="Times New Roman" w:hAnsi="Times New Roman" w:cs="Times New Roman"/>
          <w:sz w:val="24"/>
          <w:szCs w:val="24"/>
        </w:rPr>
        <w:t xml:space="preserve"> dviem būdais: pirminiu ir antriniu (</w:t>
      </w:r>
      <w:r w:rsidR="00A630F7">
        <w:rPr>
          <w:rFonts w:ascii="Times New Roman" w:hAnsi="Times New Roman" w:cs="Times New Roman"/>
          <w:sz w:val="24"/>
          <w:szCs w:val="24"/>
        </w:rPr>
        <w:t>39</w:t>
      </w:r>
      <w:r w:rsidR="00A630F7" w:rsidRPr="009F583A">
        <w:rPr>
          <w:rFonts w:ascii="Times New Roman" w:hAnsi="Times New Roman" w:cs="Times New Roman"/>
          <w:sz w:val="24"/>
          <w:szCs w:val="24"/>
        </w:rPr>
        <w:t>).</w:t>
      </w:r>
    </w:p>
    <w:p w:rsidR="00A630F7" w:rsidRPr="009F583A" w:rsidRDefault="00A630F7" w:rsidP="002F2793">
      <w:pPr>
        <w:spacing w:after="0" w:line="360" w:lineRule="auto"/>
        <w:contextualSpacing/>
        <w:jc w:val="both"/>
        <w:rPr>
          <w:rFonts w:ascii="Times New Roman" w:hAnsi="Times New Roman" w:cs="Times New Roman"/>
          <w:sz w:val="24"/>
          <w:szCs w:val="24"/>
        </w:rPr>
      </w:pPr>
      <w:r w:rsidRPr="009F583A">
        <w:rPr>
          <w:rFonts w:ascii="Times New Roman" w:hAnsi="Times New Roman" w:cs="Times New Roman"/>
          <w:sz w:val="24"/>
          <w:szCs w:val="24"/>
        </w:rPr>
        <w:t xml:space="preserve">Kaulo rumbo susidarymo greitį veikia šie faktoriai: </w:t>
      </w:r>
    </w:p>
    <w:p w:rsidR="00A630F7" w:rsidRDefault="00A630F7" w:rsidP="002F2793">
      <w:pPr>
        <w:pStyle w:val="Sraopastraipa"/>
        <w:numPr>
          <w:ilvl w:val="0"/>
          <w:numId w:val="26"/>
        </w:numPr>
        <w:spacing w:after="0" w:line="360" w:lineRule="auto"/>
        <w:ind w:left="714" w:hanging="357"/>
        <w:jc w:val="both"/>
        <w:rPr>
          <w:rFonts w:ascii="Times New Roman" w:hAnsi="Times New Roman" w:cs="Times New Roman"/>
          <w:sz w:val="24"/>
          <w:szCs w:val="24"/>
        </w:rPr>
      </w:pPr>
      <w:r w:rsidRPr="00874D1A">
        <w:rPr>
          <w:rFonts w:ascii="Times New Roman" w:hAnsi="Times New Roman" w:cs="Times New Roman"/>
          <w:sz w:val="24"/>
          <w:szCs w:val="24"/>
        </w:rPr>
        <w:t>Amžius (</w:t>
      </w:r>
      <w:smartTag w:uri="urn:schemas-microsoft-com:office:smarttags" w:element="metricconverter">
        <w:smartTagPr>
          <w:attr w:name="ProductID" w:val="1 m"/>
        </w:smartTagPr>
        <w:r w:rsidRPr="00874D1A">
          <w:rPr>
            <w:rFonts w:ascii="Times New Roman" w:hAnsi="Times New Roman" w:cs="Times New Roman"/>
            <w:sz w:val="24"/>
            <w:szCs w:val="24"/>
          </w:rPr>
          <w:t>1 m</w:t>
        </w:r>
      </w:smartTag>
      <w:r w:rsidRPr="00874D1A">
        <w:rPr>
          <w:rFonts w:ascii="Times New Roman" w:hAnsi="Times New Roman" w:cs="Times New Roman"/>
          <w:sz w:val="24"/>
          <w:szCs w:val="24"/>
        </w:rPr>
        <w:t xml:space="preserve">. – 1 mėn., </w:t>
      </w:r>
      <w:smartTag w:uri="urn:schemas-microsoft-com:office:smarttags" w:element="metricconverter">
        <w:smartTagPr>
          <w:attr w:name="ProductID" w:val="15 m"/>
        </w:smartTagPr>
        <w:r w:rsidRPr="00874D1A">
          <w:rPr>
            <w:rFonts w:ascii="Times New Roman" w:hAnsi="Times New Roman" w:cs="Times New Roman"/>
            <w:sz w:val="24"/>
            <w:szCs w:val="24"/>
          </w:rPr>
          <w:t>15 m</w:t>
        </w:r>
      </w:smartTag>
      <w:r w:rsidRPr="00874D1A">
        <w:rPr>
          <w:rFonts w:ascii="Times New Roman" w:hAnsi="Times New Roman" w:cs="Times New Roman"/>
          <w:sz w:val="24"/>
          <w:szCs w:val="24"/>
        </w:rPr>
        <w:t xml:space="preserve">. – 2 mėn., </w:t>
      </w:r>
      <w:smartTag w:uri="urn:schemas-microsoft-com:office:smarttags" w:element="metricconverter">
        <w:smartTagPr>
          <w:attr w:name="ProductID" w:val="50 m"/>
        </w:smartTagPr>
        <w:r w:rsidRPr="00874D1A">
          <w:rPr>
            <w:rFonts w:ascii="Times New Roman" w:hAnsi="Times New Roman" w:cs="Times New Roman"/>
            <w:sz w:val="24"/>
            <w:szCs w:val="24"/>
          </w:rPr>
          <w:t>50 m</w:t>
        </w:r>
      </w:smartTag>
      <w:r w:rsidRPr="00874D1A">
        <w:rPr>
          <w:rFonts w:ascii="Times New Roman" w:hAnsi="Times New Roman" w:cs="Times New Roman"/>
          <w:sz w:val="24"/>
          <w:szCs w:val="24"/>
        </w:rPr>
        <w:t>. – 4 mėn.);</w:t>
      </w:r>
    </w:p>
    <w:p w:rsidR="00A630F7" w:rsidRDefault="00A630F7" w:rsidP="002F2793">
      <w:pPr>
        <w:pStyle w:val="Sraopastraipa"/>
        <w:numPr>
          <w:ilvl w:val="0"/>
          <w:numId w:val="26"/>
        </w:numPr>
        <w:spacing w:after="0" w:line="360" w:lineRule="auto"/>
        <w:ind w:left="714" w:hanging="357"/>
        <w:jc w:val="both"/>
        <w:rPr>
          <w:rFonts w:ascii="Times New Roman" w:hAnsi="Times New Roman" w:cs="Times New Roman"/>
          <w:sz w:val="24"/>
          <w:szCs w:val="24"/>
        </w:rPr>
      </w:pPr>
      <w:r w:rsidRPr="00874D1A">
        <w:rPr>
          <w:rFonts w:ascii="Times New Roman" w:hAnsi="Times New Roman" w:cs="Times New Roman"/>
          <w:sz w:val="24"/>
          <w:szCs w:val="24"/>
        </w:rPr>
        <w:t xml:space="preserve">Endokrininiai </w:t>
      </w:r>
      <w:smartTag w:uri="schemas-tilde-lt/tildestengine" w:element="templates">
        <w:smartTagPr>
          <w:attr w:name="text" w:val="pokyčiai"/>
          <w:attr w:name="id" w:val="-1"/>
          <w:attr w:name="baseform" w:val="pokyt|is"/>
        </w:smartTagPr>
        <w:r w:rsidRPr="00874D1A">
          <w:rPr>
            <w:rFonts w:ascii="Times New Roman" w:hAnsi="Times New Roman" w:cs="Times New Roman"/>
            <w:sz w:val="24"/>
            <w:szCs w:val="24"/>
          </w:rPr>
          <w:t>pokyčiai</w:t>
        </w:r>
      </w:smartTag>
      <w:r w:rsidRPr="00874D1A">
        <w:rPr>
          <w:rFonts w:ascii="Times New Roman" w:hAnsi="Times New Roman" w:cs="Times New Roman"/>
          <w:sz w:val="24"/>
          <w:szCs w:val="24"/>
        </w:rPr>
        <w:t xml:space="preserve"> ( anemija, osteoporozė, avitaminozė, laktacija, hormonų vartojimas);</w:t>
      </w:r>
    </w:p>
    <w:p w:rsidR="00A630F7" w:rsidRDefault="00A630F7" w:rsidP="002F2793">
      <w:pPr>
        <w:pStyle w:val="Sraopastraipa"/>
        <w:numPr>
          <w:ilvl w:val="0"/>
          <w:numId w:val="26"/>
        </w:numPr>
        <w:spacing w:after="0" w:line="360" w:lineRule="auto"/>
        <w:ind w:left="714" w:hanging="357"/>
        <w:jc w:val="both"/>
        <w:rPr>
          <w:rFonts w:ascii="Times New Roman" w:hAnsi="Times New Roman" w:cs="Times New Roman"/>
          <w:sz w:val="24"/>
          <w:szCs w:val="24"/>
        </w:rPr>
      </w:pPr>
      <w:r w:rsidRPr="00874D1A">
        <w:rPr>
          <w:rFonts w:ascii="Times New Roman" w:hAnsi="Times New Roman" w:cs="Times New Roman"/>
          <w:sz w:val="24"/>
          <w:szCs w:val="24"/>
        </w:rPr>
        <w:t xml:space="preserve">Vietiniai faktoriai (lūžio tipas, aprūpinimas krauju) (39). </w:t>
      </w:r>
    </w:p>
    <w:p w:rsidR="001A4EBD" w:rsidRDefault="001A4EBD" w:rsidP="002F2793">
      <w:pPr>
        <w:pStyle w:val="Sraopastraipa"/>
        <w:spacing w:after="0" w:line="360" w:lineRule="auto"/>
        <w:ind w:left="714"/>
        <w:jc w:val="both"/>
        <w:rPr>
          <w:rFonts w:ascii="Times New Roman" w:hAnsi="Times New Roman" w:cs="Times New Roman"/>
          <w:sz w:val="24"/>
          <w:szCs w:val="24"/>
        </w:rPr>
      </w:pPr>
    </w:p>
    <w:p w:rsidR="001A4EBD" w:rsidRPr="00FA7DEE" w:rsidRDefault="004D3BEB" w:rsidP="002F2793">
      <w:pPr>
        <w:pStyle w:val="Antrat2"/>
        <w:spacing w:before="0" w:line="360" w:lineRule="auto"/>
        <w:contextualSpacing/>
        <w:rPr>
          <w:rFonts w:ascii="Times New Roman" w:hAnsi="Times New Roman" w:cs="Times New Roman"/>
          <w:color w:val="auto"/>
          <w:sz w:val="28"/>
          <w:szCs w:val="28"/>
        </w:rPr>
      </w:pPr>
      <w:bookmarkStart w:id="23" w:name="_Toc388560338"/>
      <w:r w:rsidRPr="00FA7DEE">
        <w:rPr>
          <w:rFonts w:ascii="Times New Roman" w:hAnsi="Times New Roman" w:cs="Times New Roman"/>
          <w:color w:val="auto"/>
          <w:sz w:val="28"/>
          <w:szCs w:val="28"/>
        </w:rPr>
        <w:t>1.</w:t>
      </w:r>
      <w:r w:rsidR="00917416" w:rsidRPr="00FA7DEE">
        <w:rPr>
          <w:rFonts w:ascii="Times New Roman" w:hAnsi="Times New Roman" w:cs="Times New Roman"/>
          <w:color w:val="auto"/>
          <w:sz w:val="28"/>
          <w:szCs w:val="28"/>
        </w:rPr>
        <w:t>12</w:t>
      </w:r>
      <w:r w:rsidRPr="00FA7DEE">
        <w:rPr>
          <w:rFonts w:ascii="Times New Roman" w:hAnsi="Times New Roman" w:cs="Times New Roman"/>
          <w:color w:val="auto"/>
          <w:sz w:val="28"/>
          <w:szCs w:val="28"/>
        </w:rPr>
        <w:t xml:space="preserve"> </w:t>
      </w:r>
      <w:r w:rsidR="006C5119">
        <w:rPr>
          <w:rFonts w:ascii="Times New Roman" w:hAnsi="Times New Roman" w:cs="Times New Roman"/>
          <w:color w:val="auto"/>
          <w:sz w:val="28"/>
          <w:szCs w:val="28"/>
        </w:rPr>
        <w:t>Gydymas</w:t>
      </w:r>
      <w:r w:rsidR="001A4EBD" w:rsidRPr="00FA7DEE">
        <w:rPr>
          <w:rFonts w:ascii="Times New Roman" w:hAnsi="Times New Roman" w:cs="Times New Roman"/>
          <w:color w:val="auto"/>
          <w:sz w:val="28"/>
          <w:szCs w:val="28"/>
        </w:rPr>
        <w:t xml:space="preserve"> esant uždarai repozicijai </w:t>
      </w:r>
      <w:r w:rsidR="00902CAC" w:rsidRPr="00FA7DEE">
        <w:rPr>
          <w:rFonts w:ascii="Times New Roman" w:hAnsi="Times New Roman" w:cs="Times New Roman"/>
          <w:color w:val="auto"/>
          <w:sz w:val="28"/>
          <w:szCs w:val="28"/>
        </w:rPr>
        <w:t>ir imobilizacijai</w:t>
      </w:r>
      <w:bookmarkEnd w:id="23"/>
    </w:p>
    <w:p w:rsidR="00FA7DEE" w:rsidRDefault="00FA7DEE" w:rsidP="002F2793">
      <w:pPr>
        <w:spacing w:after="0" w:line="360" w:lineRule="auto"/>
        <w:contextualSpacing/>
        <w:jc w:val="both"/>
        <w:rPr>
          <w:rFonts w:ascii="Times New Roman" w:hAnsi="Times New Roman" w:cs="Times New Roman"/>
          <w:b/>
          <w:sz w:val="28"/>
          <w:szCs w:val="28"/>
        </w:rPr>
      </w:pPr>
    </w:p>
    <w:p w:rsidR="002F2793" w:rsidRDefault="003F683B" w:rsidP="002F2793">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Gipsinis tvarstis turi būti išmodeliuotas, taip kad pasipriešintų deformuojančioms jėgoms. K</w:t>
      </w:r>
      <w:r w:rsidR="001C55BA" w:rsidRPr="002151CE">
        <w:rPr>
          <w:rFonts w:ascii="Times New Roman" w:hAnsi="Times New Roman" w:cs="Times New Roman"/>
          <w:sz w:val="24"/>
          <w:szCs w:val="24"/>
        </w:rPr>
        <w:t>ai lūžis laikomas stabilus, ranka gali būti imobilizuojama</w:t>
      </w:r>
      <w:r w:rsidR="004D3A35">
        <w:rPr>
          <w:rFonts w:ascii="Times New Roman" w:hAnsi="Times New Roman" w:cs="Times New Roman"/>
          <w:sz w:val="24"/>
          <w:szCs w:val="24"/>
        </w:rPr>
        <w:t xml:space="preserve"> nuo</w:t>
      </w:r>
      <w:r w:rsidR="001C55BA" w:rsidRPr="002151CE">
        <w:rPr>
          <w:rFonts w:ascii="Times New Roman" w:hAnsi="Times New Roman" w:cs="Times New Roman"/>
          <w:sz w:val="24"/>
          <w:szCs w:val="24"/>
        </w:rPr>
        <w:t xml:space="preserve"> 4 iki 6 savaičių, priklausomai nuo gijimo ir bendros paciento būklės. Tinkamai taikomas proksimalinėje delnų pusėje įtvaras turi leisti visiškai aktyvų pirštų lenkimą. Jei įtvaras taikomas netinkamai, gali padidėti pirštų edema ir ranka tampa sustingusi, net jei nuimamas įtvaras</w:t>
      </w:r>
      <w:r w:rsidR="004B5E9C">
        <w:rPr>
          <w:rFonts w:ascii="Times New Roman" w:hAnsi="Times New Roman" w:cs="Times New Roman"/>
          <w:sz w:val="24"/>
          <w:szCs w:val="24"/>
        </w:rPr>
        <w:t xml:space="preserve"> (62)</w:t>
      </w:r>
      <w:r w:rsidR="001C55BA" w:rsidRPr="002151CE">
        <w:rPr>
          <w:rFonts w:ascii="Times New Roman" w:hAnsi="Times New Roman" w:cs="Times New Roman"/>
          <w:sz w:val="24"/>
          <w:szCs w:val="24"/>
        </w:rPr>
        <w:t>.</w:t>
      </w:r>
    </w:p>
    <w:p w:rsidR="002F2793" w:rsidRDefault="001C55BA" w:rsidP="002F2793">
      <w:pPr>
        <w:spacing w:after="0" w:line="360" w:lineRule="auto"/>
        <w:ind w:firstLine="851"/>
        <w:contextualSpacing/>
        <w:jc w:val="both"/>
        <w:rPr>
          <w:rFonts w:ascii="Times New Roman" w:hAnsi="Times New Roman" w:cs="Times New Roman"/>
          <w:sz w:val="24"/>
          <w:szCs w:val="24"/>
        </w:rPr>
      </w:pPr>
      <w:r w:rsidRPr="002151CE">
        <w:rPr>
          <w:rFonts w:ascii="Times New Roman" w:hAnsi="Times New Roman" w:cs="Times New Roman"/>
          <w:sz w:val="24"/>
          <w:szCs w:val="24"/>
        </w:rPr>
        <w:t>Atliekami pratimai, kurie didina sausgyslių slidimą ir palengvina vidinį tempimą.</w:t>
      </w:r>
      <w:r w:rsidR="00444151" w:rsidRPr="002151CE">
        <w:rPr>
          <w:rFonts w:ascii="Times New Roman" w:hAnsi="Times New Roman" w:cs="Times New Roman"/>
          <w:sz w:val="24"/>
          <w:szCs w:val="24"/>
        </w:rPr>
        <w:t xml:space="preserve"> </w:t>
      </w:r>
      <w:r w:rsidR="001A5BCA" w:rsidRPr="002151CE">
        <w:rPr>
          <w:rFonts w:ascii="Times New Roman" w:hAnsi="Times New Roman" w:cs="Times New Roman"/>
          <w:sz w:val="24"/>
          <w:szCs w:val="24"/>
        </w:rPr>
        <w:t>P</w:t>
      </w:r>
      <w:r w:rsidR="00444151" w:rsidRPr="002151CE">
        <w:rPr>
          <w:rFonts w:ascii="Times New Roman" w:hAnsi="Times New Roman" w:cs="Times New Roman"/>
          <w:sz w:val="24"/>
          <w:szCs w:val="24"/>
        </w:rPr>
        <w:t>acientas turi būti apmokomas namų mankštos programos</w:t>
      </w:r>
      <w:r w:rsidR="006C5119">
        <w:rPr>
          <w:rFonts w:ascii="Times New Roman" w:hAnsi="Times New Roman" w:cs="Times New Roman"/>
          <w:sz w:val="24"/>
          <w:szCs w:val="24"/>
        </w:rPr>
        <w:t xml:space="preserve"> </w:t>
      </w:r>
      <w:r w:rsidR="004D3A35">
        <w:rPr>
          <w:rFonts w:ascii="Times New Roman" w:hAnsi="Times New Roman" w:cs="Times New Roman"/>
          <w:sz w:val="24"/>
          <w:szCs w:val="24"/>
        </w:rPr>
        <w:t xml:space="preserve">su </w:t>
      </w:r>
      <w:r w:rsidR="006C5119">
        <w:rPr>
          <w:rFonts w:ascii="Times New Roman" w:hAnsi="Times New Roman" w:cs="Times New Roman"/>
          <w:sz w:val="24"/>
          <w:szCs w:val="24"/>
        </w:rPr>
        <w:t>tikslu</w:t>
      </w:r>
      <w:r w:rsidR="00444151" w:rsidRPr="002151CE">
        <w:rPr>
          <w:rFonts w:ascii="Times New Roman" w:hAnsi="Times New Roman" w:cs="Times New Roman"/>
          <w:sz w:val="24"/>
          <w:szCs w:val="24"/>
        </w:rPr>
        <w:t>, gerinti pečių ir alkūnės judesių amplitudę.</w:t>
      </w:r>
    </w:p>
    <w:p w:rsidR="001C55BA" w:rsidRDefault="00444151" w:rsidP="002F2793">
      <w:pPr>
        <w:spacing w:after="0" w:line="360" w:lineRule="auto"/>
        <w:ind w:firstLine="851"/>
        <w:contextualSpacing/>
        <w:jc w:val="both"/>
        <w:rPr>
          <w:rFonts w:ascii="Times New Roman" w:hAnsi="Times New Roman" w:cs="Times New Roman"/>
          <w:sz w:val="24"/>
          <w:szCs w:val="24"/>
        </w:rPr>
      </w:pPr>
      <w:r w:rsidRPr="002151CE">
        <w:rPr>
          <w:rFonts w:ascii="Times New Roman" w:hAnsi="Times New Roman" w:cs="Times New Roman"/>
          <w:sz w:val="24"/>
          <w:szCs w:val="24"/>
        </w:rPr>
        <w:t xml:space="preserve">Kai kuriems pacientams, ypač vyresnio amžiaus žmonėms, po chirurginio gydymo susirgus osteoartritu ir jaučiant ilgalaikį riešo skausmą bei pirštų sustingimą, reikia taikyti </w:t>
      </w:r>
      <w:r w:rsidR="006C5119">
        <w:rPr>
          <w:rFonts w:ascii="Times New Roman" w:hAnsi="Times New Roman" w:cs="Times New Roman"/>
          <w:sz w:val="24"/>
          <w:szCs w:val="24"/>
        </w:rPr>
        <w:t>gydymą</w:t>
      </w:r>
      <w:r w:rsidR="001611EB" w:rsidRPr="002151CE">
        <w:rPr>
          <w:rFonts w:ascii="Times New Roman" w:hAnsi="Times New Roman" w:cs="Times New Roman"/>
          <w:sz w:val="24"/>
          <w:szCs w:val="24"/>
        </w:rPr>
        <w:t xml:space="preserve"> su nuolatine priežiūra (53).</w:t>
      </w:r>
      <w:r w:rsidRPr="002151CE">
        <w:rPr>
          <w:rFonts w:ascii="Times New Roman" w:hAnsi="Times New Roman" w:cs="Times New Roman"/>
          <w:sz w:val="24"/>
          <w:szCs w:val="24"/>
        </w:rPr>
        <w:t xml:space="preserve">  </w:t>
      </w:r>
    </w:p>
    <w:p w:rsidR="00844D59" w:rsidRPr="002151CE" w:rsidRDefault="00844D59" w:rsidP="002F2793">
      <w:pPr>
        <w:spacing w:after="0" w:line="360" w:lineRule="auto"/>
        <w:ind w:firstLine="1296"/>
        <w:contextualSpacing/>
        <w:jc w:val="both"/>
        <w:rPr>
          <w:rFonts w:ascii="Times New Roman" w:hAnsi="Times New Roman" w:cs="Times New Roman"/>
          <w:sz w:val="24"/>
          <w:szCs w:val="24"/>
        </w:rPr>
      </w:pPr>
    </w:p>
    <w:p w:rsidR="00A630F7" w:rsidRPr="00FA7DEE" w:rsidRDefault="00917416" w:rsidP="002F2793">
      <w:pPr>
        <w:pStyle w:val="Antrat2"/>
        <w:spacing w:before="0" w:line="360" w:lineRule="auto"/>
        <w:contextualSpacing/>
        <w:rPr>
          <w:rFonts w:ascii="Times New Roman" w:hAnsi="Times New Roman" w:cs="Times New Roman"/>
          <w:color w:val="auto"/>
          <w:sz w:val="28"/>
          <w:szCs w:val="28"/>
        </w:rPr>
      </w:pPr>
      <w:bookmarkStart w:id="24" w:name="_Toc388560339"/>
      <w:r w:rsidRPr="00FA7DEE">
        <w:rPr>
          <w:rFonts w:ascii="Times New Roman" w:hAnsi="Times New Roman" w:cs="Times New Roman"/>
          <w:color w:val="auto"/>
          <w:sz w:val="28"/>
          <w:szCs w:val="28"/>
        </w:rPr>
        <w:t>1.1</w:t>
      </w:r>
      <w:r w:rsidR="004D3BEB" w:rsidRPr="00FA7DEE">
        <w:rPr>
          <w:rFonts w:ascii="Times New Roman" w:hAnsi="Times New Roman" w:cs="Times New Roman"/>
          <w:color w:val="auto"/>
          <w:sz w:val="28"/>
          <w:szCs w:val="28"/>
        </w:rPr>
        <w:t xml:space="preserve">3 </w:t>
      </w:r>
      <w:r w:rsidR="006C5119">
        <w:rPr>
          <w:rFonts w:ascii="Times New Roman" w:hAnsi="Times New Roman" w:cs="Times New Roman"/>
          <w:color w:val="auto"/>
          <w:sz w:val="28"/>
          <w:szCs w:val="28"/>
        </w:rPr>
        <w:t>Gydymas</w:t>
      </w:r>
      <w:r w:rsidR="00A630F7" w:rsidRPr="00FA7DEE">
        <w:rPr>
          <w:rFonts w:ascii="Times New Roman" w:hAnsi="Times New Roman" w:cs="Times New Roman"/>
          <w:color w:val="auto"/>
          <w:sz w:val="28"/>
          <w:szCs w:val="28"/>
        </w:rPr>
        <w:t xml:space="preserve"> esant </w:t>
      </w:r>
      <w:r w:rsidR="00902CAC" w:rsidRPr="00FA7DEE">
        <w:rPr>
          <w:rFonts w:ascii="Times New Roman" w:hAnsi="Times New Roman" w:cs="Times New Roman"/>
          <w:color w:val="auto"/>
          <w:sz w:val="28"/>
          <w:szCs w:val="28"/>
        </w:rPr>
        <w:t>uždarai</w:t>
      </w:r>
      <w:r w:rsidR="00A630F7" w:rsidRPr="00FA7DEE">
        <w:rPr>
          <w:rFonts w:ascii="Times New Roman" w:hAnsi="Times New Roman" w:cs="Times New Roman"/>
          <w:color w:val="auto"/>
          <w:sz w:val="28"/>
          <w:szCs w:val="28"/>
        </w:rPr>
        <w:t xml:space="preserve"> repozicijai</w:t>
      </w:r>
      <w:r w:rsidR="00902CAC" w:rsidRPr="00FA7DEE">
        <w:rPr>
          <w:rFonts w:ascii="Times New Roman" w:hAnsi="Times New Roman" w:cs="Times New Roman"/>
          <w:color w:val="auto"/>
          <w:sz w:val="28"/>
          <w:szCs w:val="28"/>
        </w:rPr>
        <w:t xml:space="preserve"> su išorine fiksacija</w:t>
      </w:r>
      <w:bookmarkEnd w:id="24"/>
    </w:p>
    <w:p w:rsidR="002F2793" w:rsidRDefault="002F2793" w:rsidP="002F2793">
      <w:pPr>
        <w:spacing w:after="0" w:line="360" w:lineRule="auto"/>
        <w:contextualSpacing/>
        <w:jc w:val="both"/>
        <w:rPr>
          <w:rFonts w:ascii="Times New Roman" w:hAnsi="Times New Roman" w:cs="Times New Roman"/>
          <w:b/>
          <w:sz w:val="28"/>
          <w:szCs w:val="28"/>
        </w:rPr>
      </w:pPr>
    </w:p>
    <w:p w:rsidR="002F2793" w:rsidRDefault="001611EB" w:rsidP="002F2793">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Išorinė fiksacija - dažniausiai taikomas gydymas esant politraumoms, minkštųjų audinių pažeidimui, atviriems lūžiams</w:t>
      </w:r>
      <w:r w:rsidR="00231337">
        <w:rPr>
          <w:rFonts w:ascii="Times New Roman" w:hAnsi="Times New Roman" w:cs="Times New Roman"/>
          <w:sz w:val="24"/>
          <w:szCs w:val="24"/>
        </w:rPr>
        <w:t>.</w:t>
      </w:r>
      <w:r>
        <w:rPr>
          <w:rFonts w:ascii="Times New Roman" w:hAnsi="Times New Roman" w:cs="Times New Roman"/>
          <w:sz w:val="24"/>
          <w:szCs w:val="24"/>
        </w:rPr>
        <w:t xml:space="preserve"> </w:t>
      </w:r>
      <w:r w:rsidR="001A5BCA">
        <w:rPr>
          <w:rFonts w:ascii="Times New Roman" w:hAnsi="Times New Roman" w:cs="Times New Roman"/>
          <w:sz w:val="24"/>
          <w:szCs w:val="24"/>
        </w:rPr>
        <w:t>T</w:t>
      </w:r>
      <w:r>
        <w:rPr>
          <w:rFonts w:ascii="Times New Roman" w:hAnsi="Times New Roman" w:cs="Times New Roman"/>
          <w:sz w:val="24"/>
          <w:szCs w:val="24"/>
        </w:rPr>
        <w:t>uri</w:t>
      </w:r>
      <w:r w:rsidR="001A5BCA">
        <w:rPr>
          <w:rFonts w:ascii="Times New Roman" w:hAnsi="Times New Roman" w:cs="Times New Roman"/>
          <w:sz w:val="24"/>
          <w:szCs w:val="24"/>
        </w:rPr>
        <w:t xml:space="preserve"> būti</w:t>
      </w:r>
      <w:r>
        <w:rPr>
          <w:rFonts w:ascii="Times New Roman" w:hAnsi="Times New Roman" w:cs="Times New Roman"/>
          <w:sz w:val="24"/>
          <w:szCs w:val="24"/>
        </w:rPr>
        <w:t xml:space="preserve"> atsižvelgt</w:t>
      </w:r>
      <w:r w:rsidR="001A5BCA">
        <w:rPr>
          <w:rFonts w:ascii="Times New Roman" w:hAnsi="Times New Roman" w:cs="Times New Roman"/>
          <w:sz w:val="24"/>
          <w:szCs w:val="24"/>
        </w:rPr>
        <w:t>a</w:t>
      </w:r>
      <w:r>
        <w:rPr>
          <w:rFonts w:ascii="Times New Roman" w:hAnsi="Times New Roman" w:cs="Times New Roman"/>
          <w:sz w:val="24"/>
          <w:szCs w:val="24"/>
        </w:rPr>
        <w:t xml:space="preserve"> į minkštųj</w:t>
      </w:r>
      <w:r w:rsidR="003277A8">
        <w:rPr>
          <w:rFonts w:ascii="Times New Roman" w:hAnsi="Times New Roman" w:cs="Times New Roman"/>
          <w:sz w:val="24"/>
          <w:szCs w:val="24"/>
        </w:rPr>
        <w:t>ų audinių pažeidimus ir parinktas</w:t>
      </w:r>
      <w:r>
        <w:rPr>
          <w:rFonts w:ascii="Times New Roman" w:hAnsi="Times New Roman" w:cs="Times New Roman"/>
          <w:sz w:val="24"/>
          <w:szCs w:val="24"/>
        </w:rPr>
        <w:t xml:space="preserve"> tinkam</w:t>
      </w:r>
      <w:r w:rsidR="003277A8">
        <w:rPr>
          <w:rFonts w:ascii="Times New Roman" w:hAnsi="Times New Roman" w:cs="Times New Roman"/>
          <w:sz w:val="24"/>
          <w:szCs w:val="24"/>
        </w:rPr>
        <w:t>as terapinis</w:t>
      </w:r>
      <w:r>
        <w:rPr>
          <w:rFonts w:ascii="Times New Roman" w:hAnsi="Times New Roman" w:cs="Times New Roman"/>
          <w:sz w:val="24"/>
          <w:szCs w:val="24"/>
        </w:rPr>
        <w:t xml:space="preserve"> gydym</w:t>
      </w:r>
      <w:r w:rsidR="003277A8">
        <w:rPr>
          <w:rFonts w:ascii="Times New Roman" w:hAnsi="Times New Roman" w:cs="Times New Roman"/>
          <w:sz w:val="24"/>
          <w:szCs w:val="24"/>
        </w:rPr>
        <w:t>as</w:t>
      </w:r>
      <w:r>
        <w:rPr>
          <w:rFonts w:ascii="Times New Roman" w:hAnsi="Times New Roman" w:cs="Times New Roman"/>
          <w:sz w:val="24"/>
          <w:szCs w:val="24"/>
        </w:rPr>
        <w:t>.</w:t>
      </w:r>
      <w:r w:rsidR="000C238D">
        <w:rPr>
          <w:rFonts w:ascii="Times New Roman" w:hAnsi="Times New Roman" w:cs="Times New Roman"/>
          <w:sz w:val="24"/>
          <w:szCs w:val="24"/>
        </w:rPr>
        <w:t xml:space="preserve"> Kai po SDGL yra taikoma išorinė fiksacija, komplikacijos dažniausiai pasireiškia sraigtų srityje infekcija, edema, vidiniu pirštų spaudimu. </w:t>
      </w:r>
      <w:r w:rsidR="00672B79">
        <w:rPr>
          <w:rFonts w:ascii="Times New Roman" w:hAnsi="Times New Roman" w:cs="Times New Roman"/>
          <w:sz w:val="24"/>
          <w:szCs w:val="24"/>
        </w:rPr>
        <w:t xml:space="preserve">Pacientui paskyrus rankos terapiją </w:t>
      </w:r>
      <w:r w:rsidR="00672B79">
        <w:rPr>
          <w:rFonts w:ascii="Times New Roman" w:hAnsi="Times New Roman" w:cs="Times New Roman"/>
          <w:sz w:val="24"/>
          <w:szCs w:val="24"/>
        </w:rPr>
        <w:lastRenderedPageBreak/>
        <w:t xml:space="preserve">su išorine fiksacija </w:t>
      </w:r>
      <w:r w:rsidR="00E406B2">
        <w:rPr>
          <w:rFonts w:ascii="Times New Roman" w:hAnsi="Times New Roman" w:cs="Times New Roman"/>
          <w:sz w:val="24"/>
          <w:szCs w:val="24"/>
        </w:rPr>
        <w:t>reikia atlikti paciento būklės įvertinimą ir atsižvelgti į: pe</w:t>
      </w:r>
      <w:r w:rsidR="006C5119">
        <w:rPr>
          <w:rFonts w:ascii="Times New Roman" w:hAnsi="Times New Roman" w:cs="Times New Roman"/>
          <w:sz w:val="24"/>
          <w:szCs w:val="24"/>
        </w:rPr>
        <w:t>čių, alkūnė</w:t>
      </w:r>
      <w:r w:rsidR="00E406B2">
        <w:rPr>
          <w:rFonts w:ascii="Times New Roman" w:hAnsi="Times New Roman" w:cs="Times New Roman"/>
          <w:sz w:val="24"/>
          <w:szCs w:val="24"/>
        </w:rPr>
        <w:t>s ir pirštų judesių amplitudę, edemą, įvertinti kinezioteip</w:t>
      </w:r>
      <w:r w:rsidR="004D3A35">
        <w:rPr>
          <w:rFonts w:ascii="Times New Roman" w:hAnsi="Times New Roman" w:cs="Times New Roman"/>
          <w:sz w:val="24"/>
          <w:szCs w:val="24"/>
        </w:rPr>
        <w:t>avimo juostų</w:t>
      </w:r>
      <w:r w:rsidR="00E406B2">
        <w:rPr>
          <w:rFonts w:ascii="Times New Roman" w:hAnsi="Times New Roman" w:cs="Times New Roman"/>
          <w:sz w:val="24"/>
          <w:szCs w:val="24"/>
        </w:rPr>
        <w:t xml:space="preserve"> naudojimą. Gydymas yra toks pat kaip su įtvarais: taikomas retrogradinis masažas, naudojami kompresiniai tvarsčiai ar kinezioteipai ir taikomi aktyvių judesių pratimai </w:t>
      </w:r>
      <w:r w:rsidR="004D3A35">
        <w:rPr>
          <w:rFonts w:ascii="Times New Roman" w:hAnsi="Times New Roman" w:cs="Times New Roman"/>
          <w:sz w:val="24"/>
          <w:szCs w:val="24"/>
        </w:rPr>
        <w:t>(54).</w:t>
      </w:r>
    </w:p>
    <w:p w:rsidR="002F2793" w:rsidRDefault="00E406B2" w:rsidP="002F2793">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Pacientus reikia apmokyti kaip rūpintis traumuota ranka. Sraigtų vieta turi būti sausa ir švari, kad neatsirastų infekcija. </w:t>
      </w:r>
      <w:r w:rsidR="00D11F5D">
        <w:rPr>
          <w:rFonts w:ascii="Times New Roman" w:hAnsi="Times New Roman" w:cs="Times New Roman"/>
          <w:sz w:val="24"/>
          <w:szCs w:val="24"/>
        </w:rPr>
        <w:t>Pažeidimo vietą rekomenduojama valyti druskos tirpalais arba atskiesti vandenilio peroksidą ir nuvalyti medvilnine vata</w:t>
      </w:r>
      <w:r w:rsidR="005C427E">
        <w:rPr>
          <w:rFonts w:ascii="Times New Roman" w:hAnsi="Times New Roman" w:cs="Times New Roman"/>
          <w:sz w:val="24"/>
          <w:szCs w:val="24"/>
        </w:rPr>
        <w:t xml:space="preserve"> (28)</w:t>
      </w:r>
      <w:r w:rsidR="00D11F5D">
        <w:rPr>
          <w:rFonts w:ascii="Times New Roman" w:hAnsi="Times New Roman" w:cs="Times New Roman"/>
          <w:sz w:val="24"/>
          <w:szCs w:val="24"/>
        </w:rPr>
        <w:t>.</w:t>
      </w:r>
    </w:p>
    <w:p w:rsidR="00D11F5D" w:rsidRDefault="00D11F5D" w:rsidP="002F2793">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Taip pat turi būti atliekami sausgyslių slydimo pratimai. Ypatingas dėmesys turi būti skiriamas pirštams, dėl nugarinių sraigtų, esančių per arti </w:t>
      </w:r>
      <w:r w:rsidR="00443FE7">
        <w:rPr>
          <w:rFonts w:ascii="Times New Roman" w:hAnsi="Times New Roman" w:cs="Times New Roman"/>
          <w:sz w:val="24"/>
          <w:szCs w:val="24"/>
        </w:rPr>
        <w:t>tiesiamojo smiliaus raumens (lot. m. extensor indicis) ir tiesiamojo pirštų raumens (m. extensor digitorum). T</w:t>
      </w:r>
      <w:r w:rsidR="008A0583">
        <w:rPr>
          <w:rFonts w:ascii="Times New Roman" w:hAnsi="Times New Roman" w:cs="Times New Roman"/>
          <w:sz w:val="24"/>
          <w:szCs w:val="24"/>
        </w:rPr>
        <w:t>aip pat reikia įvertinti stipininio nervo dalyvavimą, dėl sraigtų esančių per arti nervinės šakos. Dėl patirtos traumos riešo srityje, po fiksacijos dažniausiai pasitaiko ir ūmus riešo kanalo sind</w:t>
      </w:r>
      <w:r w:rsidR="00AC66CF">
        <w:rPr>
          <w:rFonts w:ascii="Times New Roman" w:hAnsi="Times New Roman" w:cs="Times New Roman"/>
          <w:sz w:val="24"/>
          <w:szCs w:val="24"/>
        </w:rPr>
        <w:t>romas. Terapeutas turi numatyti riešo srityje esančius pokyčius ir pranešti chirurgui (54</w:t>
      </w:r>
      <w:r w:rsidR="00777455">
        <w:rPr>
          <w:rFonts w:ascii="Times New Roman" w:hAnsi="Times New Roman" w:cs="Times New Roman"/>
          <w:sz w:val="24"/>
          <w:szCs w:val="24"/>
        </w:rPr>
        <w:t>,55</w:t>
      </w:r>
      <w:r w:rsidR="00AC66CF">
        <w:rPr>
          <w:rFonts w:ascii="Times New Roman" w:hAnsi="Times New Roman" w:cs="Times New Roman"/>
          <w:sz w:val="24"/>
          <w:szCs w:val="24"/>
        </w:rPr>
        <w:t>)</w:t>
      </w:r>
      <w:r w:rsidR="008A0583">
        <w:rPr>
          <w:rFonts w:ascii="Times New Roman" w:hAnsi="Times New Roman" w:cs="Times New Roman"/>
          <w:sz w:val="24"/>
          <w:szCs w:val="24"/>
        </w:rPr>
        <w:t xml:space="preserve">. </w:t>
      </w:r>
    </w:p>
    <w:p w:rsidR="00B22E97" w:rsidRPr="001611EB" w:rsidRDefault="00B22E97" w:rsidP="002F2793">
      <w:pPr>
        <w:spacing w:after="0" w:line="360" w:lineRule="auto"/>
        <w:ind w:firstLine="1296"/>
        <w:contextualSpacing/>
        <w:jc w:val="both"/>
        <w:rPr>
          <w:rFonts w:ascii="Times New Roman" w:hAnsi="Times New Roman" w:cs="Times New Roman"/>
          <w:sz w:val="24"/>
          <w:szCs w:val="24"/>
        </w:rPr>
      </w:pPr>
    </w:p>
    <w:p w:rsidR="00A630F7" w:rsidRPr="00B22E97" w:rsidRDefault="00917416" w:rsidP="002F2793">
      <w:pPr>
        <w:pStyle w:val="Antrat2"/>
        <w:spacing w:before="0" w:line="360" w:lineRule="auto"/>
        <w:contextualSpacing/>
        <w:rPr>
          <w:rFonts w:ascii="Times New Roman" w:hAnsi="Times New Roman" w:cs="Times New Roman"/>
          <w:color w:val="auto"/>
          <w:sz w:val="28"/>
          <w:szCs w:val="28"/>
        </w:rPr>
      </w:pPr>
      <w:bookmarkStart w:id="25" w:name="_Toc388560340"/>
      <w:r w:rsidRPr="00B22E97">
        <w:rPr>
          <w:rFonts w:ascii="Times New Roman" w:hAnsi="Times New Roman" w:cs="Times New Roman"/>
          <w:color w:val="auto"/>
          <w:sz w:val="28"/>
          <w:szCs w:val="28"/>
        </w:rPr>
        <w:t xml:space="preserve">1.14 </w:t>
      </w:r>
      <w:r w:rsidR="006C5119">
        <w:rPr>
          <w:rFonts w:ascii="Times New Roman" w:hAnsi="Times New Roman" w:cs="Times New Roman"/>
          <w:color w:val="auto"/>
          <w:sz w:val="28"/>
          <w:szCs w:val="28"/>
        </w:rPr>
        <w:t>Gydymas</w:t>
      </w:r>
      <w:r w:rsidR="00A630F7" w:rsidRPr="00B22E97">
        <w:rPr>
          <w:rFonts w:ascii="Times New Roman" w:hAnsi="Times New Roman" w:cs="Times New Roman"/>
          <w:color w:val="auto"/>
          <w:sz w:val="28"/>
          <w:szCs w:val="28"/>
        </w:rPr>
        <w:t xml:space="preserve"> </w:t>
      </w:r>
      <w:r w:rsidR="00902CAC" w:rsidRPr="00B22E97">
        <w:rPr>
          <w:rFonts w:ascii="Times New Roman" w:hAnsi="Times New Roman" w:cs="Times New Roman"/>
          <w:color w:val="auto"/>
          <w:sz w:val="28"/>
          <w:szCs w:val="28"/>
        </w:rPr>
        <w:t>esant atvirai repozicijai</w:t>
      </w:r>
      <w:r w:rsidR="00192BE0" w:rsidRPr="00B22E97">
        <w:rPr>
          <w:rFonts w:ascii="Times New Roman" w:hAnsi="Times New Roman" w:cs="Times New Roman"/>
          <w:color w:val="auto"/>
          <w:sz w:val="28"/>
          <w:szCs w:val="28"/>
        </w:rPr>
        <w:t xml:space="preserve"> su išorine fiksacija</w:t>
      </w:r>
      <w:bookmarkEnd w:id="25"/>
    </w:p>
    <w:p w:rsidR="002F2793" w:rsidRDefault="002F2793" w:rsidP="002F2793">
      <w:pPr>
        <w:spacing w:after="0" w:line="360" w:lineRule="auto"/>
        <w:contextualSpacing/>
        <w:jc w:val="both"/>
        <w:rPr>
          <w:rFonts w:ascii="Times New Roman" w:hAnsi="Times New Roman" w:cs="Times New Roman"/>
          <w:b/>
          <w:sz w:val="28"/>
          <w:szCs w:val="28"/>
        </w:rPr>
      </w:pPr>
    </w:p>
    <w:p w:rsidR="002F2793" w:rsidRDefault="002D49DB" w:rsidP="002F2793">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Dažniausiai riešo pratimai pradedami iškart po fiksacijos, tačiau pooperaciniu laikotarpiu reikia stebėti ar nesiformuoja edema ar sausgyslių tempimas. Jei riešo pratimus chirurgas rekomenduoja atlikti iškart po fiksacijos, rekomenduojama dėvėti riešo įtvarą</w:t>
      </w:r>
      <w:r w:rsidR="006D7E6A">
        <w:rPr>
          <w:rFonts w:ascii="Times New Roman" w:hAnsi="Times New Roman" w:cs="Times New Roman"/>
          <w:sz w:val="24"/>
          <w:szCs w:val="24"/>
        </w:rPr>
        <w:t xml:space="preserve"> 6 savaites po SDGL prieš ir po užsiėmimų. Korekcinis riešo įtvaras pagaminamas ir pritaikomas specialiai pažeistajai galūnei. Randams gydyti taikoma masažas ir silikoninės gelio pagalvėlės. Komplikacijos pasitaikančios po </w:t>
      </w:r>
      <w:r w:rsidR="003A559D">
        <w:rPr>
          <w:rFonts w:ascii="Times New Roman" w:hAnsi="Times New Roman" w:cs="Times New Roman"/>
          <w:sz w:val="24"/>
          <w:szCs w:val="24"/>
        </w:rPr>
        <w:t xml:space="preserve">„volar“ </w:t>
      </w:r>
      <w:r w:rsidR="006D7E6A">
        <w:rPr>
          <w:rFonts w:ascii="Times New Roman" w:hAnsi="Times New Roman" w:cs="Times New Roman"/>
          <w:sz w:val="24"/>
          <w:szCs w:val="24"/>
        </w:rPr>
        <w:t>plokštelių fiksacijos: plyšta ilgasis lenkiamasis rankos nykščio raumuo (lot. m. flexor pollicis longus) ir tiesiamųjų r. sausgyslės (</w:t>
      </w:r>
      <w:r w:rsidR="00777455">
        <w:rPr>
          <w:rFonts w:ascii="Times New Roman" w:hAnsi="Times New Roman" w:cs="Times New Roman"/>
          <w:sz w:val="24"/>
          <w:szCs w:val="24"/>
        </w:rPr>
        <w:t>angl. extensor tendons). Jei nepagerėja nykščio DIP ir PIP sąnarių amplitudė lenkimo ir tiesimo metu, tai nykštys turi būti stebimas siekiant išvengti tolimesnių komplikacijų (56).</w:t>
      </w:r>
    </w:p>
    <w:p w:rsidR="004B4CF5" w:rsidRPr="002F2793" w:rsidRDefault="004225EB" w:rsidP="002F2793">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Tyrimais įrodyta, </w:t>
      </w:r>
      <w:r w:rsidR="003A559D">
        <w:rPr>
          <w:rFonts w:ascii="Times New Roman" w:hAnsi="Times New Roman" w:cs="Times New Roman"/>
          <w:sz w:val="24"/>
          <w:szCs w:val="24"/>
        </w:rPr>
        <w:t>jog</w:t>
      </w:r>
      <w:r>
        <w:rPr>
          <w:rFonts w:ascii="Times New Roman" w:hAnsi="Times New Roman" w:cs="Times New Roman"/>
          <w:sz w:val="24"/>
          <w:szCs w:val="24"/>
        </w:rPr>
        <w:t xml:space="preserve"> taikant „Dorsal“ plokštelių fiksaciją, pacientams po procedūrų riešo judesių amplitudė padidėjo iki 80</w:t>
      </w:r>
      <w:r w:rsidRPr="003E5367">
        <w:rPr>
          <w:rFonts w:ascii="Times New Roman" w:hAnsi="Times New Roman" w:cs="Times New Roman"/>
          <w:sz w:val="24"/>
          <w:szCs w:val="24"/>
        </w:rPr>
        <w:t xml:space="preserve"> proc (57). </w:t>
      </w:r>
      <w:r>
        <w:rPr>
          <w:rFonts w:ascii="Times New Roman" w:hAnsi="Times New Roman" w:cs="Times New Roman"/>
          <w:sz w:val="24"/>
          <w:szCs w:val="24"/>
          <w:lang w:val="en-US"/>
        </w:rPr>
        <w:t>Kit</w:t>
      </w:r>
      <w:r w:rsidR="00A334B5">
        <w:rPr>
          <w:rFonts w:ascii="Times New Roman" w:hAnsi="Times New Roman" w:cs="Times New Roman"/>
          <w:sz w:val="24"/>
          <w:szCs w:val="24"/>
          <w:lang w:val="en-US"/>
        </w:rPr>
        <w:t>as atliktas</w:t>
      </w:r>
      <w:r>
        <w:rPr>
          <w:rFonts w:ascii="Times New Roman" w:hAnsi="Times New Roman" w:cs="Times New Roman"/>
          <w:sz w:val="24"/>
          <w:szCs w:val="24"/>
          <w:lang w:val="en-US"/>
        </w:rPr>
        <w:t xml:space="preserve"> tyrima</w:t>
      </w:r>
      <w:r w:rsidR="00A334B5">
        <w:rPr>
          <w:rFonts w:ascii="Times New Roman" w:hAnsi="Times New Roman" w:cs="Times New Roman"/>
          <w:sz w:val="24"/>
          <w:szCs w:val="24"/>
          <w:lang w:val="en-US"/>
        </w:rPr>
        <w:t>s</w:t>
      </w:r>
      <w:r>
        <w:rPr>
          <w:rFonts w:ascii="Times New Roman" w:hAnsi="Times New Roman" w:cs="Times New Roman"/>
          <w:sz w:val="24"/>
          <w:szCs w:val="24"/>
          <w:lang w:val="en-US"/>
        </w:rPr>
        <w:t xml:space="preserve"> taip pat įrodė šių </w:t>
      </w:r>
      <w:r w:rsidR="003A559D">
        <w:rPr>
          <w:rFonts w:ascii="Times New Roman" w:hAnsi="Times New Roman" w:cs="Times New Roman"/>
          <w:sz w:val="24"/>
          <w:szCs w:val="24"/>
          <w:lang w:val="en-US"/>
        </w:rPr>
        <w:t>plok</w:t>
      </w:r>
      <w:r w:rsidR="00A0698E">
        <w:rPr>
          <w:rFonts w:ascii="Times New Roman" w:hAnsi="Times New Roman" w:cs="Times New Roman"/>
          <w:sz w:val="24"/>
          <w:szCs w:val="24"/>
          <w:lang w:val="en-US"/>
        </w:rPr>
        <w:t>štelių teigiamus rezultatus</w:t>
      </w:r>
      <w:r w:rsidR="003308E3">
        <w:rPr>
          <w:rFonts w:ascii="Times New Roman" w:hAnsi="Times New Roman" w:cs="Times New Roman"/>
          <w:sz w:val="24"/>
          <w:szCs w:val="24"/>
          <w:lang w:val="en-US"/>
        </w:rPr>
        <w:t>. Dažniausiai pasitaikančios komplikacijos: plyšta ilgasis tiesiamasis nykščio raumuo (lot. m. extensor pollicis longus) arba tiesimųjų pirštų raumenų sausgyslės ( lot. m. extensor digitorum communis)</w:t>
      </w:r>
      <w:r w:rsidR="00A0698E">
        <w:rPr>
          <w:rFonts w:ascii="Times New Roman" w:hAnsi="Times New Roman" w:cs="Times New Roman"/>
          <w:sz w:val="24"/>
          <w:szCs w:val="24"/>
          <w:lang w:val="en-US"/>
        </w:rPr>
        <w:t xml:space="preserve"> (58</w:t>
      </w:r>
      <w:r w:rsidR="003A559D">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rsidR="00A334B5" w:rsidRPr="004225EB" w:rsidRDefault="00B22E97" w:rsidP="002F2793">
      <w:pPr>
        <w:spacing w:after="0" w:line="360" w:lineRule="auto"/>
        <w:ind w:firstLine="1296"/>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A630F7" w:rsidRDefault="00917416" w:rsidP="002F2793">
      <w:pPr>
        <w:pStyle w:val="Antrat2"/>
        <w:spacing w:before="0" w:line="360" w:lineRule="auto"/>
        <w:contextualSpacing/>
        <w:rPr>
          <w:rFonts w:ascii="Times New Roman" w:hAnsi="Times New Roman" w:cs="Times New Roman"/>
          <w:color w:val="auto"/>
          <w:sz w:val="28"/>
          <w:szCs w:val="28"/>
        </w:rPr>
      </w:pPr>
      <w:bookmarkStart w:id="26" w:name="_Toc388560341"/>
      <w:r w:rsidRPr="00B22E97">
        <w:rPr>
          <w:rFonts w:ascii="Times New Roman" w:hAnsi="Times New Roman" w:cs="Times New Roman"/>
          <w:color w:val="auto"/>
          <w:sz w:val="28"/>
          <w:szCs w:val="28"/>
        </w:rPr>
        <w:lastRenderedPageBreak/>
        <w:t xml:space="preserve">1.15 </w:t>
      </w:r>
      <w:r w:rsidR="00A630F7" w:rsidRPr="00B22E97">
        <w:rPr>
          <w:rFonts w:ascii="Times New Roman" w:hAnsi="Times New Roman" w:cs="Times New Roman"/>
          <w:color w:val="auto"/>
          <w:sz w:val="28"/>
          <w:szCs w:val="28"/>
        </w:rPr>
        <w:t>Stipinkaulio lūžių komplikacijos</w:t>
      </w:r>
      <w:bookmarkEnd w:id="26"/>
    </w:p>
    <w:p w:rsidR="002F2793" w:rsidRDefault="002F2793" w:rsidP="002F2793">
      <w:pPr>
        <w:spacing w:after="0" w:line="360" w:lineRule="auto"/>
        <w:contextualSpacing/>
        <w:jc w:val="both"/>
      </w:pPr>
    </w:p>
    <w:p w:rsidR="00A630F7" w:rsidRDefault="00A630F7" w:rsidP="002F2793">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Tyrimų duomenimis nustatyta, kad 8</w:t>
      </w:r>
      <w:r>
        <w:rPr>
          <w:rFonts w:ascii="Times New Roman" w:hAnsi="Times New Roman" w:cs="Times New Roman"/>
          <w:sz w:val="24"/>
          <w:szCs w:val="24"/>
          <w:lang w:val="en-US"/>
        </w:rPr>
        <w:t>%</w:t>
      </w:r>
      <w:r>
        <w:rPr>
          <w:rFonts w:ascii="Times New Roman" w:hAnsi="Times New Roman" w:cs="Times New Roman"/>
          <w:sz w:val="24"/>
          <w:szCs w:val="24"/>
        </w:rPr>
        <w:t xml:space="preserve"> pacientų, patyrusių SDGL, būna lengvų komplikacijų (infekcijos), 7</w:t>
      </w:r>
      <w:r>
        <w:rPr>
          <w:rFonts w:ascii="Times New Roman" w:hAnsi="Times New Roman" w:cs="Times New Roman"/>
          <w:sz w:val="24"/>
          <w:szCs w:val="24"/>
          <w:lang w:val="en-US"/>
        </w:rPr>
        <w:t>% pacienta</w:t>
      </w:r>
      <w:r w:rsidR="006C5119">
        <w:rPr>
          <w:rFonts w:ascii="Times New Roman" w:hAnsi="Times New Roman" w:cs="Times New Roman"/>
          <w:sz w:val="24"/>
          <w:szCs w:val="24"/>
          <w:lang w:val="en-US"/>
        </w:rPr>
        <w:t>ms</w:t>
      </w:r>
      <w:r>
        <w:rPr>
          <w:rFonts w:ascii="Times New Roman" w:hAnsi="Times New Roman" w:cs="Times New Roman"/>
          <w:sz w:val="24"/>
          <w:szCs w:val="24"/>
        </w:rPr>
        <w:t>, patyr</w:t>
      </w:r>
      <w:r w:rsidR="006C5119">
        <w:rPr>
          <w:rFonts w:ascii="Times New Roman" w:hAnsi="Times New Roman" w:cs="Times New Roman"/>
          <w:sz w:val="24"/>
          <w:szCs w:val="24"/>
        </w:rPr>
        <w:t>usiems</w:t>
      </w:r>
      <w:r>
        <w:rPr>
          <w:rFonts w:ascii="Times New Roman" w:hAnsi="Times New Roman" w:cs="Times New Roman"/>
          <w:sz w:val="24"/>
          <w:szCs w:val="24"/>
        </w:rPr>
        <w:t xml:space="preserve"> SDGL, būna sunkių komplikacijų (chirurginis gydymas nėra būtinas), 2</w:t>
      </w:r>
      <w:r>
        <w:rPr>
          <w:rFonts w:ascii="Times New Roman" w:hAnsi="Times New Roman" w:cs="Times New Roman"/>
          <w:sz w:val="24"/>
          <w:szCs w:val="24"/>
          <w:lang w:val="en-US"/>
        </w:rPr>
        <w:t>% pacient</w:t>
      </w:r>
      <w:r>
        <w:rPr>
          <w:rFonts w:ascii="Times New Roman" w:hAnsi="Times New Roman" w:cs="Times New Roman"/>
          <w:sz w:val="24"/>
          <w:szCs w:val="24"/>
        </w:rPr>
        <w:t>ų, patyrusių SDGL, būna sunkių komplikacijų (reikalingas chirurginis gydymas) (35).</w:t>
      </w:r>
    </w:p>
    <w:p w:rsidR="00A630F7" w:rsidRDefault="00A630F7" w:rsidP="002F2793">
      <w:pPr>
        <w:spacing w:after="0" w:line="360" w:lineRule="auto"/>
        <w:ind w:firstLine="1296"/>
        <w:contextualSpacing/>
        <w:jc w:val="both"/>
        <w:rPr>
          <w:rFonts w:ascii="Times New Roman" w:hAnsi="Times New Roman" w:cs="Times New Roman"/>
          <w:sz w:val="24"/>
          <w:szCs w:val="24"/>
        </w:rPr>
      </w:pPr>
      <w:r>
        <w:rPr>
          <w:rFonts w:ascii="Times New Roman" w:hAnsi="Times New Roman" w:cs="Times New Roman"/>
          <w:sz w:val="24"/>
          <w:szCs w:val="24"/>
        </w:rPr>
        <w:t xml:space="preserve">Dažniausiai pasitaikančios komplikacijos: </w:t>
      </w:r>
    </w:p>
    <w:p w:rsidR="00A630F7" w:rsidRDefault="00A630F7" w:rsidP="002F2793">
      <w:pPr>
        <w:pStyle w:val="Sraopastraipa"/>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periferinių nervų pažeidimai, gali būti suskirstyti į:</w:t>
      </w:r>
    </w:p>
    <w:p w:rsidR="00A630F7" w:rsidRDefault="00A630F7" w:rsidP="002F2793">
      <w:pPr>
        <w:pStyle w:val="Sraopastraipa"/>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Vidurinių nervų (n. medianus) – po intrasąnarinių ar ekstrasąnarių lūžių, suspaudžiamas vidurinis nervas. Kompresinė neuropatija pasitaiko 5% pacientų, patyrusių SDGL lūžius (36).</w:t>
      </w:r>
    </w:p>
    <w:p w:rsidR="00A630F7" w:rsidRDefault="00A630F7" w:rsidP="002F2793">
      <w:pPr>
        <w:pStyle w:val="Sraopastraipa"/>
        <w:numPr>
          <w:ilvl w:val="0"/>
          <w:numId w:val="2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Alkūninių nervų (n. ulnaris) – šių pažeidimų pasitaiko rečiau nei periferinių nervų. Riešo srityje dažniausiai pažeidžiamas dėl traumos, rieš</w:t>
      </w:r>
      <w:r w:rsidR="0041646C">
        <w:rPr>
          <w:rFonts w:ascii="Times New Roman" w:hAnsi="Times New Roman" w:cs="Times New Roman"/>
          <w:sz w:val="24"/>
          <w:szCs w:val="24"/>
        </w:rPr>
        <w:t>o sąnario sinovialinės išvaržos (36).</w:t>
      </w:r>
    </w:p>
    <w:p w:rsidR="00A630F7" w:rsidRPr="005A4436" w:rsidRDefault="00BB4559" w:rsidP="002F2793">
      <w:pPr>
        <w:pStyle w:val="Sraopastraipa"/>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w:t>
      </w:r>
      <w:r w:rsidR="00A630F7">
        <w:rPr>
          <w:rFonts w:ascii="Times New Roman" w:hAnsi="Times New Roman" w:cs="Times New Roman"/>
          <w:sz w:val="24"/>
          <w:szCs w:val="24"/>
        </w:rPr>
        <w:t>ompleksinis regioni</w:t>
      </w:r>
      <w:r w:rsidR="006C5119">
        <w:rPr>
          <w:rFonts w:ascii="Times New Roman" w:hAnsi="Times New Roman" w:cs="Times New Roman"/>
          <w:sz w:val="24"/>
          <w:szCs w:val="24"/>
        </w:rPr>
        <w:t>ni</w:t>
      </w:r>
      <w:r w:rsidR="00A630F7">
        <w:rPr>
          <w:rFonts w:ascii="Times New Roman" w:hAnsi="Times New Roman" w:cs="Times New Roman"/>
          <w:sz w:val="24"/>
          <w:szCs w:val="24"/>
        </w:rPr>
        <w:t>s skausmo sindromas – šių pažeidimų pasitaiko nuo 0,03</w:t>
      </w:r>
      <w:r w:rsidR="00A630F7" w:rsidRPr="003E5367">
        <w:rPr>
          <w:rFonts w:ascii="Times New Roman" w:hAnsi="Times New Roman" w:cs="Times New Roman"/>
          <w:sz w:val="24"/>
          <w:szCs w:val="24"/>
        </w:rPr>
        <w:t xml:space="preserve">% iki 37%  </w:t>
      </w:r>
      <w:r w:rsidR="00A630F7">
        <w:rPr>
          <w:rFonts w:ascii="Times New Roman" w:hAnsi="Times New Roman" w:cs="Times New Roman"/>
          <w:sz w:val="24"/>
          <w:szCs w:val="24"/>
        </w:rPr>
        <w:t>pacientų po SDGL, kurie buvo gydomi konservatyviu būdu ir 40</w:t>
      </w:r>
      <w:r w:rsidR="00A630F7" w:rsidRPr="003E5367">
        <w:rPr>
          <w:rFonts w:ascii="Times New Roman" w:hAnsi="Times New Roman" w:cs="Times New Roman"/>
          <w:sz w:val="24"/>
          <w:szCs w:val="24"/>
        </w:rPr>
        <w:t xml:space="preserve">% pacientų po SDGL, kurie buvo gydomi chirurginiu būdu. KRSS klasifikuojmas į I tipo ir II tipo pažeidimus. I tipo KRSS priskiriami kompresinės neuropatijos pažeidimai, kaip – stipininio nervo paviršinės šakos, aksonų ir endoneuriumo pažeidimai. </w:t>
      </w:r>
      <w:r w:rsidR="00A630F7">
        <w:rPr>
          <w:rFonts w:ascii="Times New Roman" w:hAnsi="Times New Roman" w:cs="Times New Roman"/>
          <w:sz w:val="24"/>
          <w:szCs w:val="24"/>
          <w:lang w:val="en-US"/>
        </w:rPr>
        <w:t>II tipo KRSS priskiriami neidentifikuoti neurologiniai pažeidimai (38).</w:t>
      </w:r>
    </w:p>
    <w:p w:rsidR="00A630F7" w:rsidRPr="004D2957" w:rsidRDefault="00BB4559" w:rsidP="002F2793">
      <w:pPr>
        <w:pStyle w:val="Sraopastraipa"/>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00A630F7" w:rsidRPr="003E5367">
        <w:rPr>
          <w:rFonts w:ascii="Times New Roman" w:hAnsi="Times New Roman" w:cs="Times New Roman"/>
          <w:sz w:val="24"/>
          <w:szCs w:val="24"/>
        </w:rPr>
        <w:t>ausgyslių plyšimai – pasitaiko 1,3% pacient</w:t>
      </w:r>
      <w:r w:rsidR="00A630F7">
        <w:rPr>
          <w:rFonts w:ascii="Times New Roman" w:hAnsi="Times New Roman" w:cs="Times New Roman"/>
          <w:sz w:val="24"/>
          <w:szCs w:val="24"/>
        </w:rPr>
        <w:t>ų, patyrusių SDGL (37).</w:t>
      </w:r>
      <w:r w:rsidR="00A630F7" w:rsidRPr="003E5367">
        <w:rPr>
          <w:rFonts w:ascii="Times New Roman" w:hAnsi="Times New Roman" w:cs="Times New Roman"/>
          <w:sz w:val="24"/>
          <w:szCs w:val="24"/>
        </w:rPr>
        <w:t xml:space="preserve"> </w:t>
      </w:r>
    </w:p>
    <w:p w:rsidR="00A630F7" w:rsidRDefault="00A630F7" w:rsidP="002F2793">
      <w:pPr>
        <w:pStyle w:val="Sraopastraipa"/>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Taip pat priskiriamos komplikacijos – lūžgalių antrinis poslinkis, peties ir alkūnės sąnarių kontraktūra, refleksinė simpatinė distrofija (40).</w:t>
      </w:r>
    </w:p>
    <w:p w:rsidR="00A630F7" w:rsidRDefault="00A630F7" w:rsidP="002F2793">
      <w:pPr>
        <w:pStyle w:val="Sraopastraipa"/>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Volkmano kontraktūros – lenkiamojo raumens atrofija, dėl ankštumo sindromo (42).</w:t>
      </w:r>
    </w:p>
    <w:p w:rsidR="00A630F7" w:rsidRDefault="00A630F7" w:rsidP="002F2793">
      <w:pPr>
        <w:spacing w:after="0" w:line="36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Deformacijos priklauso nuo poslinkio laipsnio. Jos susidaro po traumų ar įvairių ligų. Nepriklausomai nuo lūžio tipo, distalinio dilbio lūžio vietoje judesio metu dažnai jaučiamas skausmas ir jautrumas, sumažėja judesio amplitudė, atsiranda ryškus plaštakos funkcijos sutrikimas. Taip pat atvirų ir uždarų lūžių metu pažeidžiamos arterijos, riešo raiščiai, sąnarinės kremzlės. Jei lūžis neatstatomas, padidėja rizika susirgti degeneraciniu riešo artritu ar vidurinio riešo sąnarių nestabilumu. Tokiu atveju atliekama osteotomija, siekiant ištaisyti deformacijas (40).  </w:t>
      </w:r>
    </w:p>
    <w:p w:rsidR="00C91ECD" w:rsidRPr="00C91ECD" w:rsidRDefault="00B22E97" w:rsidP="002F2793">
      <w:pPr>
        <w:spacing w:after="0" w:line="360" w:lineRule="auto"/>
        <w:ind w:firstLine="1080"/>
        <w:contextualSpacing/>
        <w:jc w:val="both"/>
        <w:rPr>
          <w:rFonts w:ascii="Times New Roman" w:hAnsi="Times New Roman" w:cs="Times New Roman"/>
          <w:sz w:val="28"/>
          <w:szCs w:val="28"/>
        </w:rPr>
      </w:pPr>
      <w:r>
        <w:rPr>
          <w:rFonts w:ascii="Times New Roman" w:hAnsi="Times New Roman" w:cs="Times New Roman"/>
          <w:sz w:val="28"/>
          <w:szCs w:val="28"/>
        </w:rPr>
        <w:br w:type="page"/>
      </w:r>
    </w:p>
    <w:p w:rsidR="00A630F7" w:rsidRDefault="00917416" w:rsidP="002F2793">
      <w:pPr>
        <w:pStyle w:val="Antrat2"/>
        <w:spacing w:before="0" w:line="360" w:lineRule="auto"/>
        <w:contextualSpacing/>
        <w:rPr>
          <w:rFonts w:ascii="Times New Roman" w:hAnsi="Times New Roman" w:cs="Times New Roman"/>
          <w:color w:val="auto"/>
          <w:sz w:val="28"/>
          <w:szCs w:val="28"/>
        </w:rPr>
      </w:pPr>
      <w:bookmarkStart w:id="27" w:name="_Toc388560342"/>
      <w:r w:rsidRPr="00B22E97">
        <w:rPr>
          <w:rFonts w:ascii="Times New Roman" w:hAnsi="Times New Roman" w:cs="Times New Roman"/>
          <w:color w:val="auto"/>
          <w:sz w:val="28"/>
          <w:szCs w:val="28"/>
        </w:rPr>
        <w:lastRenderedPageBreak/>
        <w:t xml:space="preserve">1.16 </w:t>
      </w:r>
      <w:r w:rsidR="00C91ECD" w:rsidRPr="00B22E97">
        <w:rPr>
          <w:rFonts w:ascii="Times New Roman" w:hAnsi="Times New Roman" w:cs="Times New Roman"/>
          <w:color w:val="auto"/>
          <w:sz w:val="28"/>
          <w:szCs w:val="28"/>
        </w:rPr>
        <w:t>Plaštakos sustingimas</w:t>
      </w:r>
      <w:bookmarkEnd w:id="27"/>
    </w:p>
    <w:p w:rsidR="002847B6" w:rsidRDefault="002847B6" w:rsidP="002847B6">
      <w:pPr>
        <w:spacing w:after="0" w:line="360" w:lineRule="auto"/>
        <w:contextualSpacing/>
        <w:jc w:val="both"/>
      </w:pPr>
    </w:p>
    <w:p w:rsidR="002847B6" w:rsidRDefault="00C91ECD"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Po traumos atsiradęs sustingimas apibūdinamas įvairiai: judesio diskomfortas, funkcionalumo sumažėjimas, neurovaskulinė disfunkcija, traumpal</w:t>
      </w:r>
      <w:r w:rsidR="001C55BA">
        <w:rPr>
          <w:rFonts w:ascii="Times New Roman" w:hAnsi="Times New Roman" w:cs="Times New Roman"/>
          <w:sz w:val="24"/>
          <w:szCs w:val="24"/>
        </w:rPr>
        <w:t>aikė nejudra.</w:t>
      </w:r>
      <w:r w:rsidR="00A33860">
        <w:rPr>
          <w:rFonts w:ascii="Times New Roman" w:hAnsi="Times New Roman" w:cs="Times New Roman"/>
          <w:sz w:val="24"/>
          <w:szCs w:val="24"/>
        </w:rPr>
        <w:t xml:space="preserve"> Sustingimo priežastis yra </w:t>
      </w:r>
      <w:r w:rsidR="00AD524D">
        <w:rPr>
          <w:rFonts w:ascii="Times New Roman" w:hAnsi="Times New Roman" w:cs="Times New Roman"/>
          <w:sz w:val="24"/>
          <w:szCs w:val="24"/>
        </w:rPr>
        <w:t>limfinė stazė, serozinė – fibrozinė eksudacija. Ši komplikacija atsiranda dėl kraujagyslių inervacijos disfunkcijos, o pasireiškia padidėjusia limfos eksudacija į minkštuosius audinius.</w:t>
      </w:r>
      <w:r w:rsidR="007A35B9">
        <w:rPr>
          <w:rFonts w:ascii="Times New Roman" w:hAnsi="Times New Roman" w:cs="Times New Roman"/>
          <w:sz w:val="24"/>
          <w:szCs w:val="24"/>
        </w:rPr>
        <w:t xml:space="preserve"> Skysčiai kaupiasi tarp delninių pirštų sąnarių ir artimųjų bei tolimųjų interfalanginių</w:t>
      </w:r>
      <w:r w:rsidR="007C4200">
        <w:rPr>
          <w:rFonts w:ascii="Times New Roman" w:hAnsi="Times New Roman" w:cs="Times New Roman"/>
          <w:sz w:val="24"/>
          <w:szCs w:val="24"/>
        </w:rPr>
        <w:t xml:space="preserve"> sąnarių taip plaštakos pirštus</w:t>
      </w:r>
      <w:r w:rsidR="007A35B9">
        <w:rPr>
          <w:rFonts w:ascii="Times New Roman" w:hAnsi="Times New Roman" w:cs="Times New Roman"/>
          <w:sz w:val="24"/>
          <w:szCs w:val="24"/>
        </w:rPr>
        <w:t xml:space="preserve"> palikdama pusiau sulenktoje pozicijoje</w:t>
      </w:r>
      <w:r w:rsidR="007C4200">
        <w:rPr>
          <w:rFonts w:ascii="Times New Roman" w:hAnsi="Times New Roman" w:cs="Times New Roman"/>
          <w:sz w:val="24"/>
          <w:szCs w:val="24"/>
        </w:rPr>
        <w:t>. Šioje padėtyje negydant po ilgo laiko formuojai sąnarių kontraktūros</w:t>
      </w:r>
      <w:r w:rsidR="007A35B9">
        <w:rPr>
          <w:rFonts w:ascii="Times New Roman" w:hAnsi="Times New Roman" w:cs="Times New Roman"/>
          <w:sz w:val="24"/>
          <w:szCs w:val="24"/>
        </w:rPr>
        <w:t>.</w:t>
      </w:r>
      <w:r w:rsidR="007C4200">
        <w:rPr>
          <w:rFonts w:ascii="Times New Roman" w:hAnsi="Times New Roman" w:cs="Times New Roman"/>
          <w:sz w:val="24"/>
          <w:szCs w:val="24"/>
        </w:rPr>
        <w:t xml:space="preserve"> Jei po lūžio ar traumos, kaulų ir sąnarių struktūros yra iš esmės stabilios arba tinkamai stabilizuotos chirurginiu būdu, tada ankstyvuoju pooperacinio judesio programos metu galima taikyti korekciją</w:t>
      </w:r>
      <w:r w:rsidR="005B65B2">
        <w:rPr>
          <w:rFonts w:ascii="Times New Roman" w:hAnsi="Times New Roman" w:cs="Times New Roman"/>
          <w:sz w:val="24"/>
          <w:szCs w:val="24"/>
        </w:rPr>
        <w:t xml:space="preserve"> (45)</w:t>
      </w:r>
      <w:r w:rsidR="007C4200">
        <w:rPr>
          <w:rFonts w:ascii="Times New Roman" w:hAnsi="Times New Roman" w:cs="Times New Roman"/>
          <w:sz w:val="24"/>
          <w:szCs w:val="24"/>
        </w:rPr>
        <w:t>.</w:t>
      </w:r>
      <w:r w:rsidR="00925163">
        <w:rPr>
          <w:rFonts w:ascii="Times New Roman" w:hAnsi="Times New Roman" w:cs="Times New Roman"/>
          <w:sz w:val="24"/>
          <w:szCs w:val="24"/>
        </w:rPr>
        <w:t xml:space="preserve"> </w:t>
      </w:r>
    </w:p>
    <w:p w:rsidR="002847B6" w:rsidRDefault="002F5501"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S</w:t>
      </w:r>
      <w:r w:rsidR="00925163">
        <w:rPr>
          <w:rFonts w:ascii="Times New Roman" w:hAnsi="Times New Roman" w:cs="Times New Roman"/>
          <w:sz w:val="24"/>
          <w:szCs w:val="24"/>
        </w:rPr>
        <w:t>iekiant sumažinti edemą, pacientui taikoma kompresinė terapija. Ranka sutvarstoma naudojant kompresinius įtvarus</w:t>
      </w:r>
      <w:r w:rsidR="007C4200">
        <w:rPr>
          <w:rFonts w:ascii="Times New Roman" w:hAnsi="Times New Roman" w:cs="Times New Roman"/>
          <w:sz w:val="24"/>
          <w:szCs w:val="24"/>
        </w:rPr>
        <w:t xml:space="preserve"> aukščiau širdies lygio</w:t>
      </w:r>
      <w:r w:rsidR="00925163">
        <w:rPr>
          <w:rFonts w:ascii="Times New Roman" w:hAnsi="Times New Roman" w:cs="Times New Roman"/>
          <w:sz w:val="24"/>
          <w:szCs w:val="24"/>
        </w:rPr>
        <w:t xml:space="preserve"> ir spaudžiami minkštieji audiniai. </w:t>
      </w:r>
      <w:r>
        <w:rPr>
          <w:rFonts w:ascii="Times New Roman" w:hAnsi="Times New Roman" w:cs="Times New Roman"/>
          <w:sz w:val="24"/>
          <w:szCs w:val="24"/>
        </w:rPr>
        <w:t>Kai kurių traumų atveju pažeidimo vietoje nukenčia gretimi sąnariai ir plaštaka negali būti judinama tam tikrą laikotarpį, tačiau neimobilizuotus sąnarius, reikia pradėti atstatinėti kuo ankščiau, kad būtų išvengta judesių ampli</w:t>
      </w:r>
      <w:r w:rsidR="002243A4">
        <w:rPr>
          <w:rFonts w:ascii="Times New Roman" w:hAnsi="Times New Roman" w:cs="Times New Roman"/>
          <w:sz w:val="24"/>
          <w:szCs w:val="24"/>
        </w:rPr>
        <w:t>tudės sumažėjimo bei sustingimo (45).</w:t>
      </w:r>
    </w:p>
    <w:p w:rsidR="00355088" w:rsidRPr="00C91ECD" w:rsidRDefault="00355088"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Kinezioteipavimas yra dar viena taikoma priemonė, kuri kontroliuoja sustingimą. Spaudimo metu dirginant nervinius ir jutiminius receptorius, mažėja sustingimas ir skausmas bei išjudinamas limfos pritekėjimas (</w:t>
      </w:r>
      <w:r w:rsidR="00EA4DA0">
        <w:rPr>
          <w:rFonts w:ascii="Times New Roman" w:hAnsi="Times New Roman" w:cs="Times New Roman"/>
          <w:sz w:val="24"/>
          <w:szCs w:val="24"/>
        </w:rPr>
        <w:t>68</w:t>
      </w:r>
      <w:r>
        <w:rPr>
          <w:rFonts w:ascii="Times New Roman" w:hAnsi="Times New Roman" w:cs="Times New Roman"/>
          <w:sz w:val="24"/>
          <w:szCs w:val="24"/>
        </w:rPr>
        <w:t>).</w:t>
      </w:r>
    </w:p>
    <w:p w:rsidR="00A630F7" w:rsidRDefault="00A630F7" w:rsidP="002F2793">
      <w:pPr>
        <w:spacing w:after="0" w:line="360" w:lineRule="auto"/>
        <w:contextualSpacing/>
        <w:jc w:val="both"/>
        <w:rPr>
          <w:rFonts w:ascii="Times New Roman" w:hAnsi="Times New Roman" w:cs="Times New Roman"/>
          <w:b/>
          <w:sz w:val="28"/>
          <w:szCs w:val="28"/>
        </w:rPr>
      </w:pPr>
    </w:p>
    <w:p w:rsidR="00A630F7" w:rsidRPr="00B22E97" w:rsidRDefault="00917416" w:rsidP="002F2793">
      <w:pPr>
        <w:pStyle w:val="Antrat2"/>
        <w:spacing w:before="0" w:line="360" w:lineRule="auto"/>
        <w:contextualSpacing/>
        <w:rPr>
          <w:rFonts w:ascii="Times New Roman" w:hAnsi="Times New Roman" w:cs="Times New Roman"/>
          <w:color w:val="auto"/>
          <w:sz w:val="28"/>
          <w:szCs w:val="28"/>
        </w:rPr>
      </w:pPr>
      <w:bookmarkStart w:id="28" w:name="_Toc388560343"/>
      <w:r w:rsidRPr="00B22E97">
        <w:rPr>
          <w:rFonts w:ascii="Times New Roman" w:hAnsi="Times New Roman" w:cs="Times New Roman"/>
          <w:color w:val="auto"/>
          <w:sz w:val="28"/>
          <w:szCs w:val="28"/>
        </w:rPr>
        <w:t xml:space="preserve">1.17 </w:t>
      </w:r>
      <w:r w:rsidR="00A630F7" w:rsidRPr="00B22E97">
        <w:rPr>
          <w:rFonts w:ascii="Times New Roman" w:hAnsi="Times New Roman" w:cs="Times New Roman"/>
          <w:color w:val="auto"/>
          <w:sz w:val="28"/>
          <w:szCs w:val="28"/>
        </w:rPr>
        <w:t>Reabilitacija po viršutinių galūnių lūžių</w:t>
      </w:r>
      <w:bookmarkEnd w:id="28"/>
    </w:p>
    <w:p w:rsidR="002847B6" w:rsidRDefault="002847B6" w:rsidP="002847B6">
      <w:pPr>
        <w:spacing w:after="0" w:line="360" w:lineRule="auto"/>
        <w:contextualSpacing/>
        <w:jc w:val="both"/>
        <w:rPr>
          <w:rFonts w:ascii="Times New Roman" w:hAnsi="Times New Roman" w:cs="Times New Roman"/>
          <w:b/>
          <w:sz w:val="28"/>
          <w:szCs w:val="28"/>
        </w:rPr>
      </w:pPr>
    </w:p>
    <w:p w:rsidR="00A630F7" w:rsidRDefault="00A630F7"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Reabilitacija – tai koordinuotas kompleksinis medicininių, socialinių, pedagoginių, profesinių priemonių naudojimas siekiant maksimalaus re</w:t>
      </w:r>
      <w:r w:rsidR="00243B09">
        <w:rPr>
          <w:rFonts w:ascii="Times New Roman" w:hAnsi="Times New Roman" w:cs="Times New Roman"/>
          <w:sz w:val="24"/>
          <w:szCs w:val="24"/>
        </w:rPr>
        <w:t>abilituojamo</w:t>
      </w:r>
      <w:r w:rsidR="002C2D60">
        <w:rPr>
          <w:rFonts w:ascii="Times New Roman" w:hAnsi="Times New Roman" w:cs="Times New Roman"/>
          <w:sz w:val="24"/>
          <w:szCs w:val="24"/>
        </w:rPr>
        <w:t>jo</w:t>
      </w:r>
      <w:r w:rsidR="00243B09">
        <w:rPr>
          <w:rFonts w:ascii="Times New Roman" w:hAnsi="Times New Roman" w:cs="Times New Roman"/>
          <w:sz w:val="24"/>
          <w:szCs w:val="24"/>
        </w:rPr>
        <w:t xml:space="preserve"> funkcinio aktyvumo (PSO).</w:t>
      </w:r>
      <w:r>
        <w:rPr>
          <w:rFonts w:ascii="Times New Roman" w:hAnsi="Times New Roman" w:cs="Times New Roman"/>
          <w:sz w:val="24"/>
          <w:szCs w:val="24"/>
        </w:rPr>
        <w:t xml:space="preserve"> Šiuo apibrėžimu akcentuojama, kad (30):</w:t>
      </w:r>
    </w:p>
    <w:p w:rsidR="00A630F7" w:rsidRDefault="00A630F7" w:rsidP="002F2793">
      <w:pPr>
        <w:pStyle w:val="Sraopastraipa"/>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reabilituojamas ne organas, ne organų sistema, bet individas. Negali būti inkstų, širdies reabilitacijos, bet yra sergančiojo širdies ar inkstų liga reabilitacija;</w:t>
      </w:r>
    </w:p>
    <w:p w:rsidR="00A630F7" w:rsidRDefault="00A630F7" w:rsidP="002F2793">
      <w:pPr>
        <w:pStyle w:val="Sraopastraipa"/>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reabilitacijos tikslas nėra tik paciento sugrąžinimas į darbinę veiklą, bet </w:t>
      </w:r>
      <w:r w:rsidR="002C2D60">
        <w:rPr>
          <w:rFonts w:ascii="Times New Roman" w:hAnsi="Times New Roman" w:cs="Times New Roman"/>
          <w:sz w:val="24"/>
          <w:szCs w:val="24"/>
        </w:rPr>
        <w:t xml:space="preserve">ir </w:t>
      </w:r>
      <w:r>
        <w:rPr>
          <w:rFonts w:ascii="Times New Roman" w:hAnsi="Times New Roman" w:cs="Times New Roman"/>
          <w:sz w:val="24"/>
          <w:szCs w:val="24"/>
        </w:rPr>
        <w:t xml:space="preserve">siekimas maksimalaus asmens funkcinio aktyvumo. </w:t>
      </w:r>
    </w:p>
    <w:p w:rsidR="00A630F7" w:rsidRDefault="00A630F7" w:rsidP="002F2793">
      <w:pPr>
        <w:pStyle w:val="Sraopastraipa"/>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reabilitacija apima ne tik medicinin</w:t>
      </w:r>
      <w:r w:rsidR="002C2D60">
        <w:rPr>
          <w:rFonts w:ascii="Times New Roman" w:hAnsi="Times New Roman" w:cs="Times New Roman"/>
          <w:sz w:val="24"/>
          <w:szCs w:val="24"/>
        </w:rPr>
        <w:t>e</w:t>
      </w:r>
      <w:r>
        <w:rPr>
          <w:rFonts w:ascii="Times New Roman" w:hAnsi="Times New Roman" w:cs="Times New Roman"/>
          <w:sz w:val="24"/>
          <w:szCs w:val="24"/>
        </w:rPr>
        <w:t>s, bet ir socialines, pedagogines ir kitas priemones;</w:t>
      </w:r>
    </w:p>
    <w:p w:rsidR="00A630F7" w:rsidRDefault="00A630F7" w:rsidP="002F2793">
      <w:pPr>
        <w:pStyle w:val="Sraopastraipa"/>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reabilitacija yra baigtinis procesas, ji negali tęstis visą gyvenimą. Pasiekus asmens maksimalų funkcinį aktyvumą, ji baigiama. Toliau pacientui reikalinga sveikatos priežiūra;</w:t>
      </w:r>
    </w:p>
    <w:p w:rsidR="00A630F7" w:rsidRDefault="00A630F7" w:rsidP="002F2793">
      <w:pPr>
        <w:pStyle w:val="Sraopastraipa"/>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sunkūs ligoniai, kurių funkcinis aktyvumas, taikant reabilitacijos priemones, nedidėja, priskiriami ligoniams, kuriems reikalinga intensyvioji slauga, o ne reabilitacija.</w:t>
      </w:r>
    </w:p>
    <w:p w:rsidR="00A630F7" w:rsidRPr="002847B6" w:rsidRDefault="00A630F7" w:rsidP="002847B6">
      <w:pPr>
        <w:spacing w:after="0" w:line="360" w:lineRule="auto"/>
        <w:ind w:firstLine="851"/>
        <w:jc w:val="both"/>
        <w:rPr>
          <w:rFonts w:ascii="Times New Roman" w:hAnsi="Times New Roman" w:cs="Times New Roman"/>
          <w:sz w:val="24"/>
          <w:szCs w:val="24"/>
        </w:rPr>
      </w:pPr>
      <w:r w:rsidRPr="002847B6">
        <w:rPr>
          <w:rFonts w:ascii="Times New Roman" w:hAnsi="Times New Roman" w:cs="Times New Roman"/>
          <w:sz w:val="24"/>
          <w:szCs w:val="24"/>
        </w:rPr>
        <w:t>Reabilitacijos priemonės yra medicininės, profesinės, socialinės. Jų lyginamoji dalis priklauso nuo ligos pobūdžio, fazės, ligonio amžiaus, išsilavinimo, socialinės padėties. Ūminiu ligos ar traumos laikotarpiu svarbiausia yra medicininės reabilitacijos priemonės. Tačiau, praėjus ūminiam ligos ar traumos laikotarpiui, svarbios profesinės ir socialinės reabilitacijos priemonės</w:t>
      </w:r>
      <w:r w:rsidR="001F2466">
        <w:rPr>
          <w:rFonts w:ascii="Times New Roman" w:hAnsi="Times New Roman" w:cs="Times New Roman"/>
          <w:sz w:val="24"/>
          <w:szCs w:val="24"/>
        </w:rPr>
        <w:t xml:space="preserve"> (32)</w:t>
      </w:r>
      <w:r w:rsidRPr="002847B6">
        <w:rPr>
          <w:rFonts w:ascii="Times New Roman" w:hAnsi="Times New Roman" w:cs="Times New Roman"/>
          <w:sz w:val="24"/>
          <w:szCs w:val="24"/>
        </w:rPr>
        <w:t>.</w:t>
      </w:r>
    </w:p>
    <w:p w:rsidR="00A630F7" w:rsidRDefault="00A630F7"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Skiriamos trys pažeistos funkcijos grąžinimo laipsniai (30):</w:t>
      </w:r>
    </w:p>
    <w:p w:rsidR="00A630F7" w:rsidRDefault="00A630F7" w:rsidP="002F2793">
      <w:pPr>
        <w:pStyle w:val="Sraopastraipa"/>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Pažeista funkcija visiškai ar beveik visiškai grąžinama.</w:t>
      </w:r>
    </w:p>
    <w:p w:rsidR="00A630F7" w:rsidRDefault="00A630F7" w:rsidP="002F2793">
      <w:pPr>
        <w:pStyle w:val="Sraopastraipa"/>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Pažeista funkcija kompensuojama</w:t>
      </w:r>
    </w:p>
    <w:p w:rsidR="00A630F7" w:rsidRPr="00140674" w:rsidRDefault="00A630F7" w:rsidP="002F2793">
      <w:pPr>
        <w:pStyle w:val="Sraopastraipa"/>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Funkcijos pažeidimas išlieka, pasiekiama readaptacija (prisitaikymas).</w:t>
      </w:r>
    </w:p>
    <w:p w:rsidR="00A630F7" w:rsidRDefault="00A630F7"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Reabilitacija pradedama pirmosiomis dienomis po traumos ir operacijos. Lūžio metu, prarandama jėga pažeistoje galūnėje ir esant mažam apkrovimui sumažėja greitis, jėga, judesių amplitudė, pažeidžiami minkštieji audiniai. Išskiriami 3 etapai siekiant atstatyti pažeistos galūnės funkcijas:</w:t>
      </w:r>
    </w:p>
    <w:p w:rsidR="00A630F7" w:rsidRDefault="00A630F7" w:rsidP="002F2793">
      <w:pPr>
        <w:pStyle w:val="Sraopastraipa"/>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Įtvarų pritaikymas – riešo įtvarai turi būti naudojami statiški ir imobilizuojama ranka siekiant sumažinti nepageidaujamus judesius, užkirsti kelią poslinkiui ir sąnarių kontraktūrų susidarymui lūžio vietoje, išsaugoti judesių amplitudę per riešą ir inicijuoti funkcinės veiklos parengimą.</w:t>
      </w:r>
    </w:p>
    <w:p w:rsidR="00A630F7" w:rsidRDefault="00C105EC" w:rsidP="002F2793">
      <w:pPr>
        <w:pStyle w:val="Sraopastraipa"/>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Statinių progresuojančių</w:t>
      </w:r>
      <w:r w:rsidR="00A630F7">
        <w:rPr>
          <w:rFonts w:ascii="Times New Roman" w:hAnsi="Times New Roman" w:cs="Times New Roman"/>
          <w:sz w:val="24"/>
          <w:szCs w:val="24"/>
        </w:rPr>
        <w:t xml:space="preserve"> įtvarų parinkimas – parenkami statiniai progresuojantys riešo įtvarai ir pradedama reabilitacijos programa.</w:t>
      </w:r>
    </w:p>
    <w:p w:rsidR="002847B6" w:rsidRDefault="00A630F7" w:rsidP="002847B6">
      <w:pPr>
        <w:pStyle w:val="Sraopastraipa"/>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Pratimai – atliekami riešo pratimai, išlaikomas stabilumas, neapkraunant plaštakos griebimo ir kėlimo metu. Taikomi dinaminiai/statiniai progresuojantys riešo įtvarai, kol judesiai tampa stabilūs (19).</w:t>
      </w:r>
    </w:p>
    <w:p w:rsidR="002847B6" w:rsidRDefault="000F39D1" w:rsidP="002847B6">
      <w:pPr>
        <w:spacing w:after="0" w:line="360" w:lineRule="auto"/>
        <w:ind w:firstLine="851"/>
        <w:jc w:val="both"/>
        <w:rPr>
          <w:rFonts w:ascii="Times New Roman" w:hAnsi="Times New Roman" w:cs="Times New Roman"/>
          <w:sz w:val="24"/>
          <w:szCs w:val="24"/>
        </w:rPr>
      </w:pPr>
      <w:r w:rsidRPr="002847B6">
        <w:rPr>
          <w:rFonts w:ascii="Times New Roman" w:hAnsi="Times New Roman" w:cs="Times New Roman"/>
          <w:sz w:val="24"/>
          <w:szCs w:val="24"/>
        </w:rPr>
        <w:t>Reabilitacija pradedama pirmomis dienomis po traumos ir operacijos, priklausomai nuo lūžio ir minkštųjų audinių būklės. Taikant  daugiausia stabilios fiksacijos metodus, riešo judesių pratimus galima atlikti ja</w:t>
      </w:r>
      <w:r w:rsidR="008854D0" w:rsidRPr="002847B6">
        <w:rPr>
          <w:rFonts w:ascii="Times New Roman" w:hAnsi="Times New Roman" w:cs="Times New Roman"/>
          <w:sz w:val="24"/>
          <w:szCs w:val="24"/>
        </w:rPr>
        <w:t>u per pirmąsias 2 – 4 savaites</w:t>
      </w:r>
      <w:r w:rsidRPr="002847B6">
        <w:rPr>
          <w:rFonts w:ascii="Times New Roman" w:hAnsi="Times New Roman" w:cs="Times New Roman"/>
          <w:sz w:val="24"/>
          <w:szCs w:val="24"/>
        </w:rPr>
        <w:t>, po lūžgalių atitaisymo. Reabilitacijos metu siekiama mažinti edemą ir skausmą, gerinti judesių amplitudę, skatinti viršutinių galūnių jėgą, gerinti sukamuosius judesius, didinti  viršutinių galūnių apkrovą</w:t>
      </w:r>
      <w:r w:rsidR="00A74563" w:rsidRPr="002847B6">
        <w:rPr>
          <w:rFonts w:ascii="Times New Roman" w:hAnsi="Times New Roman" w:cs="Times New Roman"/>
          <w:sz w:val="24"/>
          <w:szCs w:val="24"/>
        </w:rPr>
        <w:t xml:space="preserve"> (48)</w:t>
      </w:r>
      <w:r w:rsidRPr="002847B6">
        <w:rPr>
          <w:rFonts w:ascii="Times New Roman" w:hAnsi="Times New Roman" w:cs="Times New Roman"/>
          <w:sz w:val="24"/>
          <w:szCs w:val="24"/>
        </w:rPr>
        <w:t>.</w:t>
      </w:r>
    </w:p>
    <w:p w:rsidR="002847B6" w:rsidRDefault="00A74563" w:rsidP="002847B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Sužeistą ranką svarbu laikyti saugioje pozicijoje, šiek tiek pritraukt</w:t>
      </w:r>
      <w:r w:rsidR="00613B5B">
        <w:rPr>
          <w:rFonts w:ascii="Times New Roman" w:hAnsi="Times New Roman" w:cs="Times New Roman"/>
          <w:sz w:val="24"/>
          <w:szCs w:val="24"/>
        </w:rPr>
        <w:t>ą</w:t>
      </w:r>
      <w:r>
        <w:rPr>
          <w:rFonts w:ascii="Times New Roman" w:hAnsi="Times New Roman" w:cs="Times New Roman"/>
          <w:sz w:val="24"/>
          <w:szCs w:val="24"/>
        </w:rPr>
        <w:t>, alkūnė sulenkta ir pasukta į vid</w:t>
      </w:r>
      <w:r w:rsidR="00613B5B">
        <w:rPr>
          <w:rFonts w:ascii="Times New Roman" w:hAnsi="Times New Roman" w:cs="Times New Roman"/>
          <w:sz w:val="24"/>
          <w:szCs w:val="24"/>
        </w:rPr>
        <w:t>ų</w:t>
      </w:r>
      <w:r>
        <w:rPr>
          <w:rFonts w:ascii="Times New Roman" w:hAnsi="Times New Roman" w:cs="Times New Roman"/>
          <w:sz w:val="24"/>
          <w:szCs w:val="24"/>
        </w:rPr>
        <w:t>. Įtvaro kilpos turi būti pritrauk</w:t>
      </w:r>
      <w:r w:rsidR="007F798D">
        <w:rPr>
          <w:rFonts w:ascii="Times New Roman" w:hAnsi="Times New Roman" w:cs="Times New Roman"/>
          <w:sz w:val="24"/>
          <w:szCs w:val="24"/>
        </w:rPr>
        <w:t>t</w:t>
      </w:r>
      <w:r>
        <w:rPr>
          <w:rFonts w:ascii="Times New Roman" w:hAnsi="Times New Roman" w:cs="Times New Roman"/>
          <w:sz w:val="24"/>
          <w:szCs w:val="24"/>
        </w:rPr>
        <w:t>os minimaliai, kad neformuot</w:t>
      </w:r>
      <w:r w:rsidR="00613B5B">
        <w:rPr>
          <w:rFonts w:ascii="Times New Roman" w:hAnsi="Times New Roman" w:cs="Times New Roman"/>
          <w:sz w:val="24"/>
          <w:szCs w:val="24"/>
        </w:rPr>
        <w:t>ų</w:t>
      </w:r>
      <w:r>
        <w:rPr>
          <w:rFonts w:ascii="Times New Roman" w:hAnsi="Times New Roman" w:cs="Times New Roman"/>
          <w:sz w:val="24"/>
          <w:szCs w:val="24"/>
        </w:rPr>
        <w:t xml:space="preserve"> peties ir alkūnės sustingimo</w:t>
      </w:r>
      <w:r w:rsidR="007F798D">
        <w:rPr>
          <w:rFonts w:ascii="Times New Roman" w:hAnsi="Times New Roman" w:cs="Times New Roman"/>
          <w:sz w:val="24"/>
          <w:szCs w:val="24"/>
        </w:rPr>
        <w:t xml:space="preserve">. Įtvarų kilpos gali būti naudojamos trumpą laiką, kai reikalinga apsaugoti ranką </w:t>
      </w:r>
      <w:r w:rsidR="00613B5B">
        <w:rPr>
          <w:rFonts w:ascii="Times New Roman" w:hAnsi="Times New Roman" w:cs="Times New Roman"/>
          <w:sz w:val="24"/>
          <w:szCs w:val="24"/>
        </w:rPr>
        <w:t>laisvalaikio metu</w:t>
      </w:r>
      <w:r w:rsidR="00D25F72">
        <w:rPr>
          <w:rFonts w:ascii="Times New Roman" w:hAnsi="Times New Roman" w:cs="Times New Roman"/>
          <w:sz w:val="24"/>
          <w:szCs w:val="24"/>
        </w:rPr>
        <w:t>.</w:t>
      </w:r>
      <w:r w:rsidR="00043C0F">
        <w:rPr>
          <w:rFonts w:ascii="Times New Roman" w:hAnsi="Times New Roman" w:cs="Times New Roman"/>
          <w:sz w:val="24"/>
          <w:szCs w:val="24"/>
        </w:rPr>
        <w:t xml:space="preserve"> </w:t>
      </w:r>
      <w:r w:rsidR="007F798D">
        <w:rPr>
          <w:rFonts w:ascii="Times New Roman" w:hAnsi="Times New Roman" w:cs="Times New Roman"/>
          <w:sz w:val="24"/>
          <w:szCs w:val="24"/>
        </w:rPr>
        <w:t>Alkūnės, peties, dilbio ir riešo aktyvūs judesiai turi būti atliekami kelis kartus per dieną. Gali būti naudojamas retrogradinis masažas ir elastiniai bintai siekiant mažinti edemą</w:t>
      </w:r>
      <w:r w:rsidR="00F10C72">
        <w:rPr>
          <w:rFonts w:ascii="Times New Roman" w:hAnsi="Times New Roman" w:cs="Times New Roman"/>
          <w:sz w:val="24"/>
          <w:szCs w:val="24"/>
        </w:rPr>
        <w:t xml:space="preserve">. Taip pat gali būti taikoma </w:t>
      </w:r>
      <w:r w:rsidR="007F798D">
        <w:rPr>
          <w:rFonts w:ascii="Times New Roman" w:hAnsi="Times New Roman" w:cs="Times New Roman"/>
          <w:sz w:val="24"/>
          <w:szCs w:val="24"/>
        </w:rPr>
        <w:t xml:space="preserve">krioterapija, siekiant mažinti </w:t>
      </w:r>
      <w:r w:rsidR="004C4A6D">
        <w:rPr>
          <w:rFonts w:ascii="Times New Roman" w:hAnsi="Times New Roman" w:cs="Times New Roman"/>
          <w:sz w:val="24"/>
          <w:szCs w:val="24"/>
        </w:rPr>
        <w:t>edemą</w:t>
      </w:r>
      <w:r w:rsidR="007F798D">
        <w:rPr>
          <w:rFonts w:ascii="Times New Roman" w:hAnsi="Times New Roman" w:cs="Times New Roman"/>
          <w:sz w:val="24"/>
          <w:szCs w:val="24"/>
        </w:rPr>
        <w:t xml:space="preserve"> po fizinio krūvio. Jei patinimas didėja po kiekvieno </w:t>
      </w:r>
      <w:r w:rsidR="00043C0F">
        <w:rPr>
          <w:rFonts w:ascii="Times New Roman" w:hAnsi="Times New Roman" w:cs="Times New Roman"/>
          <w:sz w:val="24"/>
          <w:szCs w:val="24"/>
        </w:rPr>
        <w:t>užsiėmimo, tuomet reikia sumažinti pratimų stiprumą, kad nesukeltu didesnio audinių uždegimo.</w:t>
      </w:r>
      <w:r w:rsidR="00D25F72">
        <w:rPr>
          <w:rFonts w:ascii="Times New Roman" w:hAnsi="Times New Roman" w:cs="Times New Roman"/>
          <w:sz w:val="24"/>
          <w:szCs w:val="24"/>
        </w:rPr>
        <w:t xml:space="preserve"> Jei </w:t>
      </w:r>
      <w:r w:rsidR="00D25F72">
        <w:rPr>
          <w:rFonts w:ascii="Times New Roman" w:hAnsi="Times New Roman" w:cs="Times New Roman"/>
          <w:sz w:val="24"/>
          <w:szCs w:val="24"/>
        </w:rPr>
        <w:lastRenderedPageBreak/>
        <w:t>skausmas ir sustingimas nemažėja, reikia nustatyti ar skausmas kyla dėl galimų</w:t>
      </w:r>
      <w:r w:rsidR="00F06AF7">
        <w:rPr>
          <w:rFonts w:ascii="Times New Roman" w:hAnsi="Times New Roman" w:cs="Times New Roman"/>
          <w:sz w:val="24"/>
          <w:szCs w:val="24"/>
        </w:rPr>
        <w:t xml:space="preserve"> dilbio</w:t>
      </w:r>
      <w:r w:rsidR="00D25F72">
        <w:rPr>
          <w:rFonts w:ascii="Times New Roman" w:hAnsi="Times New Roman" w:cs="Times New Roman"/>
          <w:sz w:val="24"/>
          <w:szCs w:val="24"/>
        </w:rPr>
        <w:t xml:space="preserve"> viduri</w:t>
      </w:r>
      <w:r w:rsidR="00F06AF7">
        <w:rPr>
          <w:rFonts w:ascii="Times New Roman" w:hAnsi="Times New Roman" w:cs="Times New Roman"/>
          <w:sz w:val="24"/>
          <w:szCs w:val="24"/>
        </w:rPr>
        <w:t>nio</w:t>
      </w:r>
      <w:r w:rsidR="00D25F72">
        <w:rPr>
          <w:rFonts w:ascii="Times New Roman" w:hAnsi="Times New Roman" w:cs="Times New Roman"/>
          <w:sz w:val="24"/>
          <w:szCs w:val="24"/>
        </w:rPr>
        <w:t xml:space="preserve"> nervo suspaudimo</w:t>
      </w:r>
      <w:r w:rsidR="00D671AA">
        <w:rPr>
          <w:rFonts w:ascii="Times New Roman" w:hAnsi="Times New Roman" w:cs="Times New Roman"/>
          <w:sz w:val="24"/>
          <w:szCs w:val="24"/>
        </w:rPr>
        <w:t xml:space="preserve"> riešo kanale</w:t>
      </w:r>
      <w:r w:rsidR="00D25F72">
        <w:rPr>
          <w:rFonts w:ascii="Times New Roman" w:hAnsi="Times New Roman" w:cs="Times New Roman"/>
          <w:sz w:val="24"/>
          <w:szCs w:val="24"/>
        </w:rPr>
        <w:t xml:space="preserve"> ar dėl sąnarių varžymo, dėl netinkamos imobilizacijos ar korekcijos (49).</w:t>
      </w:r>
    </w:p>
    <w:p w:rsidR="002847B6" w:rsidRDefault="00D25F72" w:rsidP="002847B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Aktyvūs pirštų, riešo, dilbio judesiai</w:t>
      </w:r>
      <w:r w:rsidR="00DE7702">
        <w:rPr>
          <w:rFonts w:ascii="Times New Roman" w:hAnsi="Times New Roman" w:cs="Times New Roman"/>
          <w:sz w:val="24"/>
          <w:szCs w:val="24"/>
        </w:rPr>
        <w:t xml:space="preserve"> turi būti akcentuojami</w:t>
      </w:r>
      <w:r>
        <w:rPr>
          <w:rFonts w:ascii="Times New Roman" w:hAnsi="Times New Roman" w:cs="Times New Roman"/>
          <w:sz w:val="24"/>
          <w:szCs w:val="24"/>
        </w:rPr>
        <w:t xml:space="preserve"> ankstyvojoje judesio fazėje</w:t>
      </w:r>
      <w:r w:rsidR="00C3225A">
        <w:rPr>
          <w:rFonts w:ascii="Times New Roman" w:hAnsi="Times New Roman" w:cs="Times New Roman"/>
          <w:sz w:val="24"/>
          <w:szCs w:val="24"/>
        </w:rPr>
        <w:t xml:space="preserve">. Svarbiausia pirmų užsiėmimų metu pagerinti riešo tiesimo funkciją be pirštų tiesimo pagalbos. Jei riešo tiesimo funkcija nepagerės, tai toliau </w:t>
      </w:r>
      <w:r w:rsidR="005F411B">
        <w:rPr>
          <w:rFonts w:ascii="Times New Roman" w:hAnsi="Times New Roman" w:cs="Times New Roman"/>
          <w:sz w:val="24"/>
          <w:szCs w:val="24"/>
        </w:rPr>
        <w:t>nep</w:t>
      </w:r>
      <w:r w:rsidR="00C3225A">
        <w:rPr>
          <w:rFonts w:ascii="Times New Roman" w:hAnsi="Times New Roman" w:cs="Times New Roman"/>
          <w:sz w:val="24"/>
          <w:szCs w:val="24"/>
        </w:rPr>
        <w:t>age</w:t>
      </w:r>
      <w:r w:rsidR="005F411B">
        <w:rPr>
          <w:rFonts w:ascii="Times New Roman" w:hAnsi="Times New Roman" w:cs="Times New Roman"/>
          <w:sz w:val="24"/>
          <w:szCs w:val="24"/>
        </w:rPr>
        <w:t>rės pirštų lenkimo ir</w:t>
      </w:r>
      <w:r w:rsidR="00C3225A">
        <w:rPr>
          <w:rFonts w:ascii="Times New Roman" w:hAnsi="Times New Roman" w:cs="Times New Roman"/>
          <w:sz w:val="24"/>
          <w:szCs w:val="24"/>
        </w:rPr>
        <w:t xml:space="preserve"> griebimo jėg</w:t>
      </w:r>
      <w:r w:rsidR="005F411B">
        <w:rPr>
          <w:rFonts w:ascii="Times New Roman" w:hAnsi="Times New Roman" w:cs="Times New Roman"/>
          <w:sz w:val="24"/>
          <w:szCs w:val="24"/>
        </w:rPr>
        <w:t>a</w:t>
      </w:r>
      <w:r w:rsidR="00C3225A">
        <w:rPr>
          <w:rFonts w:ascii="Times New Roman" w:hAnsi="Times New Roman" w:cs="Times New Roman"/>
          <w:sz w:val="24"/>
          <w:szCs w:val="24"/>
        </w:rPr>
        <w:t>.</w:t>
      </w:r>
      <w:r>
        <w:rPr>
          <w:rFonts w:ascii="Times New Roman" w:hAnsi="Times New Roman" w:cs="Times New Roman"/>
          <w:sz w:val="24"/>
          <w:szCs w:val="24"/>
        </w:rPr>
        <w:t xml:space="preserve"> </w:t>
      </w:r>
      <w:r w:rsidR="00C3225A">
        <w:rPr>
          <w:rFonts w:ascii="Times New Roman" w:hAnsi="Times New Roman" w:cs="Times New Roman"/>
          <w:sz w:val="24"/>
          <w:szCs w:val="24"/>
        </w:rPr>
        <w:t>Jei aktyvi mankšta nepagerins riešo tiesiamųjų raumenų, t</w:t>
      </w:r>
      <w:r w:rsidR="00A1485F">
        <w:rPr>
          <w:rFonts w:ascii="Times New Roman" w:hAnsi="Times New Roman" w:cs="Times New Roman"/>
          <w:sz w:val="24"/>
          <w:szCs w:val="24"/>
        </w:rPr>
        <w:t>ada tikslinga būtų taikyti TENS (50).</w:t>
      </w:r>
    </w:p>
    <w:p w:rsidR="002847B6" w:rsidRDefault="005929B1" w:rsidP="002847B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Svarbi reabilitacijos priemonė yra fizioterapijos procedūros. Skiriamos procedūros tokios kaip </w:t>
      </w:r>
      <w:r w:rsidR="00D924BB">
        <w:rPr>
          <w:rFonts w:ascii="Times New Roman" w:hAnsi="Times New Roman" w:cs="Times New Roman"/>
          <w:sz w:val="24"/>
          <w:szCs w:val="24"/>
        </w:rPr>
        <w:t>TENS. Šių procedūrų metu blokuojamas skausmo signalas ir gydymo metu numalšinamas skausmas</w:t>
      </w:r>
      <w:r w:rsidR="00E30FBE">
        <w:rPr>
          <w:rFonts w:ascii="Times New Roman" w:hAnsi="Times New Roman" w:cs="Times New Roman"/>
          <w:sz w:val="24"/>
          <w:szCs w:val="24"/>
        </w:rPr>
        <w:t xml:space="preserve">. Iš pradžių šis gydymas nėra malonus, tačiau po 1 ar 3 dienų pacientai </w:t>
      </w:r>
      <w:r w:rsidR="00211A6E">
        <w:rPr>
          <w:rFonts w:ascii="Times New Roman" w:hAnsi="Times New Roman" w:cs="Times New Roman"/>
          <w:sz w:val="24"/>
          <w:szCs w:val="24"/>
        </w:rPr>
        <w:t>nejaučia skausmo</w:t>
      </w:r>
      <w:r w:rsidR="00D924BB">
        <w:rPr>
          <w:rFonts w:ascii="Times New Roman" w:hAnsi="Times New Roman" w:cs="Times New Roman"/>
          <w:sz w:val="24"/>
          <w:szCs w:val="24"/>
        </w:rPr>
        <w:t xml:space="preserve"> (59).</w:t>
      </w:r>
    </w:p>
    <w:p w:rsidR="007E6E67" w:rsidRDefault="00DB5ADA" w:rsidP="002847B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Tyrimų duomenimis nustatyta, jog t</w:t>
      </w:r>
      <w:r w:rsidR="007E6E67">
        <w:rPr>
          <w:rFonts w:ascii="Times New Roman" w:hAnsi="Times New Roman" w:cs="Times New Roman"/>
          <w:sz w:val="24"/>
          <w:szCs w:val="24"/>
        </w:rPr>
        <w:t xml:space="preserve">aikant mobilizaciją su judesiu, galima padidinti pasyvius judesius bei sumažinti skausmą. Galima </w:t>
      </w:r>
      <w:r w:rsidR="005C5ABD">
        <w:rPr>
          <w:rFonts w:ascii="Times New Roman" w:hAnsi="Times New Roman" w:cs="Times New Roman"/>
          <w:sz w:val="24"/>
          <w:szCs w:val="24"/>
        </w:rPr>
        <w:t xml:space="preserve">atlikti </w:t>
      </w:r>
      <w:r w:rsidR="007E6E67">
        <w:rPr>
          <w:rFonts w:ascii="Times New Roman" w:hAnsi="Times New Roman" w:cs="Times New Roman"/>
          <w:sz w:val="24"/>
          <w:szCs w:val="24"/>
        </w:rPr>
        <w:t>kombinuot</w:t>
      </w:r>
      <w:r w:rsidR="005C5ABD">
        <w:rPr>
          <w:rFonts w:ascii="Times New Roman" w:hAnsi="Times New Roman" w:cs="Times New Roman"/>
          <w:sz w:val="24"/>
          <w:szCs w:val="24"/>
        </w:rPr>
        <w:t>ą</w:t>
      </w:r>
      <w:r w:rsidR="007E6E67">
        <w:rPr>
          <w:rFonts w:ascii="Times New Roman" w:hAnsi="Times New Roman" w:cs="Times New Roman"/>
          <w:sz w:val="24"/>
          <w:szCs w:val="24"/>
        </w:rPr>
        <w:t xml:space="preserve"> aktyvių bei pasyvių judesių </w:t>
      </w:r>
      <w:r w:rsidR="005C5ABD">
        <w:rPr>
          <w:rFonts w:ascii="Times New Roman" w:hAnsi="Times New Roman" w:cs="Times New Roman"/>
          <w:sz w:val="24"/>
          <w:szCs w:val="24"/>
        </w:rPr>
        <w:t>pratimus</w:t>
      </w:r>
      <w:r w:rsidR="007E6E67">
        <w:rPr>
          <w:rFonts w:ascii="Times New Roman" w:hAnsi="Times New Roman" w:cs="Times New Roman"/>
          <w:sz w:val="24"/>
          <w:szCs w:val="24"/>
        </w:rPr>
        <w:t xml:space="preserve"> su mobilizacija (51;52).</w:t>
      </w:r>
    </w:p>
    <w:p w:rsidR="007E6E67" w:rsidRDefault="007E6E67" w:rsidP="002F2793">
      <w:pPr>
        <w:spacing w:after="0" w:line="360" w:lineRule="auto"/>
        <w:ind w:firstLine="720"/>
        <w:contextualSpacing/>
        <w:jc w:val="both"/>
        <w:rPr>
          <w:rFonts w:ascii="Times New Roman" w:hAnsi="Times New Roman" w:cs="Times New Roman"/>
          <w:sz w:val="24"/>
          <w:szCs w:val="24"/>
        </w:rPr>
      </w:pPr>
    </w:p>
    <w:p w:rsidR="00A630F7" w:rsidRPr="00B22E97" w:rsidRDefault="00917416" w:rsidP="002F2793">
      <w:pPr>
        <w:pStyle w:val="Antrat2"/>
        <w:spacing w:before="0" w:line="360" w:lineRule="auto"/>
        <w:contextualSpacing/>
        <w:rPr>
          <w:rFonts w:ascii="Times New Roman" w:hAnsi="Times New Roman" w:cs="Times New Roman"/>
          <w:color w:val="auto"/>
          <w:sz w:val="28"/>
          <w:szCs w:val="28"/>
        </w:rPr>
      </w:pPr>
      <w:bookmarkStart w:id="29" w:name="_Toc388560344"/>
      <w:r w:rsidRPr="00B22E97">
        <w:rPr>
          <w:rFonts w:ascii="Times New Roman" w:hAnsi="Times New Roman" w:cs="Times New Roman"/>
          <w:color w:val="auto"/>
          <w:sz w:val="28"/>
          <w:szCs w:val="28"/>
        </w:rPr>
        <w:t xml:space="preserve">1.18 </w:t>
      </w:r>
      <w:r w:rsidR="00A630F7" w:rsidRPr="00B22E97">
        <w:rPr>
          <w:rFonts w:ascii="Times New Roman" w:hAnsi="Times New Roman" w:cs="Times New Roman"/>
          <w:color w:val="auto"/>
          <w:sz w:val="28"/>
          <w:szCs w:val="28"/>
        </w:rPr>
        <w:t>Ergoterapija po viršutinių galūnių</w:t>
      </w:r>
      <w:r w:rsidR="00064DF1" w:rsidRPr="00B22E97">
        <w:rPr>
          <w:rFonts w:ascii="Times New Roman" w:hAnsi="Times New Roman" w:cs="Times New Roman"/>
          <w:color w:val="auto"/>
          <w:sz w:val="28"/>
          <w:szCs w:val="28"/>
        </w:rPr>
        <w:t xml:space="preserve"> lūžių</w:t>
      </w:r>
      <w:bookmarkEnd w:id="29"/>
    </w:p>
    <w:p w:rsidR="00B22E97" w:rsidRDefault="00B22E97" w:rsidP="002F2793">
      <w:pPr>
        <w:spacing w:after="0" w:line="360" w:lineRule="auto"/>
        <w:ind w:firstLine="720"/>
        <w:contextualSpacing/>
        <w:jc w:val="both"/>
        <w:rPr>
          <w:rFonts w:ascii="Times New Roman" w:hAnsi="Times New Roman" w:cs="Times New Roman"/>
          <w:b/>
          <w:sz w:val="28"/>
          <w:szCs w:val="28"/>
        </w:rPr>
      </w:pPr>
    </w:p>
    <w:p w:rsidR="00A630F7" w:rsidRDefault="00A630F7" w:rsidP="002847B6">
      <w:pPr>
        <w:spacing w:after="0" w:line="360" w:lineRule="auto"/>
        <w:ind w:firstLine="851"/>
        <w:contextualSpacing/>
        <w:jc w:val="both"/>
        <w:rPr>
          <w:rFonts w:ascii="Times New Roman" w:hAnsi="Times New Roman" w:cs="Times New Roman"/>
          <w:sz w:val="24"/>
          <w:szCs w:val="24"/>
        </w:rPr>
      </w:pPr>
      <w:r w:rsidRPr="00A2108B">
        <w:rPr>
          <w:rFonts w:ascii="Times New Roman" w:hAnsi="Times New Roman" w:cs="Times New Roman"/>
          <w:sz w:val="24"/>
          <w:szCs w:val="24"/>
        </w:rPr>
        <w:t>Ergoterapija – pacientų galimybių grąžinimas, palaikymas ar sutrikimų kompensavimas tikslinga veikla, siekiant padėti ligoniams savarankiškai gyventi, atsižvelgiant į jų norus, poreikius bei visuomenės nustatytus reikalavimus</w:t>
      </w:r>
      <w:r w:rsidR="00537A2B">
        <w:rPr>
          <w:rFonts w:ascii="Times New Roman" w:hAnsi="Times New Roman" w:cs="Times New Roman"/>
          <w:sz w:val="24"/>
          <w:szCs w:val="24"/>
        </w:rPr>
        <w:t xml:space="preserve">. </w:t>
      </w:r>
      <w:r w:rsidRPr="00A2108B">
        <w:rPr>
          <w:rFonts w:ascii="Times New Roman" w:hAnsi="Times New Roman" w:cs="Times New Roman"/>
          <w:sz w:val="24"/>
          <w:szCs w:val="24"/>
        </w:rPr>
        <w:t>Ergoterapeuto tikslas – nuo pat ligos ar traumos pradžios siekti, kad pacientas būtų kiek įmanoma mažiau priklausomas kasdienėje veikloje. Ergoterapija yra taikoma, jei sutrikusi reabilituojamojo veikla</w:t>
      </w:r>
      <w:r>
        <w:rPr>
          <w:rFonts w:ascii="Times New Roman" w:hAnsi="Times New Roman" w:cs="Times New Roman"/>
          <w:sz w:val="24"/>
          <w:szCs w:val="24"/>
        </w:rPr>
        <w:t xml:space="preserve"> (30)</w:t>
      </w:r>
      <w:r w:rsidRPr="00A2108B">
        <w:rPr>
          <w:rFonts w:ascii="Times New Roman" w:hAnsi="Times New Roman" w:cs="Times New Roman"/>
          <w:sz w:val="24"/>
          <w:szCs w:val="24"/>
        </w:rPr>
        <w:t>.</w:t>
      </w:r>
    </w:p>
    <w:p w:rsidR="00C105EC" w:rsidRDefault="00C105EC" w:rsidP="002F2793">
      <w:pPr>
        <w:spacing w:after="0" w:line="360" w:lineRule="auto"/>
        <w:contextualSpacing/>
        <w:jc w:val="both"/>
        <w:rPr>
          <w:rFonts w:ascii="Times New Roman" w:hAnsi="Times New Roman" w:cs="Times New Roman"/>
          <w:sz w:val="24"/>
          <w:szCs w:val="24"/>
        </w:rPr>
      </w:pPr>
    </w:p>
    <w:p w:rsidR="002847B6" w:rsidRDefault="00E15439"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Pagal dinaminį sistemos modelį – žmogus sąveikauja su sistema, kiekvienas sistemos komponenetas veikia kitų komponentų elgseną, o kiekvieno komponento elgesys veikia visumos elgesį (63).</w:t>
      </w:r>
    </w:p>
    <w:p w:rsidR="00A630F7" w:rsidRPr="00911885" w:rsidRDefault="00A630F7" w:rsidP="002F2793">
      <w:pPr>
        <w:spacing w:after="0" w:line="360" w:lineRule="auto"/>
        <w:contextualSpacing/>
        <w:jc w:val="both"/>
        <w:rPr>
          <w:rFonts w:ascii="Times New Roman" w:hAnsi="Times New Roman" w:cs="Times New Roman"/>
          <w:sz w:val="24"/>
          <w:szCs w:val="24"/>
        </w:rPr>
      </w:pPr>
      <w:r w:rsidRPr="00911885">
        <w:rPr>
          <w:rFonts w:ascii="Times New Roman" w:hAnsi="Times New Roman" w:cs="Times New Roman"/>
          <w:sz w:val="24"/>
          <w:szCs w:val="24"/>
        </w:rPr>
        <w:t>G. Kielhofner išskiria šiuos ergoterapijos modelius</w:t>
      </w:r>
      <w:r w:rsidR="00911885" w:rsidRPr="00911885">
        <w:rPr>
          <w:rFonts w:ascii="Times New Roman" w:hAnsi="Times New Roman" w:cs="Times New Roman"/>
          <w:sz w:val="24"/>
          <w:szCs w:val="24"/>
        </w:rPr>
        <w:t xml:space="preserve"> (63)</w:t>
      </w:r>
      <w:r w:rsidRPr="00911885">
        <w:rPr>
          <w:rFonts w:ascii="Times New Roman" w:hAnsi="Times New Roman" w:cs="Times New Roman"/>
          <w:sz w:val="24"/>
          <w:szCs w:val="24"/>
        </w:rPr>
        <w:t>:</w:t>
      </w:r>
    </w:p>
    <w:p w:rsidR="00A630F7" w:rsidRDefault="00A630F7" w:rsidP="002F2793">
      <w:pPr>
        <w:pStyle w:val="Sraopastraipa"/>
        <w:numPr>
          <w:ilvl w:val="0"/>
          <w:numId w:val="28"/>
        </w:numPr>
        <w:spacing w:after="0" w:line="360" w:lineRule="auto"/>
        <w:jc w:val="both"/>
        <w:rPr>
          <w:rFonts w:ascii="Times New Roman" w:hAnsi="Times New Roman" w:cs="Times New Roman"/>
          <w:sz w:val="24"/>
          <w:szCs w:val="24"/>
        </w:rPr>
      </w:pPr>
      <w:r w:rsidRPr="002A5D95">
        <w:rPr>
          <w:rFonts w:ascii="Times New Roman" w:hAnsi="Times New Roman" w:cs="Times New Roman"/>
          <w:sz w:val="24"/>
          <w:szCs w:val="24"/>
        </w:rPr>
        <w:t>Biomechaninis modelis;</w:t>
      </w:r>
    </w:p>
    <w:p w:rsidR="00A630F7" w:rsidRDefault="00A630F7" w:rsidP="002F2793">
      <w:pPr>
        <w:pStyle w:val="Sraopastraipa"/>
        <w:numPr>
          <w:ilvl w:val="0"/>
          <w:numId w:val="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Pažinimo negalios modelis;</w:t>
      </w:r>
    </w:p>
    <w:p w:rsidR="00A630F7" w:rsidRDefault="00A630F7" w:rsidP="002F2793">
      <w:pPr>
        <w:pStyle w:val="Sraopastraipa"/>
        <w:numPr>
          <w:ilvl w:val="0"/>
          <w:numId w:val="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Pažinimo ir suvokimo modelis;</w:t>
      </w:r>
    </w:p>
    <w:p w:rsidR="00A630F7" w:rsidRDefault="00A630F7" w:rsidP="002F2793">
      <w:pPr>
        <w:pStyle w:val="Sraopastraipa"/>
        <w:numPr>
          <w:ilvl w:val="0"/>
          <w:numId w:val="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Grupinės veiklos modelis;</w:t>
      </w:r>
    </w:p>
    <w:p w:rsidR="00A630F7" w:rsidRDefault="00A630F7" w:rsidP="002F2793">
      <w:pPr>
        <w:pStyle w:val="Sraopastraipa"/>
        <w:numPr>
          <w:ilvl w:val="0"/>
          <w:numId w:val="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Žmogaus užimtumo modelis;</w:t>
      </w:r>
    </w:p>
    <w:p w:rsidR="00A630F7" w:rsidRDefault="00A630F7" w:rsidP="002F2793">
      <w:pPr>
        <w:pStyle w:val="Sraopastraipa"/>
        <w:numPr>
          <w:ilvl w:val="0"/>
          <w:numId w:val="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Judesių valdymo modelis;</w:t>
      </w:r>
    </w:p>
    <w:p w:rsidR="00A630F7" w:rsidRDefault="00A630F7" w:rsidP="002F2793">
      <w:pPr>
        <w:pStyle w:val="Sraopastraipa"/>
        <w:numPr>
          <w:ilvl w:val="0"/>
          <w:numId w:val="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Adaptacijos erdvėje ir prie laiko modelis;</w:t>
      </w:r>
    </w:p>
    <w:p w:rsidR="00A630F7" w:rsidRDefault="00A630F7" w:rsidP="002F2793">
      <w:pPr>
        <w:pStyle w:val="Sraopastraipa"/>
        <w:numPr>
          <w:ilvl w:val="0"/>
          <w:numId w:val="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Jutimų integracijos modelis;</w:t>
      </w:r>
    </w:p>
    <w:p w:rsidR="003C169F" w:rsidRDefault="003C169F" w:rsidP="002847B6">
      <w:pPr>
        <w:spacing w:after="0" w:line="360" w:lineRule="auto"/>
        <w:ind w:firstLine="851"/>
        <w:contextualSpacing/>
        <w:jc w:val="both"/>
        <w:rPr>
          <w:rFonts w:ascii="Times New Roman" w:hAnsi="Times New Roman" w:cs="Times New Roman"/>
          <w:sz w:val="24"/>
          <w:szCs w:val="24"/>
        </w:rPr>
      </w:pPr>
      <w:r w:rsidRPr="00F84E96">
        <w:rPr>
          <w:rFonts w:ascii="Times New Roman" w:hAnsi="Times New Roman" w:cs="Times New Roman"/>
          <w:b/>
          <w:sz w:val="24"/>
          <w:szCs w:val="24"/>
        </w:rPr>
        <w:lastRenderedPageBreak/>
        <w:t>Biomechaninis modelis</w:t>
      </w:r>
      <w:r>
        <w:rPr>
          <w:rFonts w:ascii="Times New Roman" w:hAnsi="Times New Roman" w:cs="Times New Roman"/>
          <w:sz w:val="24"/>
          <w:szCs w:val="24"/>
        </w:rPr>
        <w:t xml:space="preserve"> – samprata apie judėjimo ir atramos organų sistemos galimybę atlikti judesį ir įprastinę veiklą. Šis modelis pritaikytas asmenims, kurių judesių sutrikimą lėmė kaulų – raumenų, nervų, širdies bei kraujagyslių ir kvėpavimo sistemų veiklos sutrikimai</w:t>
      </w:r>
      <w:r w:rsidR="00FD3B9C">
        <w:rPr>
          <w:rFonts w:ascii="Times New Roman" w:hAnsi="Times New Roman" w:cs="Times New Roman"/>
          <w:sz w:val="24"/>
          <w:szCs w:val="24"/>
        </w:rPr>
        <w:t xml:space="preserve"> (</w:t>
      </w:r>
      <w:r w:rsidR="008F7ED2">
        <w:rPr>
          <w:rFonts w:ascii="Times New Roman" w:hAnsi="Times New Roman" w:cs="Times New Roman"/>
          <w:sz w:val="24"/>
          <w:szCs w:val="24"/>
        </w:rPr>
        <w:t>41</w:t>
      </w:r>
      <w:r w:rsidR="00FD3B9C">
        <w:rPr>
          <w:rFonts w:ascii="Times New Roman" w:hAnsi="Times New Roman" w:cs="Times New Roman"/>
          <w:sz w:val="24"/>
          <w:szCs w:val="24"/>
        </w:rPr>
        <w:t>)</w:t>
      </w:r>
      <w:r>
        <w:rPr>
          <w:rFonts w:ascii="Times New Roman" w:hAnsi="Times New Roman" w:cs="Times New Roman"/>
          <w:sz w:val="24"/>
          <w:szCs w:val="24"/>
        </w:rPr>
        <w:t>.</w:t>
      </w:r>
    </w:p>
    <w:p w:rsidR="003C169F" w:rsidRDefault="003C169F"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Ergoterapija siekiama trijų tikslų:</w:t>
      </w:r>
    </w:p>
    <w:p w:rsidR="003C169F" w:rsidRDefault="003C169F" w:rsidP="002F2793">
      <w:pPr>
        <w:pStyle w:val="Sraopastraipa"/>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Užkirsti kelią sąnarių deformacijoms ir išlaikyti esamus judesius;</w:t>
      </w:r>
    </w:p>
    <w:p w:rsidR="003C169F" w:rsidRDefault="003C169F" w:rsidP="002F2793">
      <w:pPr>
        <w:pStyle w:val="Sraopastraipa"/>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Sugražinti praprastą judesių amplitudę;</w:t>
      </w:r>
    </w:p>
    <w:p w:rsidR="00F84E96" w:rsidRPr="00FD3B9C" w:rsidRDefault="003C169F" w:rsidP="002F2793">
      <w:pPr>
        <w:pStyle w:val="Sraopastraipa"/>
        <w:numPr>
          <w:ilvl w:val="0"/>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Kompensuoti ribotą judesį;</w:t>
      </w:r>
      <w:r w:rsidR="00A14338" w:rsidRPr="00FD3B9C">
        <w:rPr>
          <w:rFonts w:ascii="Times New Roman" w:hAnsi="Times New Roman" w:cs="Times New Roman"/>
          <w:sz w:val="24"/>
          <w:szCs w:val="24"/>
        </w:rPr>
        <w:t>.</w:t>
      </w:r>
    </w:p>
    <w:p w:rsidR="00A14338" w:rsidRDefault="00A14338" w:rsidP="002847B6">
      <w:pPr>
        <w:spacing w:after="0" w:line="360" w:lineRule="auto"/>
        <w:ind w:firstLine="851"/>
        <w:contextualSpacing/>
        <w:jc w:val="both"/>
        <w:rPr>
          <w:rFonts w:ascii="Times New Roman" w:hAnsi="Times New Roman" w:cs="Times New Roman"/>
          <w:sz w:val="24"/>
          <w:szCs w:val="24"/>
        </w:rPr>
      </w:pPr>
      <w:r w:rsidRPr="00A14338">
        <w:rPr>
          <w:rFonts w:ascii="Times New Roman" w:hAnsi="Times New Roman" w:cs="Times New Roman"/>
          <w:b/>
          <w:sz w:val="24"/>
          <w:szCs w:val="24"/>
        </w:rPr>
        <w:t>Žmogaus užimtumo modelis.</w:t>
      </w:r>
      <w:r>
        <w:rPr>
          <w:rFonts w:ascii="Times New Roman" w:hAnsi="Times New Roman" w:cs="Times New Roman"/>
          <w:b/>
          <w:sz w:val="24"/>
          <w:szCs w:val="24"/>
        </w:rPr>
        <w:t xml:space="preserve"> </w:t>
      </w:r>
      <w:r>
        <w:rPr>
          <w:rFonts w:ascii="Times New Roman" w:hAnsi="Times New Roman" w:cs="Times New Roman"/>
          <w:sz w:val="24"/>
          <w:szCs w:val="24"/>
        </w:rPr>
        <w:t>Tai žinių apie žmogaus veiklą visuma, kuri padeda nusakyti, kas skatina asmenį veiklai, apibrėžia veiklos vykdymo schemą, apibūdina rutininės veiklos ypatumus</w:t>
      </w:r>
      <w:r w:rsidR="00FD3B9C">
        <w:rPr>
          <w:rFonts w:ascii="Times New Roman" w:hAnsi="Times New Roman" w:cs="Times New Roman"/>
          <w:sz w:val="24"/>
          <w:szCs w:val="24"/>
        </w:rPr>
        <w:t xml:space="preserve"> (</w:t>
      </w:r>
      <w:r w:rsidR="008F7ED2">
        <w:rPr>
          <w:rFonts w:ascii="Times New Roman" w:hAnsi="Times New Roman" w:cs="Times New Roman"/>
          <w:sz w:val="24"/>
          <w:szCs w:val="24"/>
        </w:rPr>
        <w:t>41</w:t>
      </w:r>
      <w:r w:rsidR="00FD3B9C">
        <w:rPr>
          <w:rFonts w:ascii="Times New Roman" w:hAnsi="Times New Roman" w:cs="Times New Roman"/>
          <w:sz w:val="24"/>
          <w:szCs w:val="24"/>
        </w:rPr>
        <w:t>)</w:t>
      </w:r>
      <w:r>
        <w:rPr>
          <w:rFonts w:ascii="Times New Roman" w:hAnsi="Times New Roman" w:cs="Times New Roman"/>
          <w:sz w:val="24"/>
          <w:szCs w:val="24"/>
        </w:rPr>
        <w:t>. Modelio esmė:</w:t>
      </w:r>
    </w:p>
    <w:p w:rsidR="00A14338" w:rsidRDefault="00A14338" w:rsidP="002F2793">
      <w:pPr>
        <w:pStyle w:val="Sraopastraipa"/>
        <w:numPr>
          <w:ilvl w:val="0"/>
          <w:numId w:val="3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Padeda suprasti žmogaus veiklos prigimtį. Jis atspindi motyvacijos ir veiklos pasirinkimo reikšmę, padeda suprasti, kaip veikla virsta įpročiu ir rutina.</w:t>
      </w:r>
    </w:p>
    <w:p w:rsidR="00A14338" w:rsidRDefault="00A14338" w:rsidP="002F2793">
      <w:pPr>
        <w:pStyle w:val="Sraopastraipa"/>
        <w:numPr>
          <w:ilvl w:val="0"/>
          <w:numId w:val="3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Atsikleidžiamas ryšys tarp asmens ir aplinkos. Pabrėžiama aplinkos įtaka veiklai. Veikla pateikiama kaip viena iš žmogaus egzistavimo sąlygų.</w:t>
      </w:r>
    </w:p>
    <w:p w:rsidR="00A14338" w:rsidRDefault="00A14338" w:rsidP="002F2793">
      <w:pPr>
        <w:pStyle w:val="Sraopastraipa"/>
        <w:numPr>
          <w:ilvl w:val="0"/>
          <w:numId w:val="3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Padeda vertinti žmogaus veiklą, ergoterapijos reikmę.</w:t>
      </w:r>
    </w:p>
    <w:p w:rsidR="00571556" w:rsidRDefault="00571556"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Ergoterapijos specialistai remiasi holistiniu požiūriu tiriant konkrečius paciento veiksmus, tokiu būdu siekiama suprasti kokią veiklą reikia taikyti ergoterapijos užsiėmimų metu, siekiant pagerinti paciento savarankiškumą (AOTA</w:t>
      </w:r>
      <w:r w:rsidR="002836D2">
        <w:rPr>
          <w:rFonts w:ascii="Times New Roman" w:hAnsi="Times New Roman" w:cs="Times New Roman"/>
          <w:sz w:val="24"/>
          <w:szCs w:val="24"/>
        </w:rPr>
        <w:t>) (64).</w:t>
      </w:r>
    </w:p>
    <w:p w:rsidR="003C2625" w:rsidRPr="00571556" w:rsidRDefault="003C2625"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Ergoterapijos tikslai (67):</w:t>
      </w:r>
    </w:p>
    <w:p w:rsidR="003C2625" w:rsidRDefault="003C2625" w:rsidP="002F2793">
      <w:pPr>
        <w:pStyle w:val="Sraopastraipa"/>
        <w:numPr>
          <w:ilvl w:val="0"/>
          <w:numId w:val="4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Skausmo mažinimas;</w:t>
      </w:r>
    </w:p>
    <w:p w:rsidR="003C2625" w:rsidRDefault="003C2625" w:rsidP="002F2793">
      <w:pPr>
        <w:pStyle w:val="Sraopastraipa"/>
        <w:numPr>
          <w:ilvl w:val="0"/>
          <w:numId w:val="4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Savarankiškumo at</w:t>
      </w:r>
      <w:r w:rsidR="005B65B2">
        <w:rPr>
          <w:rFonts w:ascii="Times New Roman" w:hAnsi="Times New Roman" w:cs="Times New Roman"/>
          <w:sz w:val="24"/>
          <w:szCs w:val="24"/>
        </w:rPr>
        <w:t>st</w:t>
      </w:r>
      <w:r>
        <w:rPr>
          <w:rFonts w:ascii="Times New Roman" w:hAnsi="Times New Roman" w:cs="Times New Roman"/>
          <w:sz w:val="24"/>
          <w:szCs w:val="24"/>
        </w:rPr>
        <w:t>a</w:t>
      </w:r>
      <w:r w:rsidR="005B65B2">
        <w:rPr>
          <w:rFonts w:ascii="Times New Roman" w:hAnsi="Times New Roman" w:cs="Times New Roman"/>
          <w:sz w:val="24"/>
          <w:szCs w:val="24"/>
        </w:rPr>
        <w:t>tymas</w:t>
      </w:r>
      <w:r>
        <w:rPr>
          <w:rFonts w:ascii="Times New Roman" w:hAnsi="Times New Roman" w:cs="Times New Roman"/>
          <w:sz w:val="24"/>
          <w:szCs w:val="24"/>
        </w:rPr>
        <w:t>;</w:t>
      </w:r>
    </w:p>
    <w:p w:rsidR="003C2625" w:rsidRDefault="003C2625" w:rsidP="002F2793">
      <w:pPr>
        <w:pStyle w:val="Sraopastraipa"/>
        <w:numPr>
          <w:ilvl w:val="0"/>
          <w:numId w:val="4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Edemos mažinimas;</w:t>
      </w:r>
    </w:p>
    <w:p w:rsidR="003C2625" w:rsidRDefault="003C2625" w:rsidP="002F2793">
      <w:pPr>
        <w:pStyle w:val="Sraopastraipa"/>
        <w:numPr>
          <w:ilvl w:val="0"/>
          <w:numId w:val="4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Veiklos klasifikavimas;</w:t>
      </w:r>
    </w:p>
    <w:p w:rsidR="003C2625" w:rsidRDefault="003C2625" w:rsidP="002F2793">
      <w:pPr>
        <w:pStyle w:val="Sraopastraipa"/>
        <w:numPr>
          <w:ilvl w:val="0"/>
          <w:numId w:val="4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Judesių amplitudės didinimas;</w:t>
      </w:r>
    </w:p>
    <w:p w:rsidR="003C2625" w:rsidRDefault="003C2625" w:rsidP="002F2793">
      <w:pPr>
        <w:pStyle w:val="Sraopastraipa"/>
        <w:numPr>
          <w:ilvl w:val="0"/>
          <w:numId w:val="4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Pratimų parinkimas užsiėmimams;</w:t>
      </w:r>
    </w:p>
    <w:p w:rsidR="003C2625" w:rsidRDefault="003C2625" w:rsidP="002F2793">
      <w:pPr>
        <w:pStyle w:val="Sraopastraipa"/>
        <w:numPr>
          <w:ilvl w:val="0"/>
          <w:numId w:val="4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Sutrikusių jutimų koregavimas;</w:t>
      </w:r>
    </w:p>
    <w:p w:rsidR="003C2625" w:rsidRPr="00F53840" w:rsidRDefault="003C2625" w:rsidP="002F2793">
      <w:pPr>
        <w:pStyle w:val="Sraopastraipa"/>
        <w:numPr>
          <w:ilvl w:val="0"/>
          <w:numId w:val="4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Įtvarų parinkimas;</w:t>
      </w:r>
    </w:p>
    <w:p w:rsidR="00B351BF" w:rsidRDefault="008F2C67"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Ergoterapijos užsiėmimų pradžioje labai svarbu įvertinti pacientų charakterį ir sveikatos būklę</w:t>
      </w:r>
      <w:r w:rsidR="00BB4559">
        <w:rPr>
          <w:rFonts w:ascii="Times New Roman" w:hAnsi="Times New Roman" w:cs="Times New Roman"/>
          <w:sz w:val="24"/>
          <w:szCs w:val="24"/>
        </w:rPr>
        <w:t>.</w:t>
      </w:r>
      <w:r>
        <w:rPr>
          <w:rFonts w:ascii="Times New Roman" w:hAnsi="Times New Roman" w:cs="Times New Roman"/>
          <w:sz w:val="24"/>
          <w:szCs w:val="24"/>
        </w:rPr>
        <w:t xml:space="preserve"> </w:t>
      </w:r>
      <w:r w:rsidR="00BB4559">
        <w:rPr>
          <w:rFonts w:ascii="Times New Roman" w:hAnsi="Times New Roman" w:cs="Times New Roman"/>
          <w:sz w:val="24"/>
          <w:szCs w:val="24"/>
        </w:rPr>
        <w:t>Taip pat</w:t>
      </w:r>
      <w:r>
        <w:rPr>
          <w:rFonts w:ascii="Times New Roman" w:hAnsi="Times New Roman" w:cs="Times New Roman"/>
          <w:sz w:val="24"/>
          <w:szCs w:val="24"/>
        </w:rPr>
        <w:t xml:space="preserve"> atlikti kritimo </w:t>
      </w:r>
      <w:r w:rsidR="003C00B5">
        <w:rPr>
          <w:rFonts w:ascii="Times New Roman" w:hAnsi="Times New Roman" w:cs="Times New Roman"/>
          <w:sz w:val="24"/>
          <w:szCs w:val="24"/>
        </w:rPr>
        <w:t>bei</w:t>
      </w:r>
      <w:r>
        <w:rPr>
          <w:rFonts w:ascii="Times New Roman" w:hAnsi="Times New Roman" w:cs="Times New Roman"/>
          <w:sz w:val="24"/>
          <w:szCs w:val="24"/>
        </w:rPr>
        <w:t xml:space="preserve"> radiologinę išsamią analizę, kuri gali turėti įtakos pacientų psichosocialinei būsenai ir patirtoms traumoms. Būklės sunkumas priklauso nuo sužalojimo sunkumo ir traumuotos vietos. Tokie veiksniai gali turėti įtakos </w:t>
      </w:r>
      <w:r w:rsidR="003C00B5">
        <w:rPr>
          <w:rFonts w:ascii="Times New Roman" w:hAnsi="Times New Roman" w:cs="Times New Roman"/>
          <w:sz w:val="24"/>
          <w:szCs w:val="24"/>
        </w:rPr>
        <w:t>neuroraumeninėms, jutimo bei judėjimo funkcijoms. Taip pat esančiam skausmui, sąnarių judrumui, stabilumui tiesiogiai paveiktų kaulų lūžių</w:t>
      </w:r>
      <w:r w:rsidR="00B351BF">
        <w:rPr>
          <w:rFonts w:ascii="Times New Roman" w:hAnsi="Times New Roman" w:cs="Times New Roman"/>
          <w:sz w:val="24"/>
          <w:szCs w:val="24"/>
        </w:rPr>
        <w:t xml:space="preserve"> (66)</w:t>
      </w:r>
      <w:r w:rsidR="003C00B5">
        <w:rPr>
          <w:rFonts w:ascii="Times New Roman" w:hAnsi="Times New Roman" w:cs="Times New Roman"/>
          <w:sz w:val="24"/>
          <w:szCs w:val="24"/>
        </w:rPr>
        <w:t>.</w:t>
      </w:r>
      <w:r w:rsidR="009018DD">
        <w:rPr>
          <w:rFonts w:ascii="Times New Roman" w:hAnsi="Times New Roman" w:cs="Times New Roman"/>
          <w:sz w:val="24"/>
          <w:szCs w:val="24"/>
        </w:rPr>
        <w:t xml:space="preserve"> </w:t>
      </w:r>
    </w:p>
    <w:p w:rsidR="002836D2" w:rsidRDefault="00B351BF"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Tyrimų duomenimis, r</w:t>
      </w:r>
      <w:r w:rsidR="009018DD">
        <w:rPr>
          <w:rFonts w:ascii="Times New Roman" w:hAnsi="Times New Roman" w:cs="Times New Roman"/>
          <w:sz w:val="24"/>
          <w:szCs w:val="24"/>
        </w:rPr>
        <w:t xml:space="preserve">ibotas sąnarių mobilumas gali paveikti asmens savarankiškumą kasdienėje veikloje, pvz. apsirengimo, maisto ruošimo ar asmens higienos. Pacientams patyrusiems </w:t>
      </w:r>
      <w:r w:rsidR="009018DD">
        <w:rPr>
          <w:rFonts w:ascii="Times New Roman" w:hAnsi="Times New Roman" w:cs="Times New Roman"/>
          <w:sz w:val="24"/>
          <w:szCs w:val="24"/>
        </w:rPr>
        <w:lastRenderedPageBreak/>
        <w:t xml:space="preserve">SDGL, atsiranda edema, riboti pirštų judesiai, todėl pacientams sunku atlikti kasdienes užduotis, kaip: apsirengimas, rašymas ir t.t. Tokie pokyčiai turi įtakos motyvacijai, kurių metu pacientai nustoja </w:t>
      </w:r>
      <w:r w:rsidR="0017030D">
        <w:rPr>
          <w:rFonts w:ascii="Times New Roman" w:hAnsi="Times New Roman" w:cs="Times New Roman"/>
          <w:sz w:val="24"/>
          <w:szCs w:val="24"/>
        </w:rPr>
        <w:t xml:space="preserve">domėtis veikla, kurią mėgsta užsiiminėti. </w:t>
      </w:r>
      <w:r w:rsidR="00610C01">
        <w:rPr>
          <w:rFonts w:ascii="Times New Roman" w:hAnsi="Times New Roman" w:cs="Times New Roman"/>
          <w:sz w:val="24"/>
          <w:szCs w:val="24"/>
        </w:rPr>
        <w:t>Literatūroje pabrėžiama, kad</w:t>
      </w:r>
      <w:r w:rsidR="0017030D">
        <w:rPr>
          <w:rFonts w:ascii="Times New Roman" w:hAnsi="Times New Roman" w:cs="Times New Roman"/>
          <w:sz w:val="24"/>
          <w:szCs w:val="24"/>
        </w:rPr>
        <w:t xml:space="preserve"> labai svarbu </w:t>
      </w:r>
      <w:r w:rsidR="00610C01">
        <w:rPr>
          <w:rFonts w:ascii="Times New Roman" w:hAnsi="Times New Roman" w:cs="Times New Roman"/>
          <w:sz w:val="24"/>
          <w:szCs w:val="24"/>
        </w:rPr>
        <w:t xml:space="preserve">ergoterapijoje </w:t>
      </w:r>
      <w:r w:rsidR="0017030D">
        <w:rPr>
          <w:rFonts w:ascii="Times New Roman" w:hAnsi="Times New Roman" w:cs="Times New Roman"/>
          <w:sz w:val="24"/>
          <w:szCs w:val="24"/>
        </w:rPr>
        <w:t xml:space="preserve">nuolat vertinti ir spręsti iškilusias problemas su pacientais, kurie </w:t>
      </w:r>
      <w:r w:rsidR="002D3D6B">
        <w:rPr>
          <w:rFonts w:ascii="Times New Roman" w:hAnsi="Times New Roman" w:cs="Times New Roman"/>
          <w:sz w:val="24"/>
          <w:szCs w:val="24"/>
        </w:rPr>
        <w:t xml:space="preserve">turi </w:t>
      </w:r>
      <w:r w:rsidR="0017030D">
        <w:rPr>
          <w:rFonts w:ascii="Times New Roman" w:hAnsi="Times New Roman" w:cs="Times New Roman"/>
          <w:sz w:val="24"/>
          <w:szCs w:val="24"/>
        </w:rPr>
        <w:t>tam tikras vertybes, įsitikinimus ir dvasingumą. Šie veiksniai turi įtakos gijimo procesui bei psichikos gerovei (65)</w:t>
      </w:r>
      <w:r w:rsidR="00F53840">
        <w:rPr>
          <w:rFonts w:ascii="Times New Roman" w:hAnsi="Times New Roman" w:cs="Times New Roman"/>
          <w:sz w:val="24"/>
          <w:szCs w:val="24"/>
        </w:rPr>
        <w:t>.</w:t>
      </w:r>
      <w:r w:rsidR="0017030D">
        <w:rPr>
          <w:rFonts w:ascii="Times New Roman" w:hAnsi="Times New Roman" w:cs="Times New Roman"/>
          <w:sz w:val="24"/>
          <w:szCs w:val="24"/>
        </w:rPr>
        <w:t xml:space="preserve"> </w:t>
      </w:r>
    </w:p>
    <w:p w:rsidR="003C2625" w:rsidRDefault="003C2625" w:rsidP="002F2793">
      <w:pPr>
        <w:spacing w:after="0" w:line="360" w:lineRule="auto"/>
        <w:ind w:firstLine="720"/>
        <w:contextualSpacing/>
        <w:jc w:val="both"/>
        <w:rPr>
          <w:rFonts w:ascii="Times New Roman" w:hAnsi="Times New Roman" w:cs="Times New Roman"/>
          <w:sz w:val="24"/>
          <w:szCs w:val="24"/>
        </w:rPr>
      </w:pPr>
    </w:p>
    <w:p w:rsidR="00A630F7" w:rsidRPr="00B22E97" w:rsidRDefault="00917416" w:rsidP="002F2793">
      <w:pPr>
        <w:pStyle w:val="Antrat2"/>
        <w:spacing w:before="0" w:line="360" w:lineRule="auto"/>
        <w:contextualSpacing/>
        <w:rPr>
          <w:rFonts w:ascii="Times New Roman" w:hAnsi="Times New Roman" w:cs="Times New Roman"/>
          <w:color w:val="auto"/>
          <w:sz w:val="28"/>
          <w:szCs w:val="28"/>
        </w:rPr>
      </w:pPr>
      <w:bookmarkStart w:id="30" w:name="_Toc388560345"/>
      <w:r w:rsidRPr="00B22E97">
        <w:rPr>
          <w:rFonts w:ascii="Times New Roman" w:hAnsi="Times New Roman" w:cs="Times New Roman"/>
          <w:color w:val="auto"/>
          <w:sz w:val="28"/>
          <w:szCs w:val="28"/>
        </w:rPr>
        <w:t xml:space="preserve">1.19 </w:t>
      </w:r>
      <w:r w:rsidR="00A630F7" w:rsidRPr="00B22E97">
        <w:rPr>
          <w:rFonts w:ascii="Times New Roman" w:hAnsi="Times New Roman" w:cs="Times New Roman"/>
          <w:color w:val="auto"/>
          <w:sz w:val="28"/>
          <w:szCs w:val="28"/>
        </w:rPr>
        <w:t>Kinezioteipavimas, jo poveikis ir taikymas</w:t>
      </w:r>
      <w:bookmarkEnd w:id="30"/>
    </w:p>
    <w:p w:rsidR="002847B6" w:rsidRDefault="002847B6" w:rsidP="002847B6">
      <w:pPr>
        <w:spacing w:after="0" w:line="360" w:lineRule="auto"/>
        <w:contextualSpacing/>
        <w:jc w:val="both"/>
        <w:rPr>
          <w:rFonts w:ascii="Times New Roman" w:hAnsi="Times New Roman" w:cs="Times New Roman"/>
          <w:b/>
          <w:sz w:val="28"/>
          <w:szCs w:val="28"/>
        </w:rPr>
      </w:pPr>
    </w:p>
    <w:p w:rsidR="002847B6" w:rsidRDefault="00A630F7" w:rsidP="002847B6">
      <w:pPr>
        <w:spacing w:after="0" w:line="360" w:lineRule="auto"/>
        <w:ind w:firstLine="851"/>
        <w:contextualSpacing/>
        <w:jc w:val="both"/>
        <w:rPr>
          <w:rFonts w:ascii="Times New Roman" w:hAnsi="Times New Roman" w:cs="Times New Roman"/>
          <w:sz w:val="24"/>
          <w:szCs w:val="24"/>
        </w:rPr>
      </w:pPr>
      <w:r w:rsidRPr="00064DBB">
        <w:rPr>
          <w:rFonts w:ascii="Times New Roman" w:hAnsi="Times New Roman" w:cs="Times New Roman"/>
          <w:sz w:val="24"/>
          <w:szCs w:val="24"/>
        </w:rPr>
        <w:t>Kinezioteipavimo metodą sukūrė japonų chiropraktikas Dr. Kenso Kase. Šis metodas pirmą</w:t>
      </w:r>
      <w:r>
        <w:rPr>
          <w:rFonts w:ascii="Times New Roman" w:hAnsi="Times New Roman" w:cs="Times New Roman"/>
          <w:sz w:val="24"/>
          <w:szCs w:val="24"/>
        </w:rPr>
        <w:t xml:space="preserve"> </w:t>
      </w:r>
      <w:r w:rsidRPr="00064DBB">
        <w:rPr>
          <w:rFonts w:ascii="Times New Roman" w:hAnsi="Times New Roman" w:cs="Times New Roman"/>
          <w:sz w:val="24"/>
          <w:szCs w:val="24"/>
        </w:rPr>
        <w:t>kartą buvo pristatytas pasauliui 1988 m. per Olimpin</w:t>
      </w:r>
      <w:r>
        <w:rPr>
          <w:rFonts w:ascii="Times New Roman" w:hAnsi="Times New Roman" w:cs="Times New Roman"/>
          <w:sz w:val="24"/>
          <w:szCs w:val="24"/>
        </w:rPr>
        <w:t>es žaidynes Seule. Kinezioteipavimo juosta</w:t>
      </w:r>
      <w:r w:rsidRPr="00064DBB">
        <w:rPr>
          <w:rFonts w:ascii="Times New Roman" w:hAnsi="Times New Roman" w:cs="Times New Roman"/>
          <w:sz w:val="24"/>
          <w:szCs w:val="24"/>
        </w:rPr>
        <w:t xml:space="preserve"> yra </w:t>
      </w:r>
      <w:r>
        <w:rPr>
          <w:rFonts w:ascii="Times New Roman" w:hAnsi="Times New Roman" w:cs="Times New Roman"/>
          <w:sz w:val="24"/>
          <w:szCs w:val="24"/>
        </w:rPr>
        <w:t>s</w:t>
      </w:r>
      <w:r w:rsidRPr="00064DBB">
        <w:rPr>
          <w:rFonts w:ascii="Times New Roman" w:hAnsi="Times New Roman" w:cs="Times New Roman"/>
          <w:sz w:val="24"/>
          <w:szCs w:val="24"/>
        </w:rPr>
        <w:t>ukurt</w:t>
      </w:r>
      <w:r w:rsidR="00F06AF7">
        <w:rPr>
          <w:rFonts w:ascii="Times New Roman" w:hAnsi="Times New Roman" w:cs="Times New Roman"/>
          <w:sz w:val="24"/>
          <w:szCs w:val="24"/>
        </w:rPr>
        <w:t>a</w:t>
      </w:r>
      <w:r>
        <w:rPr>
          <w:rFonts w:ascii="Times New Roman" w:hAnsi="Times New Roman" w:cs="Times New Roman"/>
          <w:sz w:val="24"/>
          <w:szCs w:val="24"/>
        </w:rPr>
        <w:t xml:space="preserve"> </w:t>
      </w:r>
      <w:r w:rsidRPr="00064DBB">
        <w:rPr>
          <w:rFonts w:ascii="Times New Roman" w:hAnsi="Times New Roman" w:cs="Times New Roman"/>
          <w:sz w:val="24"/>
          <w:szCs w:val="24"/>
        </w:rPr>
        <w:t>remiantis filosofija, kurios pagrindinis tikslas – neriboti judesių amplitudės ir leisti kūno raumenų –</w:t>
      </w:r>
      <w:r>
        <w:rPr>
          <w:rFonts w:ascii="Times New Roman" w:hAnsi="Times New Roman" w:cs="Times New Roman"/>
          <w:sz w:val="24"/>
          <w:szCs w:val="24"/>
        </w:rPr>
        <w:t xml:space="preserve"> </w:t>
      </w:r>
      <w:r w:rsidRPr="00064DBB">
        <w:rPr>
          <w:rFonts w:ascii="Times New Roman" w:hAnsi="Times New Roman" w:cs="Times New Roman"/>
          <w:sz w:val="24"/>
          <w:szCs w:val="24"/>
        </w:rPr>
        <w:t xml:space="preserve">griaučių sistemai atsistatyti pačiai. Tai technika, paremta savaiminiu kūno gijimo </w:t>
      </w:r>
      <w:r>
        <w:rPr>
          <w:rFonts w:ascii="Times New Roman" w:hAnsi="Times New Roman" w:cs="Times New Roman"/>
          <w:sz w:val="24"/>
          <w:szCs w:val="24"/>
        </w:rPr>
        <w:t>p</w:t>
      </w:r>
      <w:r w:rsidRPr="00064DBB">
        <w:rPr>
          <w:rFonts w:ascii="Times New Roman" w:hAnsi="Times New Roman" w:cs="Times New Roman"/>
          <w:sz w:val="24"/>
          <w:szCs w:val="24"/>
        </w:rPr>
        <w:t>rincipu.</w:t>
      </w:r>
      <w:r>
        <w:rPr>
          <w:rFonts w:ascii="Times New Roman" w:hAnsi="Times New Roman" w:cs="Times New Roman"/>
          <w:sz w:val="24"/>
          <w:szCs w:val="24"/>
        </w:rPr>
        <w:t xml:space="preserve"> Kineziteipavimo juostos dedamos atsižvelgiant į raumenų bei nervų išsidėstymą, galima užteipuoti bet kurią kūno dalį, visiškai neribojant žmogaus judesių. Kinezioteipavimo juostos siūlo daugybę  gydymo galimybių. Taip pat siūlomos įvairiausios </w:t>
      </w:r>
      <w:r w:rsidR="00B3527A">
        <w:rPr>
          <w:rFonts w:ascii="Times New Roman" w:hAnsi="Times New Roman" w:cs="Times New Roman"/>
          <w:sz w:val="24"/>
          <w:szCs w:val="24"/>
        </w:rPr>
        <w:t>kinezio</w:t>
      </w:r>
      <w:r>
        <w:rPr>
          <w:rFonts w:ascii="Times New Roman" w:hAnsi="Times New Roman" w:cs="Times New Roman"/>
          <w:sz w:val="24"/>
          <w:szCs w:val="24"/>
        </w:rPr>
        <w:t>teipavimo kombinacijos technikos. Visi mechaniniai, fiziniai, dinaminiai procesai medicinoje priklauso nuo tarpusavio sąveikos. Todėl, bet koks pažeidimas gali sukelti sudėtingos kompleksinės sistemos funkcijų grandininę reakciją. Esant raumenų ir raiščių funkcijos sutrikimams bei sąnarių disbalansui, asmuo jaučią diskomforto jausmą. Tokie funkciniai sutrikimai sukelia raumenų silpnumą, sutrinka refleksai. Atsiradusi edema ir patinimas sutrikdo fiziologinio judėjimo procesą ir sukelia skausmą. Kinezioteipavimo juostos gerina limfos ir kraujo tekėjimą, mažina edemą bei stiprina susilpnėjusius raumenis, gerina raumenų tonusą, greitai sumažina skausmo simptomus (4)</w:t>
      </w:r>
    </w:p>
    <w:p w:rsidR="002847B6" w:rsidRDefault="00A630F7"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Kinezioteipavimo juostos</w:t>
      </w:r>
      <w:r w:rsidRPr="00064DBB">
        <w:rPr>
          <w:rFonts w:ascii="Times New Roman" w:hAnsi="Times New Roman" w:cs="Times New Roman"/>
          <w:sz w:val="24"/>
          <w:szCs w:val="24"/>
        </w:rPr>
        <w:t xml:space="preserve"> yra sukurt</w:t>
      </w:r>
      <w:r>
        <w:rPr>
          <w:rFonts w:ascii="Times New Roman" w:hAnsi="Times New Roman" w:cs="Times New Roman"/>
          <w:sz w:val="24"/>
          <w:szCs w:val="24"/>
        </w:rPr>
        <w:t>o</w:t>
      </w:r>
      <w:r w:rsidRPr="00064DBB">
        <w:rPr>
          <w:rFonts w:ascii="Times New Roman" w:hAnsi="Times New Roman" w:cs="Times New Roman"/>
          <w:sz w:val="24"/>
          <w:szCs w:val="24"/>
        </w:rPr>
        <w:t>s taip, kad būtų galima j</w:t>
      </w:r>
      <w:r>
        <w:rPr>
          <w:rFonts w:ascii="Times New Roman" w:hAnsi="Times New Roman" w:cs="Times New Roman"/>
          <w:sz w:val="24"/>
          <w:szCs w:val="24"/>
        </w:rPr>
        <w:t>as</w:t>
      </w:r>
      <w:r w:rsidRPr="00064DBB">
        <w:rPr>
          <w:rFonts w:ascii="Times New Roman" w:hAnsi="Times New Roman" w:cs="Times New Roman"/>
          <w:sz w:val="24"/>
          <w:szCs w:val="24"/>
        </w:rPr>
        <w:t xml:space="preserve"> ištempti apie </w:t>
      </w:r>
      <w:r>
        <w:rPr>
          <w:rFonts w:ascii="Times New Roman" w:hAnsi="Times New Roman" w:cs="Times New Roman"/>
          <w:sz w:val="24"/>
          <w:szCs w:val="24"/>
        </w:rPr>
        <w:t>30</w:t>
      </w:r>
      <w:r w:rsidRPr="00064DBB">
        <w:rPr>
          <w:rFonts w:ascii="Times New Roman" w:hAnsi="Times New Roman" w:cs="Times New Roman"/>
          <w:sz w:val="24"/>
          <w:szCs w:val="24"/>
        </w:rPr>
        <w:t xml:space="preserve"> – </w:t>
      </w:r>
      <w:r>
        <w:rPr>
          <w:rFonts w:ascii="Times New Roman" w:hAnsi="Times New Roman" w:cs="Times New Roman"/>
          <w:sz w:val="24"/>
          <w:szCs w:val="24"/>
        </w:rPr>
        <w:t xml:space="preserve">40 </w:t>
      </w:r>
      <w:r w:rsidRPr="00064DBB">
        <w:rPr>
          <w:rFonts w:ascii="Times New Roman" w:hAnsi="Times New Roman" w:cs="Times New Roman"/>
          <w:sz w:val="24"/>
          <w:szCs w:val="24"/>
        </w:rPr>
        <w:t>proc. nuo jo</w:t>
      </w:r>
      <w:r w:rsidR="00F06AF7">
        <w:rPr>
          <w:rFonts w:ascii="Times New Roman" w:hAnsi="Times New Roman" w:cs="Times New Roman"/>
          <w:sz w:val="24"/>
          <w:szCs w:val="24"/>
        </w:rPr>
        <w:t>s</w:t>
      </w:r>
      <w:r>
        <w:rPr>
          <w:rFonts w:ascii="Times New Roman" w:hAnsi="Times New Roman" w:cs="Times New Roman"/>
          <w:sz w:val="24"/>
          <w:szCs w:val="24"/>
        </w:rPr>
        <w:t xml:space="preserve"> </w:t>
      </w:r>
      <w:r w:rsidRPr="00064DBB">
        <w:rPr>
          <w:rFonts w:ascii="Times New Roman" w:hAnsi="Times New Roman" w:cs="Times New Roman"/>
          <w:sz w:val="24"/>
          <w:szCs w:val="24"/>
        </w:rPr>
        <w:t>pradinio ilgio</w:t>
      </w:r>
      <w:r>
        <w:rPr>
          <w:rFonts w:ascii="Times New Roman" w:hAnsi="Times New Roman" w:cs="Times New Roman"/>
          <w:sz w:val="24"/>
          <w:szCs w:val="24"/>
        </w:rPr>
        <w:t xml:space="preserve"> iki maksimalaus įtempimo</w:t>
      </w:r>
      <w:r w:rsidRPr="00064DBB">
        <w:rPr>
          <w:rFonts w:ascii="Times New Roman" w:hAnsi="Times New Roman" w:cs="Times New Roman"/>
          <w:sz w:val="24"/>
          <w:szCs w:val="24"/>
        </w:rPr>
        <w:t xml:space="preserve">. </w:t>
      </w:r>
      <w:r>
        <w:rPr>
          <w:rFonts w:ascii="Times New Roman" w:hAnsi="Times New Roman" w:cs="Times New Roman"/>
          <w:sz w:val="24"/>
          <w:szCs w:val="24"/>
        </w:rPr>
        <w:t>Jos klijuojamos išilgai įtempto raumens, pradedant nuo raumens pabaigos (angl. insertion) ir klijuojant iki raumens pradžios (angl. origin). Tai leidžia juostoms išsitempti iki 130 – 140 proc savo ilgio. Juostų</w:t>
      </w:r>
      <w:r w:rsidRPr="00064DBB">
        <w:rPr>
          <w:rFonts w:ascii="Times New Roman" w:hAnsi="Times New Roman" w:cs="Times New Roman"/>
          <w:sz w:val="24"/>
          <w:szCs w:val="24"/>
        </w:rPr>
        <w:t xml:space="preserve"> storumas atitinka žmogaus odos epidermio storį.</w:t>
      </w:r>
      <w:r>
        <w:rPr>
          <w:rFonts w:ascii="Times New Roman" w:hAnsi="Times New Roman" w:cs="Times New Roman"/>
          <w:sz w:val="24"/>
          <w:szCs w:val="24"/>
        </w:rPr>
        <w:t xml:space="preserve"> </w:t>
      </w:r>
      <w:r w:rsidRPr="00064DBB">
        <w:rPr>
          <w:rFonts w:ascii="Times New Roman" w:hAnsi="Times New Roman" w:cs="Times New Roman"/>
          <w:sz w:val="24"/>
          <w:szCs w:val="24"/>
        </w:rPr>
        <w:t>Kinezioteipa</w:t>
      </w:r>
      <w:r>
        <w:rPr>
          <w:rFonts w:ascii="Times New Roman" w:hAnsi="Times New Roman" w:cs="Times New Roman"/>
          <w:sz w:val="24"/>
          <w:szCs w:val="24"/>
        </w:rPr>
        <w:t>vimo juostos yra pagaminto</w:t>
      </w:r>
      <w:r w:rsidRPr="00064DBB">
        <w:rPr>
          <w:rFonts w:ascii="Times New Roman" w:hAnsi="Times New Roman" w:cs="Times New Roman"/>
          <w:sz w:val="24"/>
          <w:szCs w:val="24"/>
        </w:rPr>
        <w:t>s iš 100 proc. aukštos kokybės medvilnės</w:t>
      </w:r>
      <w:r>
        <w:rPr>
          <w:rFonts w:ascii="Times New Roman" w:hAnsi="Times New Roman" w:cs="Times New Roman"/>
          <w:sz w:val="24"/>
          <w:szCs w:val="24"/>
        </w:rPr>
        <w:t>, gali būti akrilinė medžiaga</w:t>
      </w:r>
      <w:r w:rsidRPr="00064DBB">
        <w:rPr>
          <w:rFonts w:ascii="Times New Roman" w:hAnsi="Times New Roman" w:cs="Times New Roman"/>
          <w:sz w:val="24"/>
          <w:szCs w:val="24"/>
        </w:rPr>
        <w:t>, kuri leidžia kvėpuoti odai. Jo</w:t>
      </w:r>
      <w:r>
        <w:rPr>
          <w:rFonts w:ascii="Times New Roman" w:hAnsi="Times New Roman" w:cs="Times New Roman"/>
          <w:sz w:val="24"/>
          <w:szCs w:val="24"/>
        </w:rPr>
        <w:t xml:space="preserve">s </w:t>
      </w:r>
      <w:r w:rsidRPr="00064DBB">
        <w:rPr>
          <w:rFonts w:ascii="Times New Roman" w:hAnsi="Times New Roman" w:cs="Times New Roman"/>
          <w:sz w:val="24"/>
          <w:szCs w:val="24"/>
        </w:rPr>
        <w:t>sudėtyje nėra latekso, o vietoj jo naudojamas medvilnės pluoštas su uretanu. Klijai naudojami</w:t>
      </w:r>
      <w:r>
        <w:rPr>
          <w:rFonts w:ascii="Times New Roman" w:hAnsi="Times New Roman" w:cs="Times New Roman"/>
          <w:sz w:val="24"/>
          <w:szCs w:val="24"/>
        </w:rPr>
        <w:t xml:space="preserve"> kinezioteipavimo juostų lipimui prie odos</w:t>
      </w:r>
      <w:r w:rsidRPr="00064DBB">
        <w:rPr>
          <w:rFonts w:ascii="Times New Roman" w:hAnsi="Times New Roman" w:cs="Times New Roman"/>
          <w:sz w:val="24"/>
          <w:szCs w:val="24"/>
        </w:rPr>
        <w:t>, pagaminti iš augalinės kilmės produkto</w:t>
      </w:r>
      <w:r>
        <w:rPr>
          <w:rFonts w:ascii="Times New Roman" w:hAnsi="Times New Roman" w:cs="Times New Roman"/>
          <w:sz w:val="24"/>
          <w:szCs w:val="24"/>
        </w:rPr>
        <w:t>.</w:t>
      </w:r>
      <w:r w:rsidRPr="00064DBB">
        <w:rPr>
          <w:rFonts w:ascii="Times New Roman" w:hAnsi="Times New Roman" w:cs="Times New Roman"/>
          <w:sz w:val="24"/>
          <w:szCs w:val="24"/>
        </w:rPr>
        <w:t xml:space="preserve"> Kinezioteipa</w:t>
      </w:r>
      <w:r>
        <w:rPr>
          <w:rFonts w:ascii="Times New Roman" w:hAnsi="Times New Roman" w:cs="Times New Roman"/>
          <w:sz w:val="24"/>
          <w:szCs w:val="24"/>
        </w:rPr>
        <w:t>vimo juostos</w:t>
      </w:r>
      <w:r w:rsidRPr="00064DBB">
        <w:rPr>
          <w:rFonts w:ascii="Times New Roman" w:hAnsi="Times New Roman" w:cs="Times New Roman"/>
          <w:sz w:val="24"/>
          <w:szCs w:val="24"/>
        </w:rPr>
        <w:t xml:space="preserve"> atspar</w:t>
      </w:r>
      <w:r>
        <w:rPr>
          <w:rFonts w:ascii="Times New Roman" w:hAnsi="Times New Roman" w:cs="Times New Roman"/>
          <w:sz w:val="24"/>
          <w:szCs w:val="24"/>
        </w:rPr>
        <w:t>ios vandeniui, todėl jas</w:t>
      </w:r>
      <w:r w:rsidRPr="00064DBB">
        <w:rPr>
          <w:rFonts w:ascii="Times New Roman" w:hAnsi="Times New Roman" w:cs="Times New Roman"/>
          <w:sz w:val="24"/>
          <w:szCs w:val="24"/>
        </w:rPr>
        <w:t xml:space="preserve"> galima nešioti nuo 3 iki 5 dienų</w:t>
      </w:r>
      <w:r w:rsidR="00F06AF7">
        <w:rPr>
          <w:rFonts w:ascii="Times New Roman" w:hAnsi="Times New Roman" w:cs="Times New Roman"/>
          <w:sz w:val="24"/>
          <w:szCs w:val="24"/>
        </w:rPr>
        <w:t xml:space="preserve"> išlaikant nepakitusį</w:t>
      </w:r>
      <w:r>
        <w:rPr>
          <w:rFonts w:ascii="Times New Roman" w:hAnsi="Times New Roman" w:cs="Times New Roman"/>
          <w:sz w:val="24"/>
          <w:szCs w:val="24"/>
        </w:rPr>
        <w:t xml:space="preserve"> juostų tamprumą (4).</w:t>
      </w:r>
    </w:p>
    <w:p w:rsidR="002847B6" w:rsidRDefault="00A630F7"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Kinezioteipavimo juostų</w:t>
      </w:r>
      <w:r w:rsidRPr="00064DBB">
        <w:rPr>
          <w:rFonts w:ascii="Times New Roman" w:hAnsi="Times New Roman" w:cs="Times New Roman"/>
          <w:sz w:val="24"/>
          <w:szCs w:val="24"/>
        </w:rPr>
        <w:t xml:space="preserve"> gydomosios savybės dar nėra iki galo ištirtos, tačiau jau yra nemažai atliktų</w:t>
      </w:r>
      <w:r>
        <w:rPr>
          <w:rFonts w:ascii="Times New Roman" w:hAnsi="Times New Roman" w:cs="Times New Roman"/>
          <w:sz w:val="24"/>
          <w:szCs w:val="24"/>
        </w:rPr>
        <w:t xml:space="preserve"> </w:t>
      </w:r>
      <w:r w:rsidRPr="00064DBB">
        <w:rPr>
          <w:rFonts w:ascii="Times New Roman" w:hAnsi="Times New Roman" w:cs="Times New Roman"/>
          <w:sz w:val="24"/>
          <w:szCs w:val="24"/>
        </w:rPr>
        <w:t>tyrimų, kuriuose nustatyta, kad šis metodas pagerina kraujo apytaką pažeidimo vietoje. Dėl</w:t>
      </w:r>
      <w:r>
        <w:rPr>
          <w:rFonts w:ascii="Times New Roman" w:hAnsi="Times New Roman" w:cs="Times New Roman"/>
          <w:sz w:val="24"/>
          <w:szCs w:val="24"/>
        </w:rPr>
        <w:t xml:space="preserve"> </w:t>
      </w:r>
      <w:r w:rsidRPr="00064DBB">
        <w:rPr>
          <w:rFonts w:ascii="Times New Roman" w:hAnsi="Times New Roman" w:cs="Times New Roman"/>
          <w:sz w:val="24"/>
          <w:szCs w:val="24"/>
        </w:rPr>
        <w:t>padidėjusio tarpo tarp odos ir raumenų, pagerėja kraujo ir limfos apykaita už</w:t>
      </w:r>
      <w:r>
        <w:rPr>
          <w:rFonts w:ascii="Times New Roman" w:hAnsi="Times New Roman" w:cs="Times New Roman"/>
          <w:sz w:val="24"/>
          <w:szCs w:val="24"/>
        </w:rPr>
        <w:t>teipuotame</w:t>
      </w:r>
      <w:r w:rsidRPr="00064DBB">
        <w:rPr>
          <w:rFonts w:ascii="Times New Roman" w:hAnsi="Times New Roman" w:cs="Times New Roman"/>
          <w:sz w:val="24"/>
          <w:szCs w:val="24"/>
        </w:rPr>
        <w:t xml:space="preserve"> plote ir</w:t>
      </w:r>
      <w:r>
        <w:rPr>
          <w:rFonts w:ascii="Times New Roman" w:hAnsi="Times New Roman" w:cs="Times New Roman"/>
          <w:sz w:val="24"/>
          <w:szCs w:val="24"/>
        </w:rPr>
        <w:t xml:space="preserve"> </w:t>
      </w:r>
      <w:r w:rsidRPr="00064DBB">
        <w:rPr>
          <w:rFonts w:ascii="Times New Roman" w:hAnsi="Times New Roman" w:cs="Times New Roman"/>
          <w:sz w:val="24"/>
          <w:szCs w:val="24"/>
        </w:rPr>
        <w:t>aplinkui jį (</w:t>
      </w:r>
      <w:r>
        <w:rPr>
          <w:rFonts w:ascii="Times New Roman" w:hAnsi="Times New Roman" w:cs="Times New Roman"/>
          <w:sz w:val="24"/>
          <w:szCs w:val="24"/>
        </w:rPr>
        <w:t>5</w:t>
      </w:r>
      <w:r w:rsidRPr="00064DBB">
        <w:rPr>
          <w:rFonts w:ascii="Times New Roman" w:hAnsi="Times New Roman" w:cs="Times New Roman"/>
          <w:sz w:val="24"/>
          <w:szCs w:val="24"/>
        </w:rPr>
        <w:t xml:space="preserve">). </w:t>
      </w:r>
      <w:r w:rsidR="00B3527A">
        <w:rPr>
          <w:rFonts w:ascii="Times New Roman" w:hAnsi="Times New Roman" w:cs="Times New Roman"/>
          <w:sz w:val="24"/>
          <w:szCs w:val="24"/>
        </w:rPr>
        <w:t>Tyrimų duomenimis, kinezioteipavimas</w:t>
      </w:r>
      <w:r w:rsidRPr="00064DBB">
        <w:rPr>
          <w:rFonts w:ascii="Times New Roman" w:hAnsi="Times New Roman" w:cs="Times New Roman"/>
          <w:sz w:val="24"/>
          <w:szCs w:val="24"/>
        </w:rPr>
        <w:t xml:space="preserve"> </w:t>
      </w:r>
      <w:r>
        <w:rPr>
          <w:rFonts w:ascii="Times New Roman" w:hAnsi="Times New Roman" w:cs="Times New Roman"/>
          <w:sz w:val="24"/>
          <w:szCs w:val="24"/>
        </w:rPr>
        <w:t>daro įtaką fiziologiniams</w:t>
      </w:r>
      <w:r w:rsidRPr="00064DBB">
        <w:rPr>
          <w:rFonts w:ascii="Times New Roman" w:hAnsi="Times New Roman" w:cs="Times New Roman"/>
          <w:sz w:val="24"/>
          <w:szCs w:val="24"/>
        </w:rPr>
        <w:t xml:space="preserve"> pokyči</w:t>
      </w:r>
      <w:r>
        <w:rPr>
          <w:rFonts w:ascii="Times New Roman" w:hAnsi="Times New Roman" w:cs="Times New Roman"/>
          <w:sz w:val="24"/>
          <w:szCs w:val="24"/>
        </w:rPr>
        <w:t>ams</w:t>
      </w:r>
      <w:r w:rsidRPr="00064DBB">
        <w:rPr>
          <w:rFonts w:ascii="Times New Roman" w:hAnsi="Times New Roman" w:cs="Times New Roman"/>
          <w:sz w:val="24"/>
          <w:szCs w:val="24"/>
        </w:rPr>
        <w:t xml:space="preserve"> </w:t>
      </w:r>
      <w:r w:rsidRPr="00064DBB">
        <w:rPr>
          <w:rFonts w:ascii="Times New Roman" w:hAnsi="Times New Roman" w:cs="Times New Roman"/>
          <w:sz w:val="24"/>
          <w:szCs w:val="24"/>
        </w:rPr>
        <w:lastRenderedPageBreak/>
        <w:t>raumenyse ir fascijose</w:t>
      </w:r>
      <w:r>
        <w:rPr>
          <w:rFonts w:ascii="Times New Roman" w:hAnsi="Times New Roman" w:cs="Times New Roman"/>
          <w:sz w:val="24"/>
          <w:szCs w:val="24"/>
        </w:rPr>
        <w:t xml:space="preserve"> </w:t>
      </w:r>
      <w:r w:rsidRPr="00064DBB">
        <w:rPr>
          <w:rFonts w:ascii="Times New Roman" w:hAnsi="Times New Roman" w:cs="Times New Roman"/>
          <w:sz w:val="24"/>
          <w:szCs w:val="24"/>
        </w:rPr>
        <w:t>(</w:t>
      </w:r>
      <w:r>
        <w:rPr>
          <w:rFonts w:ascii="Times New Roman" w:hAnsi="Times New Roman" w:cs="Times New Roman"/>
          <w:sz w:val="24"/>
          <w:szCs w:val="24"/>
        </w:rPr>
        <w:t>6</w:t>
      </w:r>
      <w:r w:rsidRPr="00064DBB">
        <w:rPr>
          <w:rFonts w:ascii="Times New Roman" w:hAnsi="Times New Roman" w:cs="Times New Roman"/>
          <w:sz w:val="24"/>
          <w:szCs w:val="24"/>
        </w:rPr>
        <w:t>), p</w:t>
      </w:r>
      <w:r>
        <w:rPr>
          <w:rFonts w:ascii="Times New Roman" w:hAnsi="Times New Roman" w:cs="Times New Roman"/>
          <w:sz w:val="24"/>
          <w:szCs w:val="24"/>
        </w:rPr>
        <w:t>alengvina judesius, nevaržant</w:t>
      </w:r>
      <w:r w:rsidRPr="00064DBB">
        <w:rPr>
          <w:rFonts w:ascii="Times New Roman" w:hAnsi="Times New Roman" w:cs="Times New Roman"/>
          <w:sz w:val="24"/>
          <w:szCs w:val="24"/>
        </w:rPr>
        <w:t xml:space="preserve"> j</w:t>
      </w:r>
      <w:r>
        <w:rPr>
          <w:rFonts w:ascii="Times New Roman" w:hAnsi="Times New Roman" w:cs="Times New Roman"/>
          <w:sz w:val="24"/>
          <w:szCs w:val="24"/>
        </w:rPr>
        <w:t>udesi</w:t>
      </w:r>
      <w:r w:rsidRPr="00064DBB">
        <w:rPr>
          <w:rFonts w:ascii="Times New Roman" w:hAnsi="Times New Roman" w:cs="Times New Roman"/>
          <w:sz w:val="24"/>
          <w:szCs w:val="24"/>
        </w:rPr>
        <w:t>ų amplitudės (apsaugo,</w:t>
      </w:r>
      <w:r>
        <w:rPr>
          <w:rFonts w:ascii="Times New Roman" w:hAnsi="Times New Roman" w:cs="Times New Roman"/>
          <w:sz w:val="24"/>
          <w:szCs w:val="24"/>
        </w:rPr>
        <w:t xml:space="preserve"> </w:t>
      </w:r>
      <w:r w:rsidRPr="00064DBB">
        <w:rPr>
          <w:rFonts w:ascii="Times New Roman" w:hAnsi="Times New Roman" w:cs="Times New Roman"/>
          <w:sz w:val="24"/>
          <w:szCs w:val="24"/>
        </w:rPr>
        <w:t xml:space="preserve">raumenis, sąnarius, raiščius), mažina </w:t>
      </w:r>
      <w:r>
        <w:rPr>
          <w:rFonts w:ascii="Times New Roman" w:hAnsi="Times New Roman" w:cs="Times New Roman"/>
          <w:sz w:val="24"/>
          <w:szCs w:val="24"/>
        </w:rPr>
        <w:t>edmą</w:t>
      </w:r>
      <w:r w:rsidRPr="00064DBB">
        <w:rPr>
          <w:rFonts w:ascii="Times New Roman" w:hAnsi="Times New Roman" w:cs="Times New Roman"/>
          <w:sz w:val="24"/>
          <w:szCs w:val="24"/>
        </w:rPr>
        <w:t>, kraujosr</w:t>
      </w:r>
      <w:r>
        <w:rPr>
          <w:rFonts w:ascii="Times New Roman" w:hAnsi="Times New Roman" w:cs="Times New Roman"/>
          <w:sz w:val="24"/>
          <w:szCs w:val="24"/>
        </w:rPr>
        <w:t>ū</w:t>
      </w:r>
      <w:r w:rsidRPr="00064DBB">
        <w:rPr>
          <w:rFonts w:ascii="Times New Roman" w:hAnsi="Times New Roman" w:cs="Times New Roman"/>
          <w:sz w:val="24"/>
          <w:szCs w:val="24"/>
        </w:rPr>
        <w:t>vas (</w:t>
      </w:r>
      <w:r>
        <w:rPr>
          <w:rFonts w:ascii="Times New Roman" w:hAnsi="Times New Roman" w:cs="Times New Roman"/>
          <w:sz w:val="24"/>
          <w:szCs w:val="24"/>
        </w:rPr>
        <w:t>7</w:t>
      </w:r>
      <w:r w:rsidRPr="00064DBB">
        <w:rPr>
          <w:rFonts w:ascii="Times New Roman" w:hAnsi="Times New Roman" w:cs="Times New Roman"/>
          <w:sz w:val="24"/>
          <w:szCs w:val="24"/>
        </w:rPr>
        <w:t xml:space="preserve">). </w:t>
      </w:r>
      <w:r>
        <w:rPr>
          <w:rFonts w:ascii="Times New Roman" w:hAnsi="Times New Roman" w:cs="Times New Roman"/>
          <w:sz w:val="24"/>
          <w:szCs w:val="24"/>
        </w:rPr>
        <w:t xml:space="preserve">Mažina skausmą, didina griebimo jėgą bei riešo tiesimą (22). </w:t>
      </w:r>
      <w:r w:rsidRPr="00064DBB">
        <w:rPr>
          <w:rFonts w:ascii="Times New Roman" w:hAnsi="Times New Roman" w:cs="Times New Roman"/>
          <w:sz w:val="24"/>
          <w:szCs w:val="24"/>
        </w:rPr>
        <w:t>Kinezioteipa</w:t>
      </w:r>
      <w:r>
        <w:rPr>
          <w:rFonts w:ascii="Times New Roman" w:hAnsi="Times New Roman" w:cs="Times New Roman"/>
          <w:sz w:val="24"/>
          <w:szCs w:val="24"/>
        </w:rPr>
        <w:t>vimo juostos</w:t>
      </w:r>
      <w:r w:rsidRPr="00064DBB">
        <w:rPr>
          <w:rFonts w:ascii="Times New Roman" w:hAnsi="Times New Roman" w:cs="Times New Roman"/>
          <w:sz w:val="24"/>
          <w:szCs w:val="24"/>
        </w:rPr>
        <w:t xml:space="preserve"> stimuliuoja odos mechano</w:t>
      </w:r>
      <w:r>
        <w:rPr>
          <w:rFonts w:ascii="Times New Roman" w:hAnsi="Times New Roman" w:cs="Times New Roman"/>
          <w:sz w:val="24"/>
          <w:szCs w:val="24"/>
        </w:rPr>
        <w:t xml:space="preserve"> - </w:t>
      </w:r>
      <w:r w:rsidRPr="00064DBB">
        <w:rPr>
          <w:rFonts w:ascii="Times New Roman" w:hAnsi="Times New Roman" w:cs="Times New Roman"/>
          <w:sz w:val="24"/>
          <w:szCs w:val="24"/>
        </w:rPr>
        <w:t>receptorius užklijuotoje vietoje ir aplink ją</w:t>
      </w:r>
      <w:r>
        <w:rPr>
          <w:rFonts w:ascii="Times New Roman" w:hAnsi="Times New Roman" w:cs="Times New Roman"/>
          <w:sz w:val="24"/>
          <w:szCs w:val="24"/>
        </w:rPr>
        <w:t xml:space="preserve"> </w:t>
      </w:r>
      <w:r w:rsidRPr="00064DBB">
        <w:rPr>
          <w:rFonts w:ascii="Times New Roman" w:hAnsi="Times New Roman" w:cs="Times New Roman"/>
          <w:sz w:val="24"/>
          <w:szCs w:val="24"/>
        </w:rPr>
        <w:t>(</w:t>
      </w:r>
      <w:r>
        <w:rPr>
          <w:rFonts w:ascii="Times New Roman" w:hAnsi="Times New Roman" w:cs="Times New Roman"/>
          <w:sz w:val="24"/>
          <w:szCs w:val="24"/>
        </w:rPr>
        <w:t>8</w:t>
      </w:r>
      <w:r w:rsidRPr="00064DBB">
        <w:rPr>
          <w:rFonts w:ascii="Times New Roman" w:hAnsi="Times New Roman" w:cs="Times New Roman"/>
          <w:sz w:val="24"/>
          <w:szCs w:val="24"/>
        </w:rPr>
        <w:t>).</w:t>
      </w:r>
      <w:r w:rsidR="007D6930">
        <w:rPr>
          <w:rFonts w:ascii="Times New Roman" w:hAnsi="Times New Roman" w:cs="Times New Roman"/>
          <w:sz w:val="24"/>
          <w:szCs w:val="24"/>
        </w:rPr>
        <w:t xml:space="preserve"> Tyrimų duomenimis nustatyta,</w:t>
      </w:r>
      <w:r>
        <w:rPr>
          <w:rFonts w:ascii="Times New Roman" w:hAnsi="Times New Roman" w:cs="Times New Roman"/>
          <w:sz w:val="24"/>
          <w:szCs w:val="24"/>
        </w:rPr>
        <w:t xml:space="preserve"> </w:t>
      </w:r>
      <w:r w:rsidR="007D6930">
        <w:rPr>
          <w:rFonts w:ascii="Times New Roman" w:hAnsi="Times New Roman" w:cs="Times New Roman"/>
          <w:sz w:val="24"/>
          <w:szCs w:val="24"/>
        </w:rPr>
        <w:t>jog kinezioteipavimo juostos g</w:t>
      </w:r>
      <w:r>
        <w:rPr>
          <w:rFonts w:ascii="Times New Roman" w:hAnsi="Times New Roman" w:cs="Times New Roman"/>
          <w:sz w:val="24"/>
          <w:szCs w:val="24"/>
        </w:rPr>
        <w:t>erina raumenų susitraukimą labiau nei elastikono juostos (9).</w:t>
      </w:r>
    </w:p>
    <w:p w:rsidR="002847B6" w:rsidRDefault="001A3470"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Coopee (2002 m.) </w:t>
      </w:r>
      <w:r w:rsidR="00FC3455">
        <w:rPr>
          <w:rFonts w:ascii="Times New Roman" w:hAnsi="Times New Roman" w:cs="Times New Roman"/>
          <w:sz w:val="24"/>
          <w:szCs w:val="24"/>
        </w:rPr>
        <w:t xml:space="preserve">ergoterapijoje </w:t>
      </w:r>
      <w:r>
        <w:rPr>
          <w:rFonts w:ascii="Times New Roman" w:hAnsi="Times New Roman" w:cs="Times New Roman"/>
          <w:sz w:val="24"/>
          <w:szCs w:val="24"/>
        </w:rPr>
        <w:t>pirmą kartą pasiūlė panaudoti kineziteipavimo juostas po viršutinių galūnių subliuksacijos, išnirimų, esant raumenų įtampai ir sąnarių struktūrų traumoms</w:t>
      </w:r>
      <w:r w:rsidR="00FC3455">
        <w:rPr>
          <w:rFonts w:ascii="Times New Roman" w:hAnsi="Times New Roman" w:cs="Times New Roman"/>
          <w:sz w:val="24"/>
          <w:szCs w:val="24"/>
        </w:rPr>
        <w:t xml:space="preserve"> </w:t>
      </w:r>
      <w:r>
        <w:rPr>
          <w:rFonts w:ascii="Times New Roman" w:hAnsi="Times New Roman" w:cs="Times New Roman"/>
          <w:sz w:val="24"/>
          <w:szCs w:val="24"/>
        </w:rPr>
        <w:t>(46).</w:t>
      </w:r>
    </w:p>
    <w:p w:rsidR="002847B6" w:rsidRDefault="00B65937"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Yasukawa, Patel (2006) atlik</w:t>
      </w:r>
      <w:r w:rsidR="0046581E">
        <w:rPr>
          <w:rFonts w:ascii="Times New Roman" w:hAnsi="Times New Roman" w:cs="Times New Roman"/>
          <w:sz w:val="24"/>
          <w:szCs w:val="24"/>
        </w:rPr>
        <w:t>tame</w:t>
      </w:r>
      <w:r>
        <w:rPr>
          <w:rFonts w:ascii="Times New Roman" w:hAnsi="Times New Roman" w:cs="Times New Roman"/>
          <w:sz w:val="24"/>
          <w:szCs w:val="24"/>
        </w:rPr>
        <w:t xml:space="preserve"> tyrim</w:t>
      </w:r>
      <w:r w:rsidR="0046581E">
        <w:rPr>
          <w:rFonts w:ascii="Times New Roman" w:hAnsi="Times New Roman" w:cs="Times New Roman"/>
          <w:sz w:val="24"/>
          <w:szCs w:val="24"/>
        </w:rPr>
        <w:t>e</w:t>
      </w:r>
      <w:r>
        <w:rPr>
          <w:rFonts w:ascii="Times New Roman" w:hAnsi="Times New Roman" w:cs="Times New Roman"/>
          <w:sz w:val="24"/>
          <w:szCs w:val="24"/>
        </w:rPr>
        <w:t xml:space="preserve">, </w:t>
      </w:r>
      <w:r w:rsidR="0046581E">
        <w:rPr>
          <w:rFonts w:ascii="Times New Roman" w:hAnsi="Times New Roman" w:cs="Times New Roman"/>
          <w:sz w:val="24"/>
          <w:szCs w:val="24"/>
        </w:rPr>
        <w:t xml:space="preserve">buvo </w:t>
      </w:r>
      <w:r w:rsidR="00FC3455">
        <w:rPr>
          <w:rFonts w:ascii="Times New Roman" w:hAnsi="Times New Roman" w:cs="Times New Roman"/>
          <w:sz w:val="24"/>
          <w:szCs w:val="24"/>
        </w:rPr>
        <w:t>su</w:t>
      </w:r>
      <w:r w:rsidR="0046581E">
        <w:rPr>
          <w:rFonts w:ascii="Times New Roman" w:hAnsi="Times New Roman" w:cs="Times New Roman"/>
          <w:sz w:val="24"/>
          <w:szCs w:val="24"/>
        </w:rPr>
        <w:t xml:space="preserve">teipuoti pacientai, kurie skundėsi stipriu viršutinių galūnių skausmu ir edema, sumažėjusia jėga ir nenormaliu raumenų tonusu. Kiekvienas pacientas buvo teripuojamas 3 dienas atsižvelgiant į konkrečią būklę ir susilpnėjusius raumenis bei atlikinėjo funkcines užduotis. </w:t>
      </w:r>
      <w:r w:rsidR="00F06AF7">
        <w:rPr>
          <w:rFonts w:ascii="Times New Roman" w:hAnsi="Times New Roman" w:cs="Times New Roman"/>
          <w:sz w:val="24"/>
          <w:szCs w:val="24"/>
        </w:rPr>
        <w:t>Tyrimų duomenimis,</w:t>
      </w:r>
      <w:r w:rsidR="0046581E">
        <w:rPr>
          <w:rFonts w:ascii="Times New Roman" w:hAnsi="Times New Roman" w:cs="Times New Roman"/>
          <w:sz w:val="24"/>
          <w:szCs w:val="24"/>
        </w:rPr>
        <w:t xml:space="preserve"> </w:t>
      </w:r>
      <w:r w:rsidR="00BB4559">
        <w:rPr>
          <w:rFonts w:ascii="Times New Roman" w:hAnsi="Times New Roman" w:cs="Times New Roman"/>
          <w:sz w:val="24"/>
          <w:szCs w:val="24"/>
        </w:rPr>
        <w:t xml:space="preserve">pacientams </w:t>
      </w:r>
      <w:r w:rsidR="0046581E">
        <w:rPr>
          <w:rFonts w:ascii="Times New Roman" w:hAnsi="Times New Roman" w:cs="Times New Roman"/>
          <w:sz w:val="24"/>
          <w:szCs w:val="24"/>
        </w:rPr>
        <w:t>pa</w:t>
      </w:r>
      <w:r w:rsidR="00F06AF7">
        <w:rPr>
          <w:rFonts w:ascii="Times New Roman" w:hAnsi="Times New Roman" w:cs="Times New Roman"/>
          <w:sz w:val="24"/>
          <w:szCs w:val="24"/>
        </w:rPr>
        <w:t>didėjo</w:t>
      </w:r>
      <w:r w:rsidR="0046581E">
        <w:rPr>
          <w:rFonts w:ascii="Times New Roman" w:hAnsi="Times New Roman" w:cs="Times New Roman"/>
          <w:sz w:val="24"/>
          <w:szCs w:val="24"/>
        </w:rPr>
        <w:t xml:space="preserve"> raumenų jėg</w:t>
      </w:r>
      <w:r w:rsidR="00F06AF7">
        <w:rPr>
          <w:rFonts w:ascii="Times New Roman" w:hAnsi="Times New Roman" w:cs="Times New Roman"/>
          <w:sz w:val="24"/>
          <w:szCs w:val="24"/>
        </w:rPr>
        <w:t>a</w:t>
      </w:r>
      <w:r w:rsidR="0046581E">
        <w:rPr>
          <w:rFonts w:ascii="Times New Roman" w:hAnsi="Times New Roman" w:cs="Times New Roman"/>
          <w:sz w:val="24"/>
          <w:szCs w:val="24"/>
        </w:rPr>
        <w:t>, sustiprėj</w:t>
      </w:r>
      <w:r w:rsidR="00F06AF7">
        <w:rPr>
          <w:rFonts w:ascii="Times New Roman" w:hAnsi="Times New Roman" w:cs="Times New Roman"/>
          <w:sz w:val="24"/>
          <w:szCs w:val="24"/>
        </w:rPr>
        <w:t>o</w:t>
      </w:r>
      <w:r w:rsidR="00A74E83">
        <w:rPr>
          <w:rFonts w:ascii="Times New Roman" w:hAnsi="Times New Roman" w:cs="Times New Roman"/>
          <w:sz w:val="24"/>
          <w:szCs w:val="24"/>
        </w:rPr>
        <w:t xml:space="preserve"> plaštakos</w:t>
      </w:r>
      <w:r w:rsidR="0046581E">
        <w:rPr>
          <w:rFonts w:ascii="Times New Roman" w:hAnsi="Times New Roman" w:cs="Times New Roman"/>
          <w:sz w:val="24"/>
          <w:szCs w:val="24"/>
        </w:rPr>
        <w:t xml:space="preserve"> sąnarių stabilum</w:t>
      </w:r>
      <w:r w:rsidR="00F06AF7">
        <w:rPr>
          <w:rFonts w:ascii="Times New Roman" w:hAnsi="Times New Roman" w:cs="Times New Roman"/>
          <w:sz w:val="24"/>
          <w:szCs w:val="24"/>
        </w:rPr>
        <w:t>as</w:t>
      </w:r>
      <w:r w:rsidR="00A74E83">
        <w:rPr>
          <w:rFonts w:ascii="Times New Roman" w:hAnsi="Times New Roman" w:cs="Times New Roman"/>
          <w:sz w:val="24"/>
          <w:szCs w:val="24"/>
        </w:rPr>
        <w:t>, padidėj</w:t>
      </w:r>
      <w:r w:rsidR="00F06AF7">
        <w:rPr>
          <w:rFonts w:ascii="Times New Roman" w:hAnsi="Times New Roman" w:cs="Times New Roman"/>
          <w:sz w:val="24"/>
          <w:szCs w:val="24"/>
        </w:rPr>
        <w:t>o</w:t>
      </w:r>
      <w:r w:rsidR="00A74E83">
        <w:rPr>
          <w:rFonts w:ascii="Times New Roman" w:hAnsi="Times New Roman" w:cs="Times New Roman"/>
          <w:sz w:val="24"/>
          <w:szCs w:val="24"/>
        </w:rPr>
        <w:t xml:space="preserve"> griebimo jėg</w:t>
      </w:r>
      <w:r w:rsidR="00F06AF7">
        <w:rPr>
          <w:rFonts w:ascii="Times New Roman" w:hAnsi="Times New Roman" w:cs="Times New Roman"/>
          <w:sz w:val="24"/>
          <w:szCs w:val="24"/>
        </w:rPr>
        <w:t>a</w:t>
      </w:r>
      <w:r w:rsidR="00A74E83">
        <w:rPr>
          <w:rFonts w:ascii="Times New Roman" w:hAnsi="Times New Roman" w:cs="Times New Roman"/>
          <w:sz w:val="24"/>
          <w:szCs w:val="24"/>
        </w:rPr>
        <w:t>, pagerėj</w:t>
      </w:r>
      <w:r w:rsidR="00F06AF7">
        <w:rPr>
          <w:rFonts w:ascii="Times New Roman" w:hAnsi="Times New Roman" w:cs="Times New Roman"/>
          <w:sz w:val="24"/>
          <w:szCs w:val="24"/>
        </w:rPr>
        <w:t>o</w:t>
      </w:r>
      <w:r w:rsidR="00A74E83">
        <w:rPr>
          <w:rFonts w:ascii="Times New Roman" w:hAnsi="Times New Roman" w:cs="Times New Roman"/>
          <w:sz w:val="24"/>
          <w:szCs w:val="24"/>
        </w:rPr>
        <w:t xml:space="preserve"> plaštakos manipuliacij</w:t>
      </w:r>
      <w:r w:rsidR="00F06AF7">
        <w:rPr>
          <w:rFonts w:ascii="Times New Roman" w:hAnsi="Times New Roman" w:cs="Times New Roman"/>
          <w:sz w:val="24"/>
          <w:szCs w:val="24"/>
        </w:rPr>
        <w:t>a</w:t>
      </w:r>
      <w:r w:rsidR="00A74E83">
        <w:rPr>
          <w:rFonts w:ascii="Times New Roman" w:hAnsi="Times New Roman" w:cs="Times New Roman"/>
          <w:sz w:val="24"/>
          <w:szCs w:val="24"/>
        </w:rPr>
        <w:t xml:space="preserve"> (47). </w:t>
      </w:r>
      <w:r w:rsidR="0046581E">
        <w:rPr>
          <w:rFonts w:ascii="Times New Roman" w:hAnsi="Times New Roman" w:cs="Times New Roman"/>
          <w:sz w:val="24"/>
          <w:szCs w:val="24"/>
        </w:rPr>
        <w:t xml:space="preserve"> </w:t>
      </w:r>
    </w:p>
    <w:p w:rsidR="00A630F7" w:rsidRPr="00A16FF3" w:rsidRDefault="00A630F7" w:rsidP="002847B6">
      <w:pPr>
        <w:spacing w:after="0" w:line="360" w:lineRule="auto"/>
        <w:ind w:firstLine="851"/>
        <w:contextualSpacing/>
        <w:jc w:val="both"/>
        <w:rPr>
          <w:rFonts w:ascii="Times New Roman" w:hAnsi="Times New Roman" w:cs="Times New Roman"/>
          <w:sz w:val="24"/>
          <w:szCs w:val="24"/>
        </w:rPr>
      </w:pPr>
      <w:r w:rsidRPr="00A16FF3">
        <w:rPr>
          <w:rFonts w:ascii="Times New Roman" w:hAnsi="Times New Roman" w:cs="Times New Roman"/>
          <w:sz w:val="24"/>
          <w:szCs w:val="24"/>
        </w:rPr>
        <w:t>Kinezioteipavimo juostų klijavimui ant odos yra sukurtos šešios technikos (20):</w:t>
      </w:r>
    </w:p>
    <w:p w:rsidR="00A630F7" w:rsidRPr="00A16FF3" w:rsidRDefault="00A630F7" w:rsidP="002F2793">
      <w:pPr>
        <w:spacing w:after="0" w:line="360" w:lineRule="auto"/>
        <w:contextualSpacing/>
        <w:jc w:val="both"/>
        <w:rPr>
          <w:rFonts w:ascii="Times New Roman" w:hAnsi="Times New Roman" w:cs="Times New Roman"/>
          <w:sz w:val="24"/>
          <w:szCs w:val="24"/>
        </w:rPr>
      </w:pPr>
      <w:r w:rsidRPr="00A16FF3">
        <w:rPr>
          <w:rFonts w:ascii="Times New Roman" w:hAnsi="Times New Roman" w:cs="Times New Roman"/>
          <w:sz w:val="24"/>
          <w:szCs w:val="24"/>
        </w:rPr>
        <w:t xml:space="preserve">1. Mechaninės korekcijos technika – šios technikos pagalba yra stimuliuojami raumenys, fascijos, koreguojama sąnarių padėtis. </w:t>
      </w:r>
    </w:p>
    <w:p w:rsidR="00A630F7" w:rsidRPr="00A16FF3" w:rsidRDefault="00A630F7" w:rsidP="002F2793">
      <w:pPr>
        <w:spacing w:after="0" w:line="360" w:lineRule="auto"/>
        <w:contextualSpacing/>
        <w:jc w:val="both"/>
        <w:rPr>
          <w:rFonts w:ascii="Times New Roman" w:hAnsi="Times New Roman" w:cs="Times New Roman"/>
          <w:sz w:val="24"/>
          <w:szCs w:val="24"/>
        </w:rPr>
      </w:pPr>
      <w:r w:rsidRPr="00A16FF3">
        <w:rPr>
          <w:rFonts w:ascii="Times New Roman" w:hAnsi="Times New Roman" w:cs="Times New Roman"/>
          <w:sz w:val="24"/>
          <w:szCs w:val="24"/>
        </w:rPr>
        <w:t xml:space="preserve">2. Fascijų korekcijos technika – prilaiko fascijas arba padeda joms išbūti tam tikroje padėtyje. </w:t>
      </w:r>
    </w:p>
    <w:p w:rsidR="00A630F7" w:rsidRPr="00A16FF3" w:rsidRDefault="00A630F7" w:rsidP="002F2793">
      <w:pPr>
        <w:spacing w:after="0" w:line="360" w:lineRule="auto"/>
        <w:contextualSpacing/>
        <w:jc w:val="both"/>
        <w:rPr>
          <w:rFonts w:ascii="Times New Roman" w:hAnsi="Times New Roman" w:cs="Times New Roman"/>
          <w:sz w:val="24"/>
          <w:szCs w:val="24"/>
        </w:rPr>
      </w:pPr>
      <w:r w:rsidRPr="00A16FF3">
        <w:rPr>
          <w:rFonts w:ascii="Times New Roman" w:hAnsi="Times New Roman" w:cs="Times New Roman"/>
          <w:sz w:val="24"/>
          <w:szCs w:val="24"/>
        </w:rPr>
        <w:t xml:space="preserve">3. Erdvinės korekcijos technika – šis metodas sukelia odą virš uždegiminės vietos. </w:t>
      </w:r>
    </w:p>
    <w:p w:rsidR="00A630F7" w:rsidRPr="00A16FF3" w:rsidRDefault="00A630F7" w:rsidP="002F2793">
      <w:pPr>
        <w:spacing w:after="0" w:line="360" w:lineRule="auto"/>
        <w:contextualSpacing/>
        <w:jc w:val="both"/>
        <w:rPr>
          <w:rFonts w:ascii="Times New Roman" w:hAnsi="Times New Roman" w:cs="Times New Roman"/>
          <w:sz w:val="24"/>
          <w:szCs w:val="24"/>
        </w:rPr>
      </w:pPr>
      <w:r w:rsidRPr="00A16FF3">
        <w:rPr>
          <w:rFonts w:ascii="Times New Roman" w:hAnsi="Times New Roman" w:cs="Times New Roman"/>
          <w:sz w:val="24"/>
          <w:szCs w:val="24"/>
        </w:rPr>
        <w:t xml:space="preserve">4. Sausgyslių korekcijos technika – naudojama siekiant padidinti mechanoreceptorių stimuliaciją. </w:t>
      </w:r>
    </w:p>
    <w:p w:rsidR="00A630F7" w:rsidRPr="00A16FF3" w:rsidRDefault="00A630F7" w:rsidP="002F2793">
      <w:pPr>
        <w:spacing w:after="0" w:line="360" w:lineRule="auto"/>
        <w:contextualSpacing/>
        <w:jc w:val="both"/>
        <w:rPr>
          <w:rFonts w:ascii="Times New Roman" w:hAnsi="Times New Roman" w:cs="Times New Roman"/>
          <w:sz w:val="24"/>
          <w:szCs w:val="24"/>
        </w:rPr>
      </w:pPr>
      <w:r w:rsidRPr="00A16FF3">
        <w:rPr>
          <w:rFonts w:ascii="Times New Roman" w:hAnsi="Times New Roman" w:cs="Times New Roman"/>
          <w:sz w:val="24"/>
          <w:szCs w:val="24"/>
        </w:rPr>
        <w:t xml:space="preserve">5. Funkcinės korekcijos technika – šis metodas didina proprioceptorių stimuliaciją. </w:t>
      </w:r>
    </w:p>
    <w:p w:rsidR="00A630F7" w:rsidRPr="00A16FF3" w:rsidRDefault="00A630F7" w:rsidP="002F2793">
      <w:pPr>
        <w:spacing w:after="0" w:line="360" w:lineRule="auto"/>
        <w:contextualSpacing/>
        <w:jc w:val="both"/>
        <w:rPr>
          <w:rFonts w:ascii="Times New Roman" w:hAnsi="Times New Roman" w:cs="Times New Roman"/>
          <w:sz w:val="24"/>
          <w:szCs w:val="24"/>
        </w:rPr>
      </w:pPr>
      <w:r w:rsidRPr="00A16FF3">
        <w:rPr>
          <w:rFonts w:ascii="Times New Roman" w:hAnsi="Times New Roman" w:cs="Times New Roman"/>
          <w:sz w:val="24"/>
          <w:szCs w:val="24"/>
        </w:rPr>
        <w:t xml:space="preserve">6. Limfinės korekcijos technika – taikomas metodas siekiant pagerinti limfos tekėjimą (B. Kumbrink).  </w:t>
      </w:r>
      <w:r w:rsidRPr="00A16FF3">
        <w:rPr>
          <w:rFonts w:ascii="Times New Roman" w:hAnsi="Times New Roman" w:cs="Times New Roman"/>
          <w:sz w:val="24"/>
          <w:szCs w:val="24"/>
        </w:rPr>
        <w:cr/>
      </w:r>
    </w:p>
    <w:p w:rsidR="00A630F7" w:rsidRPr="00A16FF3" w:rsidRDefault="00A630F7" w:rsidP="002847B6">
      <w:pPr>
        <w:spacing w:after="0" w:line="360" w:lineRule="auto"/>
        <w:ind w:firstLine="851"/>
        <w:contextualSpacing/>
        <w:jc w:val="both"/>
        <w:rPr>
          <w:rFonts w:ascii="Times New Roman" w:hAnsi="Times New Roman" w:cs="Times New Roman"/>
          <w:sz w:val="24"/>
          <w:szCs w:val="24"/>
        </w:rPr>
      </w:pPr>
      <w:r w:rsidRPr="00A16FF3">
        <w:rPr>
          <w:rFonts w:ascii="Times New Roman" w:hAnsi="Times New Roman" w:cs="Times New Roman"/>
          <w:sz w:val="24"/>
          <w:szCs w:val="24"/>
        </w:rPr>
        <w:t>Labiausiai naudojamos ir paplitusios kinezioteipavimo juostų karpymo konfigūracijos: „Y“, „I“, „X“, ir „vėduoklės“ (</w:t>
      </w:r>
      <w:r w:rsidR="007C3F77">
        <w:rPr>
          <w:rFonts w:ascii="Times New Roman" w:hAnsi="Times New Roman" w:cs="Times New Roman"/>
          <w:sz w:val="24"/>
          <w:szCs w:val="24"/>
        </w:rPr>
        <w:t>2</w:t>
      </w:r>
      <w:r w:rsidRPr="00A16FF3">
        <w:rPr>
          <w:rFonts w:ascii="Times New Roman" w:hAnsi="Times New Roman" w:cs="Times New Roman"/>
          <w:sz w:val="24"/>
          <w:szCs w:val="24"/>
        </w:rPr>
        <w:t xml:space="preserve"> pav.) (4).</w:t>
      </w:r>
    </w:p>
    <w:p w:rsidR="00A630F7" w:rsidRPr="00A16FF3" w:rsidRDefault="00A630F7" w:rsidP="002F2793">
      <w:pPr>
        <w:spacing w:after="0" w:line="360" w:lineRule="auto"/>
        <w:contextualSpacing/>
        <w:jc w:val="both"/>
        <w:rPr>
          <w:rFonts w:ascii="Times New Roman" w:hAnsi="Times New Roman" w:cs="Times New Roman"/>
          <w:sz w:val="24"/>
          <w:szCs w:val="24"/>
        </w:rPr>
      </w:pPr>
      <w:r w:rsidRPr="00A16FF3">
        <w:rPr>
          <w:rFonts w:ascii="Times New Roman" w:hAnsi="Times New Roman" w:cs="Times New Roman"/>
          <w:sz w:val="24"/>
          <w:szCs w:val="24"/>
        </w:rPr>
        <w:t>„Y“ konfigūracija naudojama tada, kai norima raumenį apsupti iš abiejų pusių;</w:t>
      </w:r>
    </w:p>
    <w:p w:rsidR="00A630F7" w:rsidRPr="00A16FF3" w:rsidRDefault="00A630F7" w:rsidP="002F2793">
      <w:pPr>
        <w:spacing w:after="0" w:line="360" w:lineRule="auto"/>
        <w:contextualSpacing/>
        <w:jc w:val="both"/>
        <w:rPr>
          <w:rFonts w:ascii="Times New Roman" w:hAnsi="Times New Roman" w:cs="Times New Roman"/>
          <w:sz w:val="24"/>
          <w:szCs w:val="24"/>
        </w:rPr>
      </w:pPr>
      <w:r w:rsidRPr="00A16FF3">
        <w:rPr>
          <w:rFonts w:ascii="Times New Roman" w:hAnsi="Times New Roman" w:cs="Times New Roman"/>
          <w:sz w:val="24"/>
          <w:szCs w:val="24"/>
        </w:rPr>
        <w:t xml:space="preserve">„I“ konfigūracija naudojama klijuoti tiesiai per raumens vidurį, kai jis yra </w:t>
      </w:r>
    </w:p>
    <w:p w:rsidR="00A630F7" w:rsidRPr="00A16FF3" w:rsidRDefault="00A630F7" w:rsidP="002F2793">
      <w:pPr>
        <w:spacing w:after="0" w:line="360" w:lineRule="auto"/>
        <w:contextualSpacing/>
        <w:jc w:val="both"/>
        <w:rPr>
          <w:rFonts w:ascii="Times New Roman" w:hAnsi="Times New Roman" w:cs="Times New Roman"/>
          <w:sz w:val="24"/>
          <w:szCs w:val="24"/>
        </w:rPr>
      </w:pPr>
      <w:r w:rsidRPr="00A16FF3">
        <w:rPr>
          <w:rFonts w:ascii="Times New Roman" w:hAnsi="Times New Roman" w:cs="Times New Roman"/>
          <w:sz w:val="24"/>
          <w:szCs w:val="24"/>
        </w:rPr>
        <w:t xml:space="preserve">skausmingas arba pažeistas. Dažniausiai po šios konfigūracijos yra naudojama „Y“ konfigūracija, </w:t>
      </w:r>
    </w:p>
    <w:p w:rsidR="00A630F7" w:rsidRPr="00A16FF3" w:rsidRDefault="00A630F7" w:rsidP="002F2793">
      <w:pPr>
        <w:spacing w:after="0" w:line="360" w:lineRule="auto"/>
        <w:contextualSpacing/>
        <w:jc w:val="both"/>
        <w:rPr>
          <w:rFonts w:ascii="Times New Roman" w:hAnsi="Times New Roman" w:cs="Times New Roman"/>
          <w:sz w:val="24"/>
          <w:szCs w:val="24"/>
        </w:rPr>
      </w:pPr>
      <w:r w:rsidRPr="00A16FF3">
        <w:rPr>
          <w:rFonts w:ascii="Times New Roman" w:hAnsi="Times New Roman" w:cs="Times New Roman"/>
          <w:sz w:val="24"/>
          <w:szCs w:val="24"/>
        </w:rPr>
        <w:t xml:space="preserve">kad būtų pasiektas maksimalus rezultatas; </w:t>
      </w:r>
    </w:p>
    <w:p w:rsidR="00A630F7" w:rsidRPr="00A16FF3" w:rsidRDefault="00A630F7" w:rsidP="002F2793">
      <w:pPr>
        <w:spacing w:after="0" w:line="360" w:lineRule="auto"/>
        <w:contextualSpacing/>
        <w:jc w:val="both"/>
        <w:rPr>
          <w:rFonts w:ascii="Times New Roman" w:hAnsi="Times New Roman" w:cs="Times New Roman"/>
          <w:sz w:val="24"/>
          <w:szCs w:val="24"/>
        </w:rPr>
      </w:pPr>
      <w:r w:rsidRPr="00A16FF3">
        <w:rPr>
          <w:rFonts w:ascii="Times New Roman" w:hAnsi="Times New Roman" w:cs="Times New Roman"/>
          <w:sz w:val="24"/>
          <w:szCs w:val="24"/>
        </w:rPr>
        <w:t>„X“ konfigūracija naudojama</w:t>
      </w:r>
      <w:r w:rsidR="004F02D1">
        <w:rPr>
          <w:rFonts w:ascii="Times New Roman" w:hAnsi="Times New Roman" w:cs="Times New Roman"/>
          <w:sz w:val="24"/>
          <w:szCs w:val="24"/>
        </w:rPr>
        <w:t xml:space="preserve"> rombinių raumenų  gydymui ar</w:t>
      </w:r>
      <w:r w:rsidRPr="00A16FF3">
        <w:rPr>
          <w:rFonts w:ascii="Times New Roman" w:hAnsi="Times New Roman" w:cs="Times New Roman"/>
          <w:sz w:val="24"/>
          <w:szCs w:val="24"/>
        </w:rPr>
        <w:t xml:space="preserve"> kai norima veiksmingai sumažinant minkštųjų audinių skausmą; </w:t>
      </w:r>
    </w:p>
    <w:p w:rsidR="00A630F7" w:rsidRPr="00A16FF3" w:rsidRDefault="00A630F7" w:rsidP="002F2793">
      <w:pPr>
        <w:spacing w:after="0" w:line="360" w:lineRule="auto"/>
        <w:contextualSpacing/>
        <w:jc w:val="both"/>
        <w:rPr>
          <w:rFonts w:ascii="Times New Roman" w:hAnsi="Times New Roman" w:cs="Times New Roman"/>
          <w:sz w:val="24"/>
          <w:szCs w:val="24"/>
        </w:rPr>
      </w:pPr>
      <w:r w:rsidRPr="00A16FF3">
        <w:rPr>
          <w:rFonts w:ascii="Times New Roman" w:hAnsi="Times New Roman" w:cs="Times New Roman"/>
          <w:sz w:val="24"/>
          <w:szCs w:val="24"/>
        </w:rPr>
        <w:t>„Vėduoklės“ konfigūracija naudojama kai norima pagerinti kraujota</w:t>
      </w:r>
      <w:r w:rsidR="00F06AF7">
        <w:rPr>
          <w:rFonts w:ascii="Times New Roman" w:hAnsi="Times New Roman" w:cs="Times New Roman"/>
          <w:sz w:val="24"/>
          <w:szCs w:val="24"/>
        </w:rPr>
        <w:t>ką, sumažinti ti</w:t>
      </w:r>
      <w:r w:rsidR="004F02D1">
        <w:rPr>
          <w:rFonts w:ascii="Times New Roman" w:hAnsi="Times New Roman" w:cs="Times New Roman"/>
          <w:sz w:val="24"/>
          <w:szCs w:val="24"/>
        </w:rPr>
        <w:t>nimą ar skausmą ar pagerinti limfos tekėjimą.</w:t>
      </w:r>
    </w:p>
    <w:p w:rsidR="00A630F7" w:rsidRPr="00375C0D" w:rsidRDefault="00CD13A6" w:rsidP="002F2793">
      <w:pPr>
        <w:spacing w:after="0" w:line="360" w:lineRule="auto"/>
        <w:contextualSpacing/>
        <w:jc w:val="center"/>
        <w:rPr>
          <w:rFonts w:ascii="Times New Roman" w:hAnsi="Times New Roman" w:cs="Times New Roman"/>
        </w:rPr>
      </w:pPr>
      <w:r>
        <w:rPr>
          <w:rFonts w:ascii="Times New Roman" w:hAnsi="Times New Roman" w:cs="Times New Roman"/>
          <w:noProof/>
          <w:lang w:eastAsia="lt-LT"/>
        </w:rPr>
        <w:lastRenderedPageBreak/>
        <w:drawing>
          <wp:inline distT="0" distB="0" distL="0" distR="0" wp14:anchorId="7B2FB95B" wp14:editId="70E6C5AD">
            <wp:extent cx="3234520" cy="1870257"/>
            <wp:effectExtent l="0" t="0" r="4445"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ostos.PNG"/>
                    <pic:cNvPicPr/>
                  </pic:nvPicPr>
                  <pic:blipFill>
                    <a:blip r:embed="rId11">
                      <a:extLst>
                        <a:ext uri="{28A0092B-C50C-407E-A947-70E740481C1C}">
                          <a14:useLocalDpi xmlns:a14="http://schemas.microsoft.com/office/drawing/2010/main" val="0"/>
                        </a:ext>
                      </a:extLst>
                    </a:blip>
                    <a:stretch>
                      <a:fillRect/>
                    </a:stretch>
                  </pic:blipFill>
                  <pic:spPr>
                    <a:xfrm>
                      <a:off x="0" y="0"/>
                      <a:ext cx="3245014" cy="1876325"/>
                    </a:xfrm>
                    <a:prstGeom prst="rect">
                      <a:avLst/>
                    </a:prstGeom>
                  </pic:spPr>
                </pic:pic>
              </a:graphicData>
            </a:graphic>
          </wp:inline>
        </w:drawing>
      </w:r>
    </w:p>
    <w:p w:rsidR="00A630F7" w:rsidRPr="007E2959" w:rsidRDefault="007C3F77" w:rsidP="002F2793">
      <w:pPr>
        <w:spacing w:after="0" w:line="360" w:lineRule="auto"/>
        <w:contextualSpacing/>
        <w:jc w:val="center"/>
        <w:rPr>
          <w:rFonts w:ascii="Times New Roman" w:hAnsi="Times New Roman"/>
          <w:sz w:val="24"/>
          <w:szCs w:val="24"/>
        </w:rPr>
      </w:pPr>
      <w:r>
        <w:rPr>
          <w:rFonts w:ascii="Times New Roman" w:hAnsi="Times New Roman"/>
          <w:sz w:val="24"/>
          <w:szCs w:val="24"/>
        </w:rPr>
        <w:t>2</w:t>
      </w:r>
      <w:r w:rsidR="00A630F7">
        <w:rPr>
          <w:rFonts w:ascii="Times New Roman" w:hAnsi="Times New Roman"/>
          <w:sz w:val="24"/>
          <w:szCs w:val="24"/>
        </w:rPr>
        <w:t xml:space="preserve"> pav. Kinezioteipavimo juostų karpymo </w:t>
      </w:r>
      <w:r w:rsidR="00F06AF7">
        <w:rPr>
          <w:rFonts w:ascii="Times New Roman" w:hAnsi="Times New Roman"/>
          <w:sz w:val="24"/>
          <w:szCs w:val="24"/>
        </w:rPr>
        <w:t>būdai</w:t>
      </w:r>
      <w:r w:rsidR="00B22E97">
        <w:rPr>
          <w:rFonts w:ascii="Times New Roman" w:hAnsi="Times New Roman"/>
          <w:sz w:val="24"/>
          <w:szCs w:val="24"/>
        </w:rPr>
        <w:br w:type="page"/>
      </w:r>
    </w:p>
    <w:p w:rsidR="00A630F7" w:rsidRPr="007E2959" w:rsidRDefault="007E2959" w:rsidP="002F2793">
      <w:pPr>
        <w:pStyle w:val="Antrat1"/>
        <w:jc w:val="center"/>
        <w:rPr>
          <w:rFonts w:ascii="Times New Roman" w:hAnsi="Times New Roman" w:cs="Times New Roman"/>
          <w:color w:val="auto"/>
          <w:sz w:val="32"/>
          <w:szCs w:val="32"/>
        </w:rPr>
      </w:pPr>
      <w:bookmarkStart w:id="31" w:name="_Toc388560346"/>
      <w:r w:rsidRPr="007E2959">
        <w:rPr>
          <w:rFonts w:ascii="Times New Roman" w:hAnsi="Times New Roman" w:cs="Times New Roman"/>
          <w:color w:val="auto"/>
          <w:sz w:val="32"/>
          <w:szCs w:val="32"/>
        </w:rPr>
        <w:lastRenderedPageBreak/>
        <w:t xml:space="preserve">2. </w:t>
      </w:r>
      <w:r w:rsidR="00A630F7" w:rsidRPr="007E2959">
        <w:rPr>
          <w:rFonts w:ascii="Times New Roman" w:hAnsi="Times New Roman" w:cs="Times New Roman"/>
          <w:color w:val="auto"/>
          <w:sz w:val="32"/>
          <w:szCs w:val="32"/>
        </w:rPr>
        <w:t>TYRIMO METODI</w:t>
      </w:r>
      <w:r w:rsidR="00F06AF7">
        <w:rPr>
          <w:rFonts w:ascii="Times New Roman" w:hAnsi="Times New Roman" w:cs="Times New Roman"/>
          <w:color w:val="auto"/>
          <w:sz w:val="32"/>
          <w:szCs w:val="32"/>
        </w:rPr>
        <w:t>KA</w:t>
      </w:r>
      <w:r w:rsidR="00A630F7" w:rsidRPr="007E2959">
        <w:rPr>
          <w:rFonts w:ascii="Times New Roman" w:hAnsi="Times New Roman" w:cs="Times New Roman"/>
          <w:color w:val="auto"/>
          <w:sz w:val="32"/>
          <w:szCs w:val="32"/>
        </w:rPr>
        <w:t xml:space="preserve"> IR </w:t>
      </w:r>
      <w:r w:rsidR="00F06AF7">
        <w:rPr>
          <w:rFonts w:ascii="Times New Roman" w:hAnsi="Times New Roman" w:cs="Times New Roman"/>
          <w:color w:val="auto"/>
          <w:sz w:val="32"/>
          <w:szCs w:val="32"/>
        </w:rPr>
        <w:t>METODAI</w:t>
      </w:r>
      <w:bookmarkEnd w:id="31"/>
    </w:p>
    <w:p w:rsidR="00A630F7" w:rsidRDefault="007E2959" w:rsidP="002F2793">
      <w:pPr>
        <w:pStyle w:val="Antrat2"/>
        <w:rPr>
          <w:rFonts w:ascii="Times New Roman" w:hAnsi="Times New Roman" w:cs="Times New Roman"/>
          <w:color w:val="auto"/>
          <w:sz w:val="28"/>
          <w:szCs w:val="28"/>
        </w:rPr>
      </w:pPr>
      <w:bookmarkStart w:id="32" w:name="_Toc388560347"/>
      <w:r w:rsidRPr="007E2959">
        <w:rPr>
          <w:rFonts w:ascii="Times New Roman" w:hAnsi="Times New Roman" w:cs="Times New Roman"/>
          <w:color w:val="auto"/>
          <w:sz w:val="28"/>
          <w:szCs w:val="28"/>
        </w:rPr>
        <w:t xml:space="preserve">2.1 </w:t>
      </w:r>
      <w:r w:rsidR="00A630F7" w:rsidRPr="007E2959">
        <w:rPr>
          <w:rFonts w:ascii="Times New Roman" w:hAnsi="Times New Roman" w:cs="Times New Roman"/>
          <w:color w:val="auto"/>
          <w:sz w:val="28"/>
          <w:szCs w:val="28"/>
        </w:rPr>
        <w:t>Tiriamųjų charakteristika</w:t>
      </w:r>
      <w:bookmarkEnd w:id="32"/>
    </w:p>
    <w:p w:rsidR="007E2959" w:rsidRPr="007E2959" w:rsidRDefault="007E2959" w:rsidP="002F2793"/>
    <w:p w:rsidR="00A630F7" w:rsidRDefault="00A630F7" w:rsidP="002847B6">
      <w:pPr>
        <w:spacing w:after="0" w:line="360" w:lineRule="auto"/>
        <w:ind w:firstLine="851"/>
        <w:contextualSpacing/>
        <w:jc w:val="both"/>
        <w:rPr>
          <w:rFonts w:ascii="Times New Roman" w:hAnsi="Times New Roman" w:cs="Times New Roman"/>
          <w:sz w:val="24"/>
          <w:szCs w:val="24"/>
        </w:rPr>
      </w:pPr>
      <w:r w:rsidRPr="00B84C84">
        <w:rPr>
          <w:rFonts w:ascii="Times New Roman" w:hAnsi="Times New Roman" w:cs="Times New Roman"/>
          <w:sz w:val="24"/>
          <w:szCs w:val="24"/>
        </w:rPr>
        <w:t>Tyrimas buvo atliktas</w:t>
      </w:r>
      <w:r>
        <w:rPr>
          <w:rFonts w:ascii="Times New Roman" w:hAnsi="Times New Roman" w:cs="Times New Roman"/>
          <w:sz w:val="24"/>
          <w:szCs w:val="24"/>
        </w:rPr>
        <w:t xml:space="preserve"> </w:t>
      </w:r>
      <w:r w:rsidRPr="00B84C84">
        <w:rPr>
          <w:rFonts w:ascii="Times New Roman" w:hAnsi="Times New Roman" w:cs="Times New Roman"/>
          <w:sz w:val="24"/>
          <w:szCs w:val="24"/>
        </w:rPr>
        <w:t>2013 metų spalio – kovo mėnesiais, kuriame ištirti 32 pacientai, patyrę tolimojo stipinkaulio galo</w:t>
      </w:r>
      <w:r>
        <w:rPr>
          <w:rFonts w:ascii="Times New Roman" w:hAnsi="Times New Roman" w:cs="Times New Roman"/>
          <w:sz w:val="24"/>
          <w:szCs w:val="24"/>
        </w:rPr>
        <w:t xml:space="preserve"> lūžius,</w:t>
      </w:r>
      <w:r w:rsidRPr="00B84C84">
        <w:rPr>
          <w:rFonts w:ascii="Times New Roman" w:hAnsi="Times New Roman" w:cs="Times New Roman"/>
          <w:sz w:val="24"/>
          <w:szCs w:val="24"/>
        </w:rPr>
        <w:t xml:space="preserve"> Viešojoje įstaigoje „Kauno klinikinėje ligoninėje“ bei „Kauno klinikose“, reabilitacijos skyriuje, </w:t>
      </w:r>
      <w:r>
        <w:rPr>
          <w:rFonts w:ascii="Times New Roman" w:hAnsi="Times New Roman" w:cs="Times New Roman"/>
          <w:sz w:val="24"/>
          <w:szCs w:val="24"/>
        </w:rPr>
        <w:t xml:space="preserve">gydyti ambulatoriškai. </w:t>
      </w:r>
    </w:p>
    <w:p w:rsidR="00A630F7" w:rsidRPr="00CE3D89" w:rsidRDefault="00A630F7" w:rsidP="002F2793">
      <w:pPr>
        <w:spacing w:after="0" w:line="360" w:lineRule="auto"/>
        <w:contextualSpacing/>
        <w:jc w:val="both"/>
        <w:rPr>
          <w:rFonts w:ascii="Times New Roman" w:hAnsi="Times New Roman" w:cs="Times New Roman"/>
          <w:b/>
          <w:sz w:val="24"/>
          <w:szCs w:val="24"/>
        </w:rPr>
      </w:pPr>
      <w:r w:rsidRPr="00CE3D89">
        <w:rPr>
          <w:rFonts w:ascii="Times New Roman" w:hAnsi="Times New Roman" w:cs="Times New Roman"/>
          <w:b/>
          <w:sz w:val="24"/>
          <w:szCs w:val="24"/>
        </w:rPr>
        <w:t>Tyrimo etika</w:t>
      </w:r>
    </w:p>
    <w:p w:rsidR="00A630F7" w:rsidRDefault="00A630F7"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Tyrimui VŠĮ Kauno klinikose bei VŠĮ Kauno klinikinėje ligoninėje atlikti buvo gautas leidimas iš LSMU bioetikos centro, protokolo nr. BEC – FMR(M) – 87 ir  protokolo nr. BEC – FMR(M) – 344. Sutikimas buvo gautas iš VŠĮ Kauno klinikinės ligoninės direktoriaus.</w:t>
      </w:r>
    </w:p>
    <w:p w:rsidR="00A630F7" w:rsidRDefault="00A630F7" w:rsidP="002F2793">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Tyrimo metodai</w:t>
      </w:r>
    </w:p>
    <w:p w:rsidR="00A630F7" w:rsidRDefault="00577F93"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P</w:t>
      </w:r>
      <w:r w:rsidR="00A630F7">
        <w:rPr>
          <w:rFonts w:ascii="Times New Roman" w:hAnsi="Times New Roman" w:cs="Times New Roman"/>
          <w:sz w:val="24"/>
          <w:szCs w:val="24"/>
        </w:rPr>
        <w:t xml:space="preserve">atyrusiems </w:t>
      </w:r>
      <w:r>
        <w:rPr>
          <w:rFonts w:ascii="Times New Roman" w:hAnsi="Times New Roman" w:cs="Times New Roman"/>
          <w:sz w:val="24"/>
          <w:szCs w:val="24"/>
        </w:rPr>
        <w:t>stipinkaulio lūžį, buvo sudaryta individuali ergoterapijos programa</w:t>
      </w:r>
      <w:r w:rsidR="00A630F7">
        <w:rPr>
          <w:rFonts w:ascii="Times New Roman" w:hAnsi="Times New Roman" w:cs="Times New Roman"/>
          <w:sz w:val="24"/>
          <w:szCs w:val="24"/>
        </w:rPr>
        <w:t>, atsižvelgiant į rankos funkcijos ir savarankiškumo sutrikim</w:t>
      </w:r>
      <w:r w:rsidR="00F06AF7">
        <w:rPr>
          <w:rFonts w:ascii="Times New Roman" w:hAnsi="Times New Roman" w:cs="Times New Roman"/>
          <w:sz w:val="24"/>
          <w:szCs w:val="24"/>
        </w:rPr>
        <w:t>o laipsnį</w:t>
      </w:r>
      <w:r w:rsidR="00A630F7">
        <w:rPr>
          <w:rFonts w:ascii="Times New Roman" w:hAnsi="Times New Roman" w:cs="Times New Roman"/>
          <w:sz w:val="24"/>
          <w:szCs w:val="24"/>
        </w:rPr>
        <w:t xml:space="preserve">. </w:t>
      </w:r>
      <w:r>
        <w:rPr>
          <w:rFonts w:ascii="Times New Roman" w:hAnsi="Times New Roman" w:cs="Times New Roman"/>
          <w:sz w:val="24"/>
          <w:szCs w:val="24"/>
        </w:rPr>
        <w:t>P</w:t>
      </w:r>
      <w:r w:rsidR="00A630F7">
        <w:rPr>
          <w:rFonts w:ascii="Times New Roman" w:hAnsi="Times New Roman" w:cs="Times New Roman"/>
          <w:sz w:val="24"/>
          <w:szCs w:val="24"/>
        </w:rPr>
        <w:t>rogramą sudarė:</w:t>
      </w:r>
    </w:p>
    <w:p w:rsidR="00A630F7" w:rsidRDefault="00577F93" w:rsidP="002F2793">
      <w:pPr>
        <w:pStyle w:val="Sraopastraipa"/>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w:t>
      </w:r>
      <w:r w:rsidR="00A630F7">
        <w:rPr>
          <w:rFonts w:ascii="Times New Roman" w:hAnsi="Times New Roman" w:cs="Times New Roman"/>
          <w:sz w:val="24"/>
          <w:szCs w:val="24"/>
        </w:rPr>
        <w:t>laštakos ir dilbio raumenų jėgos stiprinimui</w:t>
      </w:r>
      <w:r>
        <w:rPr>
          <w:rFonts w:ascii="Times New Roman" w:hAnsi="Times New Roman" w:cs="Times New Roman"/>
          <w:sz w:val="24"/>
          <w:szCs w:val="24"/>
        </w:rPr>
        <w:t xml:space="preserve"> pritaikytos priemonės ir pratimai</w:t>
      </w:r>
      <w:r w:rsidR="00A630F7">
        <w:rPr>
          <w:rFonts w:ascii="Times New Roman" w:hAnsi="Times New Roman" w:cs="Times New Roman"/>
          <w:sz w:val="24"/>
          <w:szCs w:val="24"/>
        </w:rPr>
        <w:t>;</w:t>
      </w:r>
    </w:p>
    <w:p w:rsidR="00A630F7" w:rsidRDefault="00A630F7" w:rsidP="002F2793">
      <w:pPr>
        <w:pStyle w:val="Sraopastraipa"/>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Smulkiosios motorikos ir judesių koordinacijos gerinimui</w:t>
      </w:r>
      <w:r w:rsidR="00577F93">
        <w:rPr>
          <w:rFonts w:ascii="Times New Roman" w:hAnsi="Times New Roman" w:cs="Times New Roman"/>
          <w:sz w:val="24"/>
          <w:szCs w:val="24"/>
        </w:rPr>
        <w:t xml:space="preserve"> pritaikytos priemonės ir pratimai</w:t>
      </w:r>
      <w:r>
        <w:rPr>
          <w:rFonts w:ascii="Times New Roman" w:hAnsi="Times New Roman" w:cs="Times New Roman"/>
          <w:sz w:val="24"/>
          <w:szCs w:val="24"/>
        </w:rPr>
        <w:t>;</w:t>
      </w:r>
    </w:p>
    <w:p w:rsidR="00A630F7" w:rsidRDefault="00E12433" w:rsidP="00E12433">
      <w:pPr>
        <w:spacing w:after="0" w:line="36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630F7">
        <w:rPr>
          <w:rFonts w:ascii="Times New Roman" w:hAnsi="Times New Roman" w:cs="Times New Roman"/>
          <w:sz w:val="24"/>
          <w:szCs w:val="24"/>
        </w:rPr>
        <w:t>Plaštakos ir dilbio raumenų jėgos, smulkiosios motorikos bei judesių koordinacijos gerinimui buvo naudojama e</w:t>
      </w:r>
      <w:r w:rsidR="003D3A96">
        <w:rPr>
          <w:rFonts w:ascii="Times New Roman" w:hAnsi="Times New Roman" w:cs="Times New Roman"/>
          <w:sz w:val="24"/>
          <w:szCs w:val="24"/>
        </w:rPr>
        <w:t>rgoterapinė masė (Therapy putty)</w:t>
      </w:r>
      <w:r w:rsidR="00A630F7">
        <w:rPr>
          <w:rFonts w:ascii="Times New Roman" w:hAnsi="Times New Roman" w:cs="Times New Roman"/>
          <w:sz w:val="24"/>
          <w:szCs w:val="24"/>
        </w:rPr>
        <w:t xml:space="preserve">  ir kopėtėlės</w:t>
      </w:r>
      <w:r w:rsidR="003D3A96">
        <w:rPr>
          <w:rFonts w:ascii="Times New Roman" w:hAnsi="Times New Roman" w:cs="Times New Roman"/>
          <w:sz w:val="24"/>
          <w:szCs w:val="24"/>
        </w:rPr>
        <w:t xml:space="preserve"> (III priedas, 9, 10 pav.)</w:t>
      </w:r>
      <w:r w:rsidR="00A630F7">
        <w:rPr>
          <w:rFonts w:ascii="Times New Roman" w:hAnsi="Times New Roman" w:cs="Times New Roman"/>
          <w:sz w:val="24"/>
          <w:szCs w:val="24"/>
        </w:rPr>
        <w:t>.</w:t>
      </w:r>
    </w:p>
    <w:p w:rsidR="00A630F7" w:rsidRDefault="00A630F7"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Rankos raumenų jėgai didinti bei riešo lenkimo ir tiesimo lavinimui buvo naudojama įvairaus stiprumo terapinės juostos (Thera – band)</w:t>
      </w:r>
      <w:r w:rsidR="003D3A96">
        <w:rPr>
          <w:rFonts w:ascii="Times New Roman" w:hAnsi="Times New Roman" w:cs="Times New Roman"/>
          <w:sz w:val="24"/>
          <w:szCs w:val="24"/>
        </w:rPr>
        <w:t xml:space="preserve"> </w:t>
      </w:r>
      <w:r>
        <w:rPr>
          <w:rFonts w:ascii="Times New Roman" w:hAnsi="Times New Roman" w:cs="Times New Roman"/>
          <w:sz w:val="24"/>
          <w:szCs w:val="24"/>
        </w:rPr>
        <w:t xml:space="preserve"> ir lankstus treniruoklis (Flexbar)</w:t>
      </w:r>
      <w:r w:rsidR="003D3A96">
        <w:rPr>
          <w:rFonts w:ascii="Times New Roman" w:hAnsi="Times New Roman" w:cs="Times New Roman"/>
          <w:sz w:val="24"/>
          <w:szCs w:val="24"/>
        </w:rPr>
        <w:t xml:space="preserve"> (III priedas, 11, 12)</w:t>
      </w:r>
      <w:r>
        <w:rPr>
          <w:rFonts w:ascii="Times New Roman" w:hAnsi="Times New Roman" w:cs="Times New Roman"/>
          <w:sz w:val="24"/>
          <w:szCs w:val="24"/>
        </w:rPr>
        <w:t>.</w:t>
      </w:r>
    </w:p>
    <w:p w:rsidR="00A630F7" w:rsidRDefault="00A630F7"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Pirštų miklumo ir griebimo judesiams vystyti buvo naudojami horizontalūs varžtai</w:t>
      </w:r>
      <w:r w:rsidR="001F465D">
        <w:rPr>
          <w:rFonts w:ascii="Times New Roman" w:hAnsi="Times New Roman" w:cs="Times New Roman"/>
          <w:sz w:val="24"/>
          <w:szCs w:val="24"/>
        </w:rPr>
        <w:t xml:space="preserve"> (III priedas, 14 pav.)</w:t>
      </w:r>
      <w:r>
        <w:rPr>
          <w:rFonts w:ascii="Times New Roman" w:hAnsi="Times New Roman" w:cs="Times New Roman"/>
          <w:sz w:val="24"/>
          <w:szCs w:val="24"/>
        </w:rPr>
        <w:t>.</w:t>
      </w:r>
    </w:p>
    <w:p w:rsidR="002847B6" w:rsidRDefault="00A630F7"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Pacientams iš viso buvo taikoma 3 gydymo procedūros. Užsiėmimų trukmė – 30 min. Su kiekvienu pacientu buvo dirbama individualiai. Funkcinė būklė buvo vertinama ligoniui atvykus pirmą kartą ir po gydymo pabaigoje. Be ergoterapijos užsiėmimų, pacientams buvo taikoma kineziterapija, masažas, fizioterapijos procedūros, reabilitacijos specialistų konsultacijos. Pacientams buvo pateikta a</w:t>
      </w:r>
      <w:r w:rsidR="001F465D">
        <w:rPr>
          <w:rFonts w:ascii="Times New Roman" w:hAnsi="Times New Roman" w:cs="Times New Roman"/>
          <w:sz w:val="24"/>
          <w:szCs w:val="24"/>
        </w:rPr>
        <w:t>nketa siekiant pažinti tiriamųjų nusiskundimus</w:t>
      </w:r>
      <w:r>
        <w:rPr>
          <w:rFonts w:ascii="Times New Roman" w:hAnsi="Times New Roman" w:cs="Times New Roman"/>
          <w:sz w:val="24"/>
          <w:szCs w:val="24"/>
        </w:rPr>
        <w:t xml:space="preserve">. </w:t>
      </w:r>
    </w:p>
    <w:p w:rsidR="00A630F7" w:rsidRDefault="00A630F7" w:rsidP="002847B6">
      <w:pPr>
        <w:spacing w:after="0" w:line="36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Pacientams tiriamojoje grupėje buvo teipuojama riešo sritis ir dilbis. Kinezi</w:t>
      </w:r>
      <w:r w:rsidR="00F06AF7">
        <w:rPr>
          <w:rFonts w:ascii="Times New Roman" w:hAnsi="Times New Roman" w:cs="Times New Roman"/>
          <w:sz w:val="24"/>
          <w:szCs w:val="24"/>
        </w:rPr>
        <w:t>o</w:t>
      </w:r>
      <w:r>
        <w:rPr>
          <w:rFonts w:ascii="Times New Roman" w:hAnsi="Times New Roman" w:cs="Times New Roman"/>
          <w:sz w:val="24"/>
          <w:szCs w:val="24"/>
        </w:rPr>
        <w:t>teipavimo juost</w:t>
      </w:r>
      <w:r w:rsidR="00F06AF7">
        <w:rPr>
          <w:rFonts w:ascii="Times New Roman" w:hAnsi="Times New Roman" w:cs="Times New Roman"/>
          <w:sz w:val="24"/>
          <w:szCs w:val="24"/>
        </w:rPr>
        <w:t>a</w:t>
      </w:r>
      <w:r w:rsidR="00D671AA">
        <w:rPr>
          <w:rFonts w:ascii="Times New Roman" w:hAnsi="Times New Roman" w:cs="Times New Roman"/>
          <w:sz w:val="24"/>
          <w:szCs w:val="24"/>
        </w:rPr>
        <w:t xml:space="preserve"> buvo naudojam</w:t>
      </w:r>
      <w:r w:rsidR="001F465D">
        <w:rPr>
          <w:rFonts w:ascii="Times New Roman" w:hAnsi="Times New Roman" w:cs="Times New Roman"/>
          <w:sz w:val="24"/>
          <w:szCs w:val="24"/>
        </w:rPr>
        <w:t>a</w:t>
      </w:r>
      <w:r>
        <w:rPr>
          <w:rFonts w:ascii="Times New Roman" w:hAnsi="Times New Roman" w:cs="Times New Roman"/>
          <w:sz w:val="24"/>
          <w:szCs w:val="24"/>
        </w:rPr>
        <w:t xml:space="preserve"> keliais tikslais:</w:t>
      </w:r>
    </w:p>
    <w:p w:rsidR="00A630F7" w:rsidRPr="00E433CE" w:rsidRDefault="00A630F7" w:rsidP="002F2793">
      <w:pPr>
        <w:pStyle w:val="Sraopastraipa"/>
        <w:numPr>
          <w:ilvl w:val="0"/>
          <w:numId w:val="2"/>
        </w:numPr>
        <w:spacing w:after="0" w:line="360" w:lineRule="auto"/>
        <w:jc w:val="both"/>
        <w:rPr>
          <w:rFonts w:ascii="Times New Roman" w:hAnsi="Times New Roman" w:cs="Times New Roman"/>
          <w:b/>
          <w:sz w:val="28"/>
          <w:szCs w:val="28"/>
        </w:rPr>
      </w:pPr>
      <w:r>
        <w:rPr>
          <w:rFonts w:ascii="Times New Roman" w:hAnsi="Times New Roman" w:cs="Times New Roman"/>
          <w:sz w:val="24"/>
          <w:szCs w:val="24"/>
        </w:rPr>
        <w:t>Funkcinei korekcijai atstatyti;</w:t>
      </w:r>
    </w:p>
    <w:p w:rsidR="00A630F7" w:rsidRDefault="00A630F7" w:rsidP="002F2793">
      <w:pPr>
        <w:pStyle w:val="Sraopastraipa"/>
        <w:numPr>
          <w:ilvl w:val="0"/>
          <w:numId w:val="2"/>
        </w:numPr>
        <w:spacing w:after="0" w:line="360" w:lineRule="auto"/>
        <w:jc w:val="both"/>
        <w:rPr>
          <w:rFonts w:ascii="Times New Roman" w:hAnsi="Times New Roman" w:cs="Times New Roman"/>
          <w:b/>
          <w:sz w:val="28"/>
          <w:szCs w:val="28"/>
        </w:rPr>
      </w:pPr>
      <w:r>
        <w:rPr>
          <w:rFonts w:ascii="Times New Roman" w:hAnsi="Times New Roman" w:cs="Times New Roman"/>
          <w:sz w:val="24"/>
          <w:szCs w:val="24"/>
        </w:rPr>
        <w:t>Raumenų aktyvinimui gerinti;</w:t>
      </w:r>
      <w:r>
        <w:rPr>
          <w:rFonts w:ascii="Times New Roman" w:hAnsi="Times New Roman" w:cs="Times New Roman"/>
          <w:b/>
          <w:sz w:val="28"/>
          <w:szCs w:val="28"/>
        </w:rPr>
        <w:t xml:space="preserve"> </w:t>
      </w:r>
    </w:p>
    <w:p w:rsidR="00A630F7" w:rsidRDefault="00A630F7"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Taip pat teipuojama keliais metodais, tai „Y“ ir „I“ tipo karpymo metodais. „I“  skirtas </w:t>
      </w:r>
      <w:r w:rsidR="00495644">
        <w:rPr>
          <w:rFonts w:ascii="Times New Roman" w:hAnsi="Times New Roman" w:cs="Times New Roman"/>
          <w:sz w:val="24"/>
          <w:szCs w:val="24"/>
        </w:rPr>
        <w:t xml:space="preserve">riešo </w:t>
      </w:r>
      <w:r>
        <w:rPr>
          <w:rFonts w:ascii="Times New Roman" w:hAnsi="Times New Roman" w:cs="Times New Roman"/>
          <w:sz w:val="24"/>
          <w:szCs w:val="24"/>
        </w:rPr>
        <w:t xml:space="preserve">funkcinei korekcijai atstatyti ir skausmui mažinti. Raumenų aktyvinimui gerinti buvo taikomas „Y“ (inkaro) metodas apsupant dilbio lenkiamųjų ir tiesiamųjų raumenų grupes iš abiejų pusių. Nuo pradinio ilgio juostos buvo ištemptos 15 – 25 % </w:t>
      </w:r>
    </w:p>
    <w:p w:rsidR="00A630F7" w:rsidRPr="00E433CE" w:rsidRDefault="00A630F7"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lastRenderedPageBreak/>
        <w:t>Ergoterapijos su kinezi</w:t>
      </w:r>
      <w:r w:rsidR="001F465D">
        <w:rPr>
          <w:rFonts w:ascii="Times New Roman" w:hAnsi="Times New Roman" w:cs="Times New Roman"/>
          <w:sz w:val="24"/>
          <w:szCs w:val="24"/>
        </w:rPr>
        <w:t>o</w:t>
      </w:r>
      <w:r>
        <w:rPr>
          <w:rFonts w:ascii="Times New Roman" w:hAnsi="Times New Roman" w:cs="Times New Roman"/>
          <w:sz w:val="24"/>
          <w:szCs w:val="24"/>
        </w:rPr>
        <w:t>teipavimu efektyvumui įvertinti buvo naudojama:</w:t>
      </w:r>
    </w:p>
    <w:p w:rsidR="00A630F7" w:rsidRDefault="00A630F7" w:rsidP="002F2793">
      <w:pPr>
        <w:spacing w:after="0" w:line="360" w:lineRule="auto"/>
        <w:ind w:left="360"/>
        <w:contextualSpacing/>
        <w:jc w:val="both"/>
        <w:rPr>
          <w:rFonts w:ascii="Times New Roman" w:hAnsi="Times New Roman" w:cs="Times New Roman"/>
          <w:sz w:val="24"/>
          <w:szCs w:val="24"/>
        </w:rPr>
      </w:pPr>
      <w:r>
        <w:rPr>
          <w:rFonts w:ascii="Times New Roman" w:hAnsi="Times New Roman" w:cs="Times New Roman"/>
          <w:b/>
          <w:sz w:val="28"/>
          <w:szCs w:val="28"/>
        </w:rPr>
        <w:t xml:space="preserve">-  </w:t>
      </w:r>
      <w:r>
        <w:rPr>
          <w:rFonts w:ascii="Times New Roman" w:hAnsi="Times New Roman" w:cs="Times New Roman"/>
          <w:sz w:val="24"/>
          <w:szCs w:val="24"/>
        </w:rPr>
        <w:t>dinamometrija;</w:t>
      </w:r>
    </w:p>
    <w:p w:rsidR="00A630F7" w:rsidRDefault="00A630F7" w:rsidP="002F2793">
      <w:pPr>
        <w:spacing w:after="0" w:line="360" w:lineRule="auto"/>
        <w:ind w:left="360"/>
        <w:contextualSpacing/>
        <w:jc w:val="both"/>
        <w:rPr>
          <w:rFonts w:ascii="Times New Roman" w:hAnsi="Times New Roman" w:cs="Times New Roman"/>
          <w:sz w:val="24"/>
          <w:szCs w:val="24"/>
        </w:rPr>
      </w:pPr>
      <w:r>
        <w:rPr>
          <w:rFonts w:ascii="Times New Roman" w:hAnsi="Times New Roman" w:cs="Times New Roman"/>
          <w:b/>
          <w:sz w:val="28"/>
          <w:szCs w:val="28"/>
        </w:rPr>
        <w:t xml:space="preserve">-  </w:t>
      </w:r>
      <w:r>
        <w:rPr>
          <w:rFonts w:ascii="Times New Roman" w:hAnsi="Times New Roman" w:cs="Times New Roman"/>
          <w:sz w:val="24"/>
          <w:szCs w:val="24"/>
        </w:rPr>
        <w:t>goniometrija;</w:t>
      </w:r>
    </w:p>
    <w:p w:rsidR="00A630F7" w:rsidRDefault="00A630F7" w:rsidP="002F2793">
      <w:pPr>
        <w:spacing w:after="0" w:line="360" w:lineRule="auto"/>
        <w:ind w:left="360"/>
        <w:contextualSpacing/>
        <w:jc w:val="both"/>
        <w:rPr>
          <w:rFonts w:ascii="Times New Roman" w:hAnsi="Times New Roman" w:cs="Times New Roman"/>
          <w:sz w:val="24"/>
          <w:szCs w:val="24"/>
        </w:rPr>
      </w:pPr>
      <w:r>
        <w:rPr>
          <w:rFonts w:ascii="Times New Roman" w:hAnsi="Times New Roman" w:cs="Times New Roman"/>
          <w:b/>
          <w:sz w:val="28"/>
          <w:szCs w:val="28"/>
        </w:rPr>
        <w:t xml:space="preserve">-  </w:t>
      </w:r>
      <w:r>
        <w:rPr>
          <w:rFonts w:ascii="Times New Roman" w:hAnsi="Times New Roman" w:cs="Times New Roman"/>
          <w:sz w:val="24"/>
          <w:szCs w:val="24"/>
        </w:rPr>
        <w:t>skausmo vertinimo skalė;</w:t>
      </w:r>
    </w:p>
    <w:p w:rsidR="00A630F7" w:rsidRDefault="00A630F7" w:rsidP="002F2793">
      <w:pPr>
        <w:spacing w:after="0" w:line="360" w:lineRule="auto"/>
        <w:ind w:left="360"/>
        <w:contextualSpacing/>
        <w:jc w:val="both"/>
        <w:rPr>
          <w:rFonts w:ascii="Times New Roman" w:hAnsi="Times New Roman" w:cs="Times New Roman"/>
          <w:sz w:val="24"/>
          <w:szCs w:val="24"/>
        </w:rPr>
      </w:pPr>
      <w:r>
        <w:rPr>
          <w:rFonts w:ascii="Times New Roman" w:hAnsi="Times New Roman" w:cs="Times New Roman"/>
          <w:b/>
          <w:sz w:val="28"/>
          <w:szCs w:val="28"/>
        </w:rPr>
        <w:t xml:space="preserve">-  </w:t>
      </w:r>
      <w:r>
        <w:rPr>
          <w:rFonts w:ascii="Times New Roman" w:hAnsi="Times New Roman" w:cs="Times New Roman"/>
          <w:sz w:val="24"/>
          <w:szCs w:val="24"/>
        </w:rPr>
        <w:t>sustingimo vertimo skalė;</w:t>
      </w:r>
    </w:p>
    <w:p w:rsidR="00A630F7" w:rsidRDefault="00A630F7" w:rsidP="002F2793">
      <w:pPr>
        <w:spacing w:after="0" w:line="360" w:lineRule="auto"/>
        <w:ind w:left="360"/>
        <w:contextualSpacing/>
        <w:jc w:val="both"/>
        <w:rPr>
          <w:rFonts w:ascii="Times New Roman" w:hAnsi="Times New Roman" w:cs="Times New Roman"/>
          <w:sz w:val="24"/>
          <w:szCs w:val="24"/>
        </w:rPr>
      </w:pPr>
      <w:r>
        <w:rPr>
          <w:rFonts w:ascii="Times New Roman" w:hAnsi="Times New Roman" w:cs="Times New Roman"/>
          <w:sz w:val="24"/>
          <w:szCs w:val="24"/>
        </w:rPr>
        <w:t>-   modifikuotas Keitelio indeksas;</w:t>
      </w:r>
    </w:p>
    <w:p w:rsidR="00B22E97" w:rsidRDefault="00B22E97" w:rsidP="002F2793">
      <w:pPr>
        <w:spacing w:after="0" w:line="360" w:lineRule="auto"/>
        <w:ind w:left="360"/>
        <w:contextualSpacing/>
        <w:jc w:val="both"/>
        <w:rPr>
          <w:rFonts w:ascii="Times New Roman" w:hAnsi="Times New Roman" w:cs="Times New Roman"/>
          <w:sz w:val="24"/>
          <w:szCs w:val="24"/>
        </w:rPr>
      </w:pPr>
    </w:p>
    <w:p w:rsidR="00A630F7" w:rsidRPr="00CE3D89" w:rsidRDefault="00A630F7" w:rsidP="002F2793">
      <w:pPr>
        <w:spacing w:after="0" w:line="360" w:lineRule="auto"/>
        <w:ind w:left="360" w:hanging="360"/>
        <w:contextualSpacing/>
        <w:jc w:val="both"/>
        <w:rPr>
          <w:rFonts w:ascii="Times New Roman" w:hAnsi="Times New Roman" w:cs="Times New Roman"/>
          <w:b/>
          <w:sz w:val="24"/>
          <w:szCs w:val="24"/>
        </w:rPr>
      </w:pPr>
      <w:r w:rsidRPr="00CE3D89">
        <w:rPr>
          <w:rFonts w:ascii="Times New Roman" w:hAnsi="Times New Roman" w:cs="Times New Roman"/>
          <w:b/>
          <w:sz w:val="24"/>
          <w:szCs w:val="24"/>
        </w:rPr>
        <w:t>Klausimynas</w:t>
      </w:r>
    </w:p>
    <w:p w:rsidR="00A630F7" w:rsidRDefault="00D671AA" w:rsidP="002F2793">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Siekiant pažinti tiriamųjų</w:t>
      </w:r>
      <w:r w:rsidR="00A630F7">
        <w:rPr>
          <w:rFonts w:ascii="Times New Roman" w:hAnsi="Times New Roman" w:cs="Times New Roman"/>
          <w:sz w:val="24"/>
          <w:szCs w:val="24"/>
        </w:rPr>
        <w:t xml:space="preserve"> </w:t>
      </w:r>
      <w:r>
        <w:rPr>
          <w:rFonts w:ascii="Times New Roman" w:hAnsi="Times New Roman" w:cs="Times New Roman"/>
          <w:sz w:val="24"/>
          <w:szCs w:val="24"/>
        </w:rPr>
        <w:t>nusiskundimus</w:t>
      </w:r>
      <w:r w:rsidR="003E5367">
        <w:rPr>
          <w:rFonts w:ascii="Times New Roman" w:hAnsi="Times New Roman" w:cs="Times New Roman"/>
          <w:sz w:val="24"/>
          <w:szCs w:val="24"/>
        </w:rPr>
        <w:t>, buvo paruoštas klausimyn</w:t>
      </w:r>
      <w:r w:rsidR="00A630F7">
        <w:rPr>
          <w:rFonts w:ascii="Times New Roman" w:hAnsi="Times New Roman" w:cs="Times New Roman"/>
          <w:sz w:val="24"/>
          <w:szCs w:val="24"/>
        </w:rPr>
        <w:t>as. Apklausa buvo vykdoma interviu metodu ligoniui atvykus</w:t>
      </w:r>
      <w:r w:rsidR="00A80F8D">
        <w:rPr>
          <w:rFonts w:ascii="Times New Roman" w:hAnsi="Times New Roman" w:cs="Times New Roman"/>
          <w:sz w:val="24"/>
          <w:szCs w:val="24"/>
        </w:rPr>
        <w:t xml:space="preserve"> (I</w:t>
      </w:r>
      <w:r w:rsidR="001F465D">
        <w:rPr>
          <w:rFonts w:ascii="Times New Roman" w:hAnsi="Times New Roman" w:cs="Times New Roman"/>
          <w:sz w:val="24"/>
          <w:szCs w:val="24"/>
        </w:rPr>
        <w:t>V</w:t>
      </w:r>
      <w:r w:rsidR="00A80F8D">
        <w:rPr>
          <w:rFonts w:ascii="Times New Roman" w:hAnsi="Times New Roman" w:cs="Times New Roman"/>
          <w:sz w:val="24"/>
          <w:szCs w:val="24"/>
        </w:rPr>
        <w:t xml:space="preserve"> priedas)</w:t>
      </w:r>
      <w:r w:rsidR="00A630F7">
        <w:rPr>
          <w:rFonts w:ascii="Times New Roman" w:hAnsi="Times New Roman" w:cs="Times New Roman"/>
          <w:sz w:val="24"/>
          <w:szCs w:val="24"/>
        </w:rPr>
        <w:t>.</w:t>
      </w:r>
    </w:p>
    <w:p w:rsidR="00B22E97" w:rsidRDefault="00B22E97" w:rsidP="002F2793">
      <w:pPr>
        <w:spacing w:after="0" w:line="360" w:lineRule="auto"/>
        <w:ind w:firstLine="851"/>
        <w:contextualSpacing/>
        <w:jc w:val="both"/>
        <w:rPr>
          <w:rFonts w:ascii="Times New Roman" w:hAnsi="Times New Roman" w:cs="Times New Roman"/>
          <w:sz w:val="24"/>
          <w:szCs w:val="24"/>
        </w:rPr>
      </w:pPr>
    </w:p>
    <w:p w:rsidR="00A630F7" w:rsidRDefault="00A630F7" w:rsidP="002F2793">
      <w:pPr>
        <w:spacing w:after="0" w:line="360" w:lineRule="auto"/>
        <w:contextualSpacing/>
        <w:jc w:val="both"/>
        <w:rPr>
          <w:rFonts w:ascii="Times New Roman" w:hAnsi="Times New Roman" w:cs="Times New Roman"/>
          <w:sz w:val="24"/>
          <w:szCs w:val="24"/>
        </w:rPr>
      </w:pPr>
      <w:r w:rsidRPr="00ED512B">
        <w:rPr>
          <w:rFonts w:ascii="Times New Roman" w:hAnsi="Times New Roman" w:cs="Times New Roman"/>
          <w:b/>
          <w:sz w:val="24"/>
          <w:szCs w:val="24"/>
        </w:rPr>
        <w:t>Plaštakos raumenų jėgai vertinti buvo naudojamas dinamometras</w:t>
      </w:r>
      <w:r>
        <w:rPr>
          <w:rFonts w:ascii="Times New Roman" w:hAnsi="Times New Roman" w:cs="Times New Roman"/>
          <w:b/>
          <w:sz w:val="24"/>
          <w:szCs w:val="24"/>
        </w:rPr>
        <w:t>.</w:t>
      </w:r>
      <w:r w:rsidRPr="00ED512B">
        <w:rPr>
          <w:rFonts w:ascii="Times New Roman" w:hAnsi="Times New Roman" w:cs="Times New Roman"/>
          <w:sz w:val="24"/>
          <w:szCs w:val="24"/>
        </w:rPr>
        <w:t xml:space="preserve"> </w:t>
      </w:r>
    </w:p>
    <w:p w:rsidR="00A630F7" w:rsidRDefault="00A630F7" w:rsidP="002F2793">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Prietaiso ekrane</w:t>
      </w:r>
      <w:r w:rsidRPr="00ED512B">
        <w:rPr>
          <w:rFonts w:ascii="Times New Roman" w:hAnsi="Times New Roman" w:cs="Times New Roman"/>
          <w:sz w:val="24"/>
          <w:szCs w:val="24"/>
        </w:rPr>
        <w:t xml:space="preserve"> parodoma maksimali griebimo jėga (0-90 kg), smaili rodyklė automatiškai fiksuoja did</w:t>
      </w:r>
      <w:r>
        <w:rPr>
          <w:rFonts w:ascii="Times New Roman" w:hAnsi="Times New Roman" w:cs="Times New Roman"/>
          <w:sz w:val="24"/>
          <w:szCs w:val="24"/>
        </w:rPr>
        <w:t>ž</w:t>
      </w:r>
      <w:r w:rsidRPr="00ED512B">
        <w:rPr>
          <w:rFonts w:ascii="Times New Roman" w:hAnsi="Times New Roman" w:cs="Times New Roman"/>
          <w:sz w:val="24"/>
          <w:szCs w:val="24"/>
        </w:rPr>
        <w:t xml:space="preserve">iausią rodmenį. Rankena yra pritaikoma pagal plaštakos dydį (5 pozicijos). Pacientas turi būti pasodinamas, petys atitraukiamas, alkūnė sulenkiama 90 laipsnių, o riešo alkūninis nukrypimas tarp 0 ir 15 laipsnių. Kiekviena ranka atliekama po 3 bandymus. </w:t>
      </w:r>
    </w:p>
    <w:p w:rsidR="00B22E97" w:rsidRDefault="00B22E97" w:rsidP="002F2793">
      <w:pPr>
        <w:spacing w:after="0" w:line="360" w:lineRule="auto"/>
        <w:ind w:firstLine="851"/>
        <w:contextualSpacing/>
        <w:jc w:val="both"/>
        <w:rPr>
          <w:rFonts w:ascii="Times New Roman" w:hAnsi="Times New Roman" w:cs="Times New Roman"/>
          <w:sz w:val="24"/>
          <w:szCs w:val="24"/>
        </w:rPr>
      </w:pPr>
    </w:p>
    <w:p w:rsidR="00A630F7" w:rsidRDefault="00A630F7" w:rsidP="002F2793">
      <w:pPr>
        <w:spacing w:after="0" w:line="360" w:lineRule="auto"/>
        <w:contextualSpacing/>
        <w:jc w:val="both"/>
        <w:rPr>
          <w:rFonts w:ascii="Times New Roman" w:hAnsi="Times New Roman" w:cs="Times New Roman"/>
          <w:sz w:val="24"/>
          <w:szCs w:val="24"/>
        </w:rPr>
      </w:pPr>
      <w:r w:rsidRPr="00ED512B">
        <w:rPr>
          <w:rFonts w:ascii="Times New Roman" w:hAnsi="Times New Roman" w:cs="Times New Roman"/>
          <w:b/>
          <w:sz w:val="24"/>
          <w:szCs w:val="24"/>
        </w:rPr>
        <w:t>Judesių amplitudė per riešo sąnarį buvo matuojama goniometru</w:t>
      </w:r>
      <w:r>
        <w:rPr>
          <w:rFonts w:ascii="Times New Roman" w:hAnsi="Times New Roman" w:cs="Times New Roman"/>
          <w:b/>
          <w:sz w:val="24"/>
          <w:szCs w:val="24"/>
        </w:rPr>
        <w:t>.</w:t>
      </w:r>
      <w:r w:rsidRPr="00ED512B">
        <w:rPr>
          <w:rFonts w:ascii="Times New Roman" w:hAnsi="Times New Roman" w:cs="Times New Roman"/>
          <w:sz w:val="24"/>
          <w:szCs w:val="24"/>
        </w:rPr>
        <w:t xml:space="preserve"> </w:t>
      </w:r>
    </w:p>
    <w:p w:rsidR="00A630F7" w:rsidRDefault="00A630F7" w:rsidP="002F2793">
      <w:pPr>
        <w:spacing w:after="0" w:line="360" w:lineRule="auto"/>
        <w:ind w:firstLine="851"/>
        <w:contextualSpacing/>
        <w:jc w:val="both"/>
        <w:rPr>
          <w:rFonts w:ascii="Times New Roman" w:hAnsi="Times New Roman" w:cs="Times New Roman"/>
          <w:sz w:val="24"/>
          <w:szCs w:val="24"/>
        </w:rPr>
      </w:pPr>
      <w:r w:rsidRPr="00ED512B">
        <w:rPr>
          <w:rFonts w:ascii="Times New Roman" w:hAnsi="Times New Roman" w:cs="Times New Roman"/>
          <w:sz w:val="24"/>
          <w:szCs w:val="24"/>
        </w:rPr>
        <w:t xml:space="preserve">Goniometrą sudaro dvi liniuotės ir kampamatis sutvirtinti tarpusavyje. Viena liniuotė stabili, kita judanti. Nejudanti goniometro dalis dedama išilgai anatominės galūnės ašies. Goniometro centras turi sutapti su judesio centru sąnaryje. Judanti goniometro dalis, juda kartu su galūne. </w:t>
      </w:r>
    </w:p>
    <w:p w:rsidR="00B22E97" w:rsidRPr="002847B6" w:rsidRDefault="00B22E97" w:rsidP="002847B6">
      <w:pPr>
        <w:spacing w:after="0" w:line="360" w:lineRule="auto"/>
        <w:contextualSpacing/>
        <w:jc w:val="both"/>
        <w:rPr>
          <w:rFonts w:ascii="Times New Roman" w:hAnsi="Times New Roman" w:cs="Times New Roman"/>
          <w:b/>
          <w:sz w:val="24"/>
          <w:szCs w:val="24"/>
        </w:rPr>
      </w:pPr>
    </w:p>
    <w:p w:rsidR="00A630F7" w:rsidRPr="002847B6" w:rsidRDefault="00A630F7" w:rsidP="002847B6">
      <w:pPr>
        <w:spacing w:after="0" w:line="360" w:lineRule="auto"/>
        <w:contextualSpacing/>
        <w:jc w:val="both"/>
        <w:rPr>
          <w:rFonts w:ascii="Times New Roman" w:hAnsi="Times New Roman" w:cs="Times New Roman"/>
          <w:sz w:val="24"/>
          <w:szCs w:val="24"/>
        </w:rPr>
      </w:pPr>
      <w:r w:rsidRPr="002847B6">
        <w:rPr>
          <w:rFonts w:ascii="Times New Roman" w:hAnsi="Times New Roman" w:cs="Times New Roman"/>
          <w:b/>
          <w:sz w:val="24"/>
          <w:szCs w:val="24"/>
        </w:rPr>
        <w:t>Sustingimo vertinimo skalė.</w:t>
      </w:r>
    </w:p>
    <w:p w:rsidR="00A630F7" w:rsidRPr="002847B6" w:rsidRDefault="00A630F7" w:rsidP="002847B6">
      <w:pPr>
        <w:spacing w:after="0" w:line="360" w:lineRule="auto"/>
        <w:ind w:firstLine="851"/>
        <w:contextualSpacing/>
        <w:jc w:val="both"/>
        <w:rPr>
          <w:rFonts w:ascii="Times New Roman" w:hAnsi="Times New Roman" w:cs="Times New Roman"/>
          <w:sz w:val="24"/>
          <w:szCs w:val="24"/>
        </w:rPr>
      </w:pPr>
      <w:r w:rsidRPr="002847B6">
        <w:rPr>
          <w:rFonts w:ascii="Times New Roman" w:hAnsi="Times New Roman" w:cs="Times New Roman"/>
          <w:sz w:val="24"/>
          <w:szCs w:val="24"/>
        </w:rPr>
        <w:t>Pateikta paprasta tiesinė sustingimo vertinimo skalė, kurioje pacientas nurodo sustingimo stipr</w:t>
      </w:r>
      <w:r w:rsidR="008132DD">
        <w:rPr>
          <w:rFonts w:ascii="Times New Roman" w:hAnsi="Times New Roman" w:cs="Times New Roman"/>
          <w:sz w:val="24"/>
          <w:szCs w:val="24"/>
        </w:rPr>
        <w:t>umą (V priedas).</w:t>
      </w:r>
    </w:p>
    <w:p w:rsidR="00B22E97" w:rsidRDefault="00B22E97" w:rsidP="002F2793">
      <w:pPr>
        <w:spacing w:after="0" w:line="360" w:lineRule="auto"/>
        <w:contextualSpacing/>
        <w:jc w:val="both"/>
        <w:rPr>
          <w:rFonts w:ascii="Times New Roman" w:hAnsi="Times New Roman" w:cs="Times New Roman"/>
          <w:b/>
          <w:sz w:val="24"/>
          <w:szCs w:val="24"/>
        </w:rPr>
      </w:pPr>
    </w:p>
    <w:p w:rsidR="00A630F7" w:rsidRDefault="00A630F7" w:rsidP="002F2793">
      <w:pPr>
        <w:spacing w:after="0" w:line="360" w:lineRule="auto"/>
        <w:contextualSpacing/>
        <w:jc w:val="both"/>
        <w:rPr>
          <w:rFonts w:ascii="Times New Roman" w:hAnsi="Times New Roman" w:cs="Times New Roman"/>
          <w:sz w:val="24"/>
          <w:szCs w:val="24"/>
        </w:rPr>
      </w:pPr>
      <w:r w:rsidRPr="00127B3D">
        <w:rPr>
          <w:rFonts w:ascii="Times New Roman" w:hAnsi="Times New Roman" w:cs="Times New Roman"/>
          <w:b/>
          <w:sz w:val="24"/>
          <w:szCs w:val="24"/>
        </w:rPr>
        <w:t>Skausmo vertinimo skalė</w:t>
      </w:r>
      <w:r>
        <w:rPr>
          <w:rFonts w:ascii="Times New Roman" w:hAnsi="Times New Roman" w:cs="Times New Roman"/>
          <w:b/>
          <w:sz w:val="24"/>
          <w:szCs w:val="24"/>
        </w:rPr>
        <w:t>.</w:t>
      </w:r>
      <w:r w:rsidRPr="00127B3D">
        <w:rPr>
          <w:rFonts w:ascii="Times New Roman" w:hAnsi="Times New Roman" w:cs="Times New Roman"/>
          <w:sz w:val="24"/>
          <w:szCs w:val="24"/>
        </w:rPr>
        <w:t xml:space="preserve"> </w:t>
      </w:r>
    </w:p>
    <w:p w:rsidR="007E2959" w:rsidRDefault="00A630F7" w:rsidP="002F2793">
      <w:pPr>
        <w:spacing w:after="0" w:line="360" w:lineRule="auto"/>
        <w:ind w:firstLine="851"/>
        <w:contextualSpacing/>
        <w:jc w:val="both"/>
        <w:rPr>
          <w:rFonts w:ascii="Times New Roman" w:hAnsi="Times New Roman" w:cs="Times New Roman"/>
          <w:sz w:val="24"/>
          <w:szCs w:val="24"/>
        </w:rPr>
      </w:pPr>
      <w:r w:rsidRPr="00127B3D">
        <w:rPr>
          <w:rFonts w:ascii="Times New Roman" w:hAnsi="Times New Roman" w:cs="Times New Roman"/>
          <w:sz w:val="24"/>
          <w:szCs w:val="24"/>
        </w:rPr>
        <w:t xml:space="preserve">Vizualinė analoginė skalė (VAS) taikoma kiekybiniam skausmo vertinimui, t.y. padeda nustatyti jo intensyvumą bei stiprumą. </w:t>
      </w:r>
      <w:r>
        <w:rPr>
          <w:rFonts w:ascii="Times New Roman" w:hAnsi="Times New Roman" w:cs="Times New Roman"/>
          <w:sz w:val="24"/>
          <w:szCs w:val="24"/>
        </w:rPr>
        <w:t>Skausmo gydymą lemia – skausmo stiprumas, kuris vertinamas analoginėmis skalėmis.</w:t>
      </w:r>
      <w:r w:rsidRPr="00127B3D">
        <w:rPr>
          <w:rFonts w:ascii="Times New Roman" w:hAnsi="Times New Roman" w:cs="Times New Roman"/>
          <w:sz w:val="24"/>
          <w:szCs w:val="24"/>
        </w:rPr>
        <w:t xml:space="preserve"> Naudojant VAS, galima palyginti skausmo stiprumą prieš procedūrą ir po jos, taip pat ir gydymo</w:t>
      </w:r>
      <w:r>
        <w:rPr>
          <w:rFonts w:ascii="Times New Roman" w:hAnsi="Times New Roman" w:cs="Times New Roman"/>
          <w:sz w:val="24"/>
          <w:szCs w:val="24"/>
        </w:rPr>
        <w:t xml:space="preserve"> metu</w:t>
      </w:r>
      <w:r w:rsidRPr="00127B3D">
        <w:rPr>
          <w:rFonts w:ascii="Times New Roman" w:hAnsi="Times New Roman" w:cs="Times New Roman"/>
          <w:sz w:val="24"/>
          <w:szCs w:val="24"/>
        </w:rPr>
        <w:t xml:space="preserve">, įvertinti gydymo veiksmingumą konkrečiam </w:t>
      </w:r>
      <w:r>
        <w:rPr>
          <w:rFonts w:ascii="Times New Roman" w:hAnsi="Times New Roman" w:cs="Times New Roman"/>
          <w:sz w:val="24"/>
          <w:szCs w:val="24"/>
        </w:rPr>
        <w:t>pacientui</w:t>
      </w:r>
      <w:r w:rsidRPr="00127B3D">
        <w:rPr>
          <w:rFonts w:ascii="Times New Roman" w:hAnsi="Times New Roman" w:cs="Times New Roman"/>
          <w:sz w:val="24"/>
          <w:szCs w:val="24"/>
        </w:rPr>
        <w:t xml:space="preserve"> ar </w:t>
      </w:r>
      <w:r>
        <w:rPr>
          <w:rFonts w:ascii="Times New Roman" w:hAnsi="Times New Roman" w:cs="Times New Roman"/>
          <w:sz w:val="24"/>
          <w:szCs w:val="24"/>
        </w:rPr>
        <w:t>pacientų</w:t>
      </w:r>
      <w:r w:rsidRPr="00127B3D">
        <w:rPr>
          <w:rFonts w:ascii="Times New Roman" w:hAnsi="Times New Roman" w:cs="Times New Roman"/>
          <w:sz w:val="24"/>
          <w:szCs w:val="24"/>
        </w:rPr>
        <w:t xml:space="preserve"> grupėms. </w:t>
      </w:r>
      <w:r>
        <w:rPr>
          <w:rFonts w:ascii="Times New Roman" w:hAnsi="Times New Roman" w:cs="Times New Roman"/>
          <w:sz w:val="24"/>
          <w:szCs w:val="24"/>
        </w:rPr>
        <w:t>Skausmo intensyvumas vertinamas pacientams nuo 3 metų amžiaus pasirinktinai naudojant „veidukų“ arba skaitmeninę bei žodinę skales</w:t>
      </w:r>
      <w:r w:rsidRPr="00127B3D">
        <w:rPr>
          <w:rFonts w:ascii="Times New Roman" w:hAnsi="Times New Roman" w:cs="Times New Roman"/>
          <w:sz w:val="24"/>
          <w:szCs w:val="24"/>
        </w:rPr>
        <w:t>.</w:t>
      </w:r>
      <w:r>
        <w:rPr>
          <w:rFonts w:ascii="Times New Roman" w:hAnsi="Times New Roman" w:cs="Times New Roman"/>
          <w:sz w:val="24"/>
          <w:szCs w:val="24"/>
        </w:rPr>
        <w:t xml:space="preserve"> Pacientai skausmą objektyviai patys įvertina pažymėdami skalėje skausmo stiprumą. Skausmo neįmanoma tiesiogiai pamatyti, todėl svarbu pasitikėti pacientu ir jo </w:t>
      </w:r>
      <w:r>
        <w:rPr>
          <w:rFonts w:ascii="Times New Roman" w:hAnsi="Times New Roman" w:cs="Times New Roman"/>
          <w:sz w:val="24"/>
          <w:szCs w:val="24"/>
        </w:rPr>
        <w:lastRenderedPageBreak/>
        <w:t>vertinimu.</w:t>
      </w:r>
      <w:r w:rsidRPr="00127B3D">
        <w:rPr>
          <w:rFonts w:ascii="Times New Roman" w:hAnsi="Times New Roman" w:cs="Times New Roman"/>
          <w:sz w:val="24"/>
          <w:szCs w:val="24"/>
        </w:rPr>
        <w:t xml:space="preserve"> VAS skalės vertinimo metodika: objektyvizuojant skausmo stiprumą, skalė padalijama į 10 lygių dalių ir nustatoma, kurioje atkarpoje yra paciento </w:t>
      </w:r>
      <w:r>
        <w:rPr>
          <w:rFonts w:ascii="Times New Roman" w:hAnsi="Times New Roman" w:cs="Times New Roman"/>
          <w:sz w:val="24"/>
          <w:szCs w:val="24"/>
        </w:rPr>
        <w:t>pažymėta atžyma</w:t>
      </w:r>
      <w:r w:rsidRPr="00127B3D">
        <w:rPr>
          <w:rFonts w:ascii="Times New Roman" w:hAnsi="Times New Roman" w:cs="Times New Roman"/>
          <w:sz w:val="24"/>
          <w:szCs w:val="24"/>
        </w:rPr>
        <w:t>. Tuomet skausmas vertinamas balais: 1-4 balai – skausmas silpnas, 5-6 balai – skausmas vidutinio stiprumo, 7-8 balai – jaučiamas stiprus skausmas, 9-10 balų – nepakel</w:t>
      </w:r>
      <w:r>
        <w:rPr>
          <w:rFonts w:ascii="Times New Roman" w:hAnsi="Times New Roman" w:cs="Times New Roman"/>
          <w:sz w:val="24"/>
          <w:szCs w:val="24"/>
        </w:rPr>
        <w:t>iamas (labai stiprus) skausmas</w:t>
      </w:r>
      <w:r w:rsidR="008132DD">
        <w:rPr>
          <w:rFonts w:ascii="Times New Roman" w:hAnsi="Times New Roman" w:cs="Times New Roman"/>
          <w:sz w:val="24"/>
          <w:szCs w:val="24"/>
        </w:rPr>
        <w:t xml:space="preserve"> (V priedas).</w:t>
      </w:r>
      <w:r w:rsidRPr="00127B3D">
        <w:rPr>
          <w:rFonts w:ascii="Times New Roman" w:hAnsi="Times New Roman" w:cs="Times New Roman"/>
          <w:sz w:val="24"/>
          <w:szCs w:val="24"/>
        </w:rPr>
        <w:t xml:space="preserve"> </w:t>
      </w:r>
    </w:p>
    <w:p w:rsidR="007E2959" w:rsidRDefault="007E2959" w:rsidP="002F2793">
      <w:pPr>
        <w:spacing w:after="0" w:line="360" w:lineRule="auto"/>
        <w:ind w:firstLine="851"/>
        <w:contextualSpacing/>
        <w:jc w:val="both"/>
        <w:rPr>
          <w:rFonts w:ascii="Times New Roman" w:hAnsi="Times New Roman" w:cs="Times New Roman"/>
          <w:sz w:val="24"/>
          <w:szCs w:val="24"/>
        </w:rPr>
      </w:pPr>
    </w:p>
    <w:p w:rsidR="007E2959" w:rsidRPr="003434D4" w:rsidRDefault="00A630F7" w:rsidP="002F2793">
      <w:pPr>
        <w:spacing w:after="0" w:line="360" w:lineRule="auto"/>
        <w:contextualSpacing/>
        <w:jc w:val="both"/>
        <w:rPr>
          <w:rFonts w:ascii="Times New Roman" w:hAnsi="Times New Roman" w:cs="Times New Roman"/>
          <w:b/>
          <w:sz w:val="24"/>
          <w:szCs w:val="24"/>
        </w:rPr>
      </w:pPr>
      <w:r w:rsidRPr="003434D4">
        <w:rPr>
          <w:rFonts w:ascii="Times New Roman" w:hAnsi="Times New Roman" w:cs="Times New Roman"/>
          <w:b/>
          <w:sz w:val="24"/>
          <w:szCs w:val="24"/>
        </w:rPr>
        <w:t>Modifikuotas Keitelio indeksas</w:t>
      </w:r>
      <w:r w:rsidR="00B22E97">
        <w:rPr>
          <w:rFonts w:ascii="Times New Roman" w:hAnsi="Times New Roman" w:cs="Times New Roman"/>
          <w:b/>
          <w:sz w:val="24"/>
          <w:szCs w:val="24"/>
        </w:rPr>
        <w:t>.</w:t>
      </w:r>
    </w:p>
    <w:p w:rsidR="00A630F7" w:rsidRDefault="00A630F7" w:rsidP="002F2793">
      <w:pPr>
        <w:spacing w:after="0" w:line="360" w:lineRule="auto"/>
        <w:ind w:firstLine="851"/>
        <w:contextualSpacing/>
        <w:jc w:val="both"/>
        <w:rPr>
          <w:rFonts w:ascii="Times New Roman" w:hAnsi="Times New Roman" w:cs="Times New Roman"/>
          <w:sz w:val="24"/>
          <w:szCs w:val="24"/>
        </w:rPr>
      </w:pPr>
      <w:r w:rsidRPr="003434D4">
        <w:rPr>
          <w:rFonts w:ascii="Times New Roman" w:hAnsi="Times New Roman" w:cs="Times New Roman"/>
          <w:sz w:val="24"/>
          <w:szCs w:val="24"/>
        </w:rPr>
        <w:t>Šis indeksas dar vad</w:t>
      </w:r>
      <w:r>
        <w:rPr>
          <w:rFonts w:ascii="Times New Roman" w:hAnsi="Times New Roman" w:cs="Times New Roman"/>
          <w:sz w:val="24"/>
          <w:szCs w:val="24"/>
        </w:rPr>
        <w:t>inamas Funkciniu judėjimo testu ir skirtas biosocialinėms funkcijoms įvertinti.</w:t>
      </w:r>
      <w:r w:rsidRPr="003434D4">
        <w:rPr>
          <w:rFonts w:ascii="Times New Roman" w:hAnsi="Times New Roman" w:cs="Times New Roman"/>
          <w:sz w:val="24"/>
          <w:szCs w:val="24"/>
        </w:rPr>
        <w:t xml:space="preserve"> </w:t>
      </w:r>
      <w:r>
        <w:rPr>
          <w:rFonts w:ascii="Times New Roman" w:hAnsi="Times New Roman" w:cs="Times New Roman"/>
          <w:sz w:val="24"/>
          <w:szCs w:val="24"/>
        </w:rPr>
        <w:t>Funkcinis judėjimo testas vertina</w:t>
      </w:r>
      <w:r w:rsidRPr="003434D4">
        <w:rPr>
          <w:rFonts w:ascii="Times New Roman" w:hAnsi="Times New Roman" w:cs="Times New Roman"/>
          <w:sz w:val="24"/>
          <w:szCs w:val="24"/>
        </w:rPr>
        <w:t xml:space="preserve"> viršutinių, arba apatinių galūnių funkcij</w:t>
      </w:r>
      <w:r>
        <w:rPr>
          <w:rFonts w:ascii="Times New Roman" w:hAnsi="Times New Roman" w:cs="Times New Roman"/>
          <w:sz w:val="24"/>
          <w:szCs w:val="24"/>
        </w:rPr>
        <w:t>ą, kurio maksimali balų suma yra 95 balai</w:t>
      </w:r>
      <w:r w:rsidRPr="003434D4">
        <w:rPr>
          <w:rFonts w:ascii="Times New Roman" w:hAnsi="Times New Roman" w:cs="Times New Roman"/>
          <w:sz w:val="24"/>
          <w:szCs w:val="24"/>
        </w:rPr>
        <w:t>. Viršutinių galūnių modifikuotas Keitelio indeksas maksimalus – 50 balų, apatinių galūnių – 43 balai. Savo darbe nagrinėjome t</w:t>
      </w:r>
      <w:r>
        <w:rPr>
          <w:rFonts w:ascii="Times New Roman" w:hAnsi="Times New Roman" w:cs="Times New Roman"/>
          <w:sz w:val="24"/>
          <w:szCs w:val="24"/>
        </w:rPr>
        <w:t>ik viršutinių galūnių funkciją, kurią sudaro 9 testo užduotys</w:t>
      </w:r>
      <w:r w:rsidRPr="003434D4">
        <w:rPr>
          <w:rFonts w:ascii="Times New Roman" w:hAnsi="Times New Roman" w:cs="Times New Roman"/>
          <w:sz w:val="24"/>
          <w:szCs w:val="24"/>
        </w:rPr>
        <w:t xml:space="preserve">. </w:t>
      </w:r>
    </w:p>
    <w:p w:rsidR="007E2959" w:rsidRDefault="007E2959" w:rsidP="002F2793">
      <w:pPr>
        <w:spacing w:after="0" w:line="360" w:lineRule="auto"/>
        <w:ind w:firstLine="851"/>
        <w:contextualSpacing/>
        <w:jc w:val="both"/>
        <w:rPr>
          <w:rFonts w:ascii="Times New Roman" w:hAnsi="Times New Roman" w:cs="Times New Roman"/>
          <w:sz w:val="24"/>
          <w:szCs w:val="24"/>
        </w:rPr>
      </w:pPr>
    </w:p>
    <w:p w:rsidR="007E2959" w:rsidRDefault="00A630F7" w:rsidP="002F2793">
      <w:pPr>
        <w:spacing w:after="0" w:line="360" w:lineRule="auto"/>
        <w:contextualSpacing/>
        <w:jc w:val="both"/>
        <w:rPr>
          <w:rFonts w:ascii="Times New Roman" w:hAnsi="Times New Roman" w:cs="Times New Roman"/>
          <w:b/>
          <w:sz w:val="24"/>
          <w:szCs w:val="24"/>
        </w:rPr>
      </w:pPr>
      <w:r w:rsidRPr="00CE3D89">
        <w:rPr>
          <w:rFonts w:ascii="Times New Roman" w:hAnsi="Times New Roman" w:cs="Times New Roman"/>
          <w:b/>
          <w:sz w:val="24"/>
          <w:szCs w:val="24"/>
        </w:rPr>
        <w:t>Statistinės analinės metodai</w:t>
      </w:r>
    </w:p>
    <w:p w:rsidR="00A630F7" w:rsidRDefault="00A630F7" w:rsidP="002847B6">
      <w:pPr>
        <w:spacing w:after="0" w:line="360" w:lineRule="auto"/>
        <w:ind w:firstLine="851"/>
        <w:contextualSpacing/>
        <w:jc w:val="both"/>
        <w:rPr>
          <w:rFonts w:ascii="Times New Roman" w:eastAsia="Times New Roman" w:hAnsi="Times New Roman" w:cs="Times New Roman"/>
          <w:sz w:val="24"/>
          <w:szCs w:val="24"/>
        </w:rPr>
      </w:pPr>
      <w:r w:rsidRPr="00E005AA">
        <w:rPr>
          <w:rFonts w:ascii="Times New Roman" w:eastAsia="Times New Roman" w:hAnsi="Times New Roman" w:cs="Times New Roman"/>
          <w:sz w:val="24"/>
          <w:szCs w:val="24"/>
        </w:rPr>
        <w:t>Statistinė tyrimo duomenų analizė atlikta SPSS 17.0 programa ir Excel 2007 programa. Nagrinėjamų požymių pasiskirstymui pasirinktoje imtyje įvertinti taikyta aprašomoji duomenų statistika – abso</w:t>
      </w:r>
      <w:r>
        <w:rPr>
          <w:rFonts w:ascii="Times New Roman" w:eastAsia="Times New Roman" w:hAnsi="Times New Roman" w:cs="Times New Roman"/>
          <w:sz w:val="24"/>
          <w:szCs w:val="24"/>
        </w:rPr>
        <w:t>liutūs (n) ir procentiniai dažniai</w:t>
      </w:r>
      <w:r w:rsidRPr="00E005AA">
        <w:rPr>
          <w:rFonts w:ascii="Times New Roman" w:eastAsia="Times New Roman" w:hAnsi="Times New Roman" w:cs="Times New Roman"/>
          <w:sz w:val="24"/>
          <w:szCs w:val="24"/>
        </w:rPr>
        <w:t xml:space="preserve"> (proc.). Kiekybiniai duomenys pateikiami, kaip aritmetiniai vidurkiai (m) su standartiniu nuokrypiu (sn). Dviejų priklausomų imčių neparametrinių kintamųjų vidutinėms reikšmėm</w:t>
      </w:r>
      <w:r>
        <w:rPr>
          <w:rFonts w:ascii="Times New Roman" w:eastAsia="Times New Roman" w:hAnsi="Times New Roman" w:cs="Times New Roman"/>
          <w:sz w:val="24"/>
          <w:szCs w:val="24"/>
        </w:rPr>
        <w:t>s palyginti – Wilcoxon Z testas, d</w:t>
      </w:r>
      <w:r w:rsidRPr="00E005AA">
        <w:rPr>
          <w:rFonts w:ascii="Times New Roman" w:eastAsia="Times New Roman" w:hAnsi="Times New Roman" w:cs="Times New Roman"/>
          <w:sz w:val="24"/>
          <w:szCs w:val="24"/>
        </w:rPr>
        <w:t xml:space="preserve">viejų </w:t>
      </w:r>
      <w:r>
        <w:rPr>
          <w:rFonts w:ascii="Times New Roman" w:eastAsia="Times New Roman" w:hAnsi="Times New Roman" w:cs="Times New Roman"/>
          <w:sz w:val="24"/>
          <w:szCs w:val="24"/>
        </w:rPr>
        <w:t>ne</w:t>
      </w:r>
      <w:r w:rsidRPr="00E005AA">
        <w:rPr>
          <w:rFonts w:ascii="Times New Roman" w:eastAsia="Times New Roman" w:hAnsi="Times New Roman" w:cs="Times New Roman"/>
          <w:sz w:val="24"/>
          <w:szCs w:val="24"/>
        </w:rPr>
        <w:t>priklausomų imčių neparametrinių kintamųjų vidutinėms reikšmėm</w:t>
      </w:r>
      <w:r>
        <w:rPr>
          <w:rFonts w:ascii="Times New Roman" w:eastAsia="Times New Roman" w:hAnsi="Times New Roman" w:cs="Times New Roman"/>
          <w:sz w:val="24"/>
          <w:szCs w:val="24"/>
        </w:rPr>
        <w:t>s palyginti</w:t>
      </w:r>
      <w:r w:rsidRPr="00E005A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Mann-Witney U testas. </w:t>
      </w:r>
      <w:r w:rsidRPr="00E005AA">
        <w:rPr>
          <w:rFonts w:ascii="Times New Roman" w:eastAsia="Times New Roman" w:hAnsi="Times New Roman" w:cs="Times New Roman"/>
          <w:sz w:val="24"/>
          <w:szCs w:val="24"/>
        </w:rPr>
        <w:t xml:space="preserve">Požymių ryšio stiprumui vertinti skaičiuotas </w:t>
      </w:r>
      <w:r>
        <w:rPr>
          <w:rFonts w:ascii="Times New Roman" w:eastAsia="Times New Roman" w:hAnsi="Times New Roman" w:cs="Times New Roman"/>
          <w:sz w:val="24"/>
          <w:szCs w:val="24"/>
        </w:rPr>
        <w:t>Spearman</w:t>
      </w:r>
      <w:r w:rsidRPr="00E005AA">
        <w:rPr>
          <w:rFonts w:ascii="Times New Roman" w:eastAsia="Times New Roman" w:hAnsi="Times New Roman" w:cs="Times New Roman"/>
          <w:sz w:val="24"/>
          <w:szCs w:val="24"/>
        </w:rPr>
        <w:t xml:space="preserve"> koreliacijos koeficientas (r). Jei 0&lt;|r|≤0,3, dydžiai silpnai priklausomi, jei 0,3&lt;|r|≤0,8, vidutiniškai priklausomi, jei 0,8&lt;|r|≤1, stipriai priklausomi. Koreliacijos koeficientas bus teigiamas, kai vienam dydžiui didėjant, didės ir kitas, neigiamas – kai vienam dydžiui didėjant, kitas m</w:t>
      </w:r>
      <w:r>
        <w:rPr>
          <w:rFonts w:ascii="Times New Roman" w:eastAsia="Times New Roman" w:hAnsi="Times New Roman" w:cs="Times New Roman"/>
          <w:sz w:val="24"/>
          <w:szCs w:val="24"/>
        </w:rPr>
        <w:t>ažės. Kai reikšmingumo lygmuo p&lt;</w:t>
      </w:r>
      <w:r w:rsidRPr="00E005AA">
        <w:rPr>
          <w:rFonts w:ascii="Times New Roman" w:eastAsia="Times New Roman" w:hAnsi="Times New Roman" w:cs="Times New Roman"/>
          <w:sz w:val="24"/>
          <w:szCs w:val="24"/>
        </w:rPr>
        <w:t>0,05, požymių skirtumas tiriamųjų grupėse laikytas statistiškai reikšmingu.</w:t>
      </w:r>
      <w:r>
        <w:rPr>
          <w:rFonts w:ascii="Times New Roman" w:eastAsia="Times New Roman" w:hAnsi="Times New Roman" w:cs="Times New Roman"/>
          <w:sz w:val="24"/>
          <w:szCs w:val="24"/>
        </w:rPr>
        <w:t xml:space="preserve"> Rezultatai pateikti diagramose ir lentelėse.</w:t>
      </w:r>
    </w:p>
    <w:p w:rsidR="00A630F7" w:rsidRDefault="00A630F7" w:rsidP="002F2793">
      <w:pPr>
        <w:spacing w:after="0" w:line="360" w:lineRule="auto"/>
        <w:contextualSpacing/>
        <w:jc w:val="both"/>
        <w:rPr>
          <w:rFonts w:ascii="Times New Roman" w:hAnsi="Times New Roman" w:cs="Times New Roman"/>
          <w:b/>
          <w:sz w:val="28"/>
          <w:szCs w:val="28"/>
        </w:rPr>
      </w:pPr>
    </w:p>
    <w:p w:rsidR="00A630F7" w:rsidRDefault="00A630F7" w:rsidP="002F2793">
      <w:pPr>
        <w:spacing w:after="0" w:line="360" w:lineRule="auto"/>
        <w:contextualSpacing/>
        <w:jc w:val="both"/>
        <w:rPr>
          <w:rFonts w:ascii="Times New Roman" w:hAnsi="Times New Roman" w:cs="Times New Roman"/>
          <w:b/>
          <w:sz w:val="28"/>
          <w:szCs w:val="28"/>
        </w:rPr>
      </w:pPr>
      <w:r>
        <w:rPr>
          <w:rFonts w:ascii="Times New Roman" w:hAnsi="Times New Roman" w:cs="Times New Roman"/>
          <w:b/>
          <w:sz w:val="28"/>
          <w:szCs w:val="28"/>
        </w:rPr>
        <w:br w:type="page"/>
      </w:r>
    </w:p>
    <w:p w:rsidR="007D5A1A" w:rsidRDefault="00BD7B74" w:rsidP="002F2793">
      <w:pPr>
        <w:pStyle w:val="Antrat2"/>
        <w:rPr>
          <w:rFonts w:ascii="Times New Roman" w:hAnsi="Times New Roman" w:cs="Times New Roman"/>
          <w:color w:val="auto"/>
          <w:sz w:val="28"/>
          <w:szCs w:val="28"/>
        </w:rPr>
      </w:pPr>
      <w:bookmarkStart w:id="33" w:name="_Toc388560348"/>
      <w:r w:rsidRPr="007E2959">
        <w:rPr>
          <w:rFonts w:ascii="Times New Roman" w:hAnsi="Times New Roman" w:cs="Times New Roman"/>
          <w:color w:val="auto"/>
          <w:sz w:val="28"/>
          <w:szCs w:val="28"/>
        </w:rPr>
        <w:lastRenderedPageBreak/>
        <w:t>2.1</w:t>
      </w:r>
      <w:r w:rsidR="000D0847" w:rsidRPr="007E2959">
        <w:rPr>
          <w:rFonts w:ascii="Times New Roman" w:hAnsi="Times New Roman" w:cs="Times New Roman"/>
          <w:color w:val="auto"/>
          <w:sz w:val="28"/>
          <w:szCs w:val="28"/>
        </w:rPr>
        <w:t>. Tyrimo dalyvių s</w:t>
      </w:r>
      <w:r w:rsidR="00264064" w:rsidRPr="007E2959">
        <w:rPr>
          <w:rFonts w:ascii="Times New Roman" w:hAnsi="Times New Roman" w:cs="Times New Roman"/>
          <w:color w:val="auto"/>
          <w:sz w:val="28"/>
          <w:szCs w:val="28"/>
        </w:rPr>
        <w:t>ociodemografinės charakteristikos</w:t>
      </w:r>
      <w:bookmarkEnd w:id="33"/>
    </w:p>
    <w:p w:rsidR="007E2959" w:rsidRPr="007E2959" w:rsidRDefault="007E2959" w:rsidP="002F2793"/>
    <w:p w:rsidR="000D0847" w:rsidRDefault="00830A77"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T</w:t>
      </w:r>
      <w:r w:rsidR="000D0847">
        <w:rPr>
          <w:rFonts w:ascii="Times New Roman" w:hAnsi="Times New Roman" w:cs="Times New Roman"/>
          <w:sz w:val="24"/>
          <w:szCs w:val="24"/>
        </w:rPr>
        <w:t>yrime da</w:t>
      </w:r>
      <w:r w:rsidR="0059132C">
        <w:rPr>
          <w:rFonts w:ascii="Times New Roman" w:hAnsi="Times New Roman" w:cs="Times New Roman"/>
          <w:sz w:val="24"/>
          <w:szCs w:val="24"/>
        </w:rPr>
        <w:t>lyvavo 32 asmenys, patyrę tolimojo stipinkaulio galo lūžį.</w:t>
      </w:r>
      <w:r w:rsidR="000D0847">
        <w:rPr>
          <w:rFonts w:ascii="Times New Roman" w:hAnsi="Times New Roman" w:cs="Times New Roman"/>
          <w:sz w:val="24"/>
          <w:szCs w:val="24"/>
        </w:rPr>
        <w:t xml:space="preserve"> Jie buvo suskirstyti į tiriamąją grupę (n=16), kuriai kartu su </w:t>
      </w:r>
      <w:r w:rsidR="0059132C">
        <w:rPr>
          <w:rFonts w:ascii="Times New Roman" w:hAnsi="Times New Roman" w:cs="Times New Roman"/>
          <w:sz w:val="24"/>
          <w:szCs w:val="24"/>
        </w:rPr>
        <w:t xml:space="preserve">ergoterapija ir kitomis </w:t>
      </w:r>
      <w:r w:rsidR="000D0847">
        <w:rPr>
          <w:rFonts w:ascii="Times New Roman" w:hAnsi="Times New Roman" w:cs="Times New Roman"/>
          <w:sz w:val="24"/>
          <w:szCs w:val="24"/>
        </w:rPr>
        <w:t>paskirtomis reabilitacijos procedūromis buvo taikytas teipavimas, ir kontrolinę grupę (n=16), kuriai teipavimas netaikytas. Abiejose grupėse buvo po 12,5 proc. (n=2) vyrų ir 87,5 proc. (n=14) moterų. Tiriamojoje grupėje beveik pusė pacientų turėjo vidurinį išsilavinimą (43,8 proc., n=7), kontrolinėje grupėje daugiau kaip pusė pacientų buvo įgiję aukštąjį išsilavinimą (56,3 proc., n=9)(1 lentelė).</w:t>
      </w:r>
    </w:p>
    <w:p w:rsidR="007E2959" w:rsidRDefault="007E2959" w:rsidP="002F2793">
      <w:pPr>
        <w:spacing w:after="0" w:line="360" w:lineRule="auto"/>
        <w:ind w:firstLine="1296"/>
        <w:contextualSpacing/>
        <w:jc w:val="both"/>
        <w:rPr>
          <w:rFonts w:ascii="Times New Roman" w:hAnsi="Times New Roman" w:cs="Times New Roman"/>
          <w:sz w:val="24"/>
          <w:szCs w:val="24"/>
        </w:rPr>
      </w:pPr>
    </w:p>
    <w:p w:rsidR="00321377" w:rsidRPr="00321377" w:rsidRDefault="00321377" w:rsidP="002F2793">
      <w:pPr>
        <w:spacing w:after="0" w:line="360" w:lineRule="auto"/>
        <w:contextualSpacing/>
        <w:jc w:val="center"/>
        <w:rPr>
          <w:rFonts w:ascii="Times New Roman" w:hAnsi="Times New Roman" w:cs="Times New Roman"/>
          <w:b/>
          <w:i/>
          <w:sz w:val="24"/>
          <w:szCs w:val="24"/>
        </w:rPr>
      </w:pPr>
      <w:r w:rsidRPr="00321377">
        <w:rPr>
          <w:rFonts w:ascii="Times New Roman" w:hAnsi="Times New Roman" w:cs="Times New Roman"/>
          <w:b/>
          <w:i/>
          <w:sz w:val="24"/>
          <w:szCs w:val="24"/>
        </w:rPr>
        <w:t>1 lentelė. Tyrimo dalyvių sociodemografinės charakteristikos</w:t>
      </w:r>
    </w:p>
    <w:tbl>
      <w:tblPr>
        <w:tblStyle w:val="Lentelstinklelis"/>
        <w:tblW w:w="0" w:type="auto"/>
        <w:tblLook w:val="04A0" w:firstRow="1" w:lastRow="0" w:firstColumn="1" w:lastColumn="0" w:noHBand="0" w:noVBand="1"/>
      </w:tblPr>
      <w:tblGrid>
        <w:gridCol w:w="3284"/>
        <w:gridCol w:w="3285"/>
        <w:gridCol w:w="3285"/>
      </w:tblGrid>
      <w:tr w:rsidR="00264064" w:rsidTr="00273953">
        <w:tc>
          <w:tcPr>
            <w:tcW w:w="3284" w:type="dxa"/>
            <w:tcBorders>
              <w:left w:val="nil"/>
              <w:right w:val="nil"/>
            </w:tcBorders>
            <w:shd w:val="clear" w:color="auto" w:fill="E6E6E6" w:themeFill="background1" w:themeFillShade="E6"/>
          </w:tcPr>
          <w:p w:rsidR="00264064" w:rsidRPr="007328FD" w:rsidRDefault="00264064" w:rsidP="002F2793">
            <w:pPr>
              <w:spacing w:line="360" w:lineRule="auto"/>
              <w:contextualSpacing/>
              <w:jc w:val="both"/>
              <w:rPr>
                <w:rFonts w:ascii="Times New Roman" w:hAnsi="Times New Roman" w:cs="Times New Roman"/>
                <w:b/>
                <w:sz w:val="24"/>
                <w:szCs w:val="24"/>
              </w:rPr>
            </w:pPr>
            <w:r w:rsidRPr="007328FD">
              <w:rPr>
                <w:rFonts w:ascii="Times New Roman" w:hAnsi="Times New Roman" w:cs="Times New Roman"/>
                <w:b/>
                <w:sz w:val="24"/>
                <w:szCs w:val="24"/>
              </w:rPr>
              <w:t>Parametras (n / proc.)</w:t>
            </w:r>
          </w:p>
        </w:tc>
        <w:tc>
          <w:tcPr>
            <w:tcW w:w="3285" w:type="dxa"/>
            <w:tcBorders>
              <w:left w:val="nil"/>
              <w:right w:val="nil"/>
            </w:tcBorders>
            <w:shd w:val="clear" w:color="auto" w:fill="E6E6E6" w:themeFill="background1" w:themeFillShade="E6"/>
          </w:tcPr>
          <w:p w:rsidR="00264064" w:rsidRPr="007328FD" w:rsidRDefault="00264064" w:rsidP="002F2793">
            <w:pPr>
              <w:spacing w:line="360" w:lineRule="auto"/>
              <w:contextualSpacing/>
              <w:jc w:val="both"/>
              <w:rPr>
                <w:rFonts w:ascii="Times New Roman" w:hAnsi="Times New Roman" w:cs="Times New Roman"/>
                <w:b/>
                <w:sz w:val="24"/>
                <w:szCs w:val="24"/>
              </w:rPr>
            </w:pPr>
            <w:r w:rsidRPr="007328FD">
              <w:rPr>
                <w:rFonts w:ascii="Times New Roman" w:hAnsi="Times New Roman" w:cs="Times New Roman"/>
                <w:b/>
                <w:sz w:val="24"/>
                <w:szCs w:val="24"/>
              </w:rPr>
              <w:t>Tiriamoji grupė (n=16)</w:t>
            </w:r>
          </w:p>
        </w:tc>
        <w:tc>
          <w:tcPr>
            <w:tcW w:w="3285" w:type="dxa"/>
            <w:tcBorders>
              <w:left w:val="nil"/>
              <w:right w:val="nil"/>
            </w:tcBorders>
            <w:shd w:val="clear" w:color="auto" w:fill="E6E6E6" w:themeFill="background1" w:themeFillShade="E6"/>
          </w:tcPr>
          <w:p w:rsidR="00264064" w:rsidRPr="007328FD" w:rsidRDefault="00264064" w:rsidP="002F2793">
            <w:pPr>
              <w:spacing w:line="360" w:lineRule="auto"/>
              <w:contextualSpacing/>
              <w:jc w:val="both"/>
              <w:rPr>
                <w:rFonts w:ascii="Times New Roman" w:hAnsi="Times New Roman" w:cs="Times New Roman"/>
                <w:b/>
                <w:sz w:val="24"/>
                <w:szCs w:val="24"/>
              </w:rPr>
            </w:pPr>
            <w:r w:rsidRPr="007328FD">
              <w:rPr>
                <w:rFonts w:ascii="Times New Roman" w:hAnsi="Times New Roman" w:cs="Times New Roman"/>
                <w:b/>
                <w:sz w:val="24"/>
                <w:szCs w:val="24"/>
              </w:rPr>
              <w:t>Kontrolinė grupė (n=16)</w:t>
            </w:r>
          </w:p>
        </w:tc>
      </w:tr>
      <w:tr w:rsidR="00264064" w:rsidTr="00273953">
        <w:tc>
          <w:tcPr>
            <w:tcW w:w="3284" w:type="dxa"/>
            <w:tcBorders>
              <w:left w:val="nil"/>
              <w:bottom w:val="nil"/>
              <w:right w:val="nil"/>
            </w:tcBorders>
          </w:tcPr>
          <w:p w:rsidR="00264064" w:rsidRPr="00273953" w:rsidRDefault="00264064" w:rsidP="002F2793">
            <w:pPr>
              <w:spacing w:line="360" w:lineRule="auto"/>
              <w:contextualSpacing/>
              <w:jc w:val="both"/>
              <w:rPr>
                <w:rFonts w:ascii="Times New Roman" w:hAnsi="Times New Roman" w:cs="Times New Roman"/>
                <w:b/>
                <w:i/>
                <w:sz w:val="24"/>
                <w:szCs w:val="24"/>
              </w:rPr>
            </w:pPr>
            <w:r w:rsidRPr="00273953">
              <w:rPr>
                <w:rFonts w:ascii="Times New Roman" w:hAnsi="Times New Roman" w:cs="Times New Roman"/>
                <w:b/>
                <w:i/>
                <w:sz w:val="24"/>
                <w:szCs w:val="24"/>
              </w:rPr>
              <w:t xml:space="preserve">Lytis </w:t>
            </w:r>
          </w:p>
        </w:tc>
        <w:tc>
          <w:tcPr>
            <w:tcW w:w="3285" w:type="dxa"/>
            <w:tcBorders>
              <w:left w:val="nil"/>
              <w:bottom w:val="nil"/>
              <w:right w:val="nil"/>
            </w:tcBorders>
          </w:tcPr>
          <w:p w:rsidR="00264064" w:rsidRDefault="00264064" w:rsidP="002F2793">
            <w:pPr>
              <w:spacing w:line="360" w:lineRule="auto"/>
              <w:contextualSpacing/>
              <w:jc w:val="both"/>
              <w:rPr>
                <w:rFonts w:ascii="Times New Roman" w:hAnsi="Times New Roman" w:cs="Times New Roman"/>
                <w:sz w:val="24"/>
                <w:szCs w:val="24"/>
              </w:rPr>
            </w:pPr>
          </w:p>
        </w:tc>
        <w:tc>
          <w:tcPr>
            <w:tcW w:w="3285" w:type="dxa"/>
            <w:tcBorders>
              <w:left w:val="nil"/>
              <w:bottom w:val="nil"/>
              <w:right w:val="nil"/>
            </w:tcBorders>
          </w:tcPr>
          <w:p w:rsidR="00264064" w:rsidRDefault="00264064" w:rsidP="002F2793">
            <w:pPr>
              <w:spacing w:line="360" w:lineRule="auto"/>
              <w:contextualSpacing/>
              <w:jc w:val="both"/>
              <w:rPr>
                <w:rFonts w:ascii="Times New Roman" w:hAnsi="Times New Roman" w:cs="Times New Roman"/>
                <w:sz w:val="24"/>
                <w:szCs w:val="24"/>
              </w:rPr>
            </w:pPr>
          </w:p>
        </w:tc>
      </w:tr>
      <w:tr w:rsidR="00264064" w:rsidTr="00273953">
        <w:tc>
          <w:tcPr>
            <w:tcW w:w="3284" w:type="dxa"/>
            <w:tcBorders>
              <w:top w:val="nil"/>
              <w:left w:val="nil"/>
              <w:right w:val="nil"/>
            </w:tcBorders>
          </w:tcPr>
          <w:p w:rsidR="00264064" w:rsidRDefault="00264064"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Vyrai </w:t>
            </w:r>
          </w:p>
        </w:tc>
        <w:tc>
          <w:tcPr>
            <w:tcW w:w="3285" w:type="dxa"/>
            <w:tcBorders>
              <w:top w:val="nil"/>
              <w:left w:val="nil"/>
              <w:right w:val="nil"/>
            </w:tcBorders>
          </w:tcPr>
          <w:p w:rsidR="00264064" w:rsidRDefault="00264064"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 / 12,5</w:t>
            </w:r>
          </w:p>
        </w:tc>
        <w:tc>
          <w:tcPr>
            <w:tcW w:w="3285" w:type="dxa"/>
            <w:tcBorders>
              <w:top w:val="nil"/>
              <w:left w:val="nil"/>
              <w:right w:val="nil"/>
            </w:tcBorders>
          </w:tcPr>
          <w:p w:rsidR="00264064" w:rsidRDefault="00264064"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 / 12,5</w:t>
            </w:r>
          </w:p>
        </w:tc>
      </w:tr>
      <w:tr w:rsidR="00264064" w:rsidTr="00273953">
        <w:tc>
          <w:tcPr>
            <w:tcW w:w="3284" w:type="dxa"/>
            <w:tcBorders>
              <w:left w:val="nil"/>
              <w:right w:val="nil"/>
            </w:tcBorders>
          </w:tcPr>
          <w:p w:rsidR="00264064" w:rsidRDefault="00264064"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Moterys </w:t>
            </w:r>
          </w:p>
        </w:tc>
        <w:tc>
          <w:tcPr>
            <w:tcW w:w="3285" w:type="dxa"/>
            <w:tcBorders>
              <w:left w:val="nil"/>
              <w:right w:val="nil"/>
            </w:tcBorders>
          </w:tcPr>
          <w:p w:rsidR="00264064" w:rsidRDefault="00264064"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14 / 87,5</w:t>
            </w:r>
          </w:p>
        </w:tc>
        <w:tc>
          <w:tcPr>
            <w:tcW w:w="3285" w:type="dxa"/>
            <w:tcBorders>
              <w:left w:val="nil"/>
              <w:right w:val="nil"/>
            </w:tcBorders>
          </w:tcPr>
          <w:p w:rsidR="00264064" w:rsidRDefault="00264064"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14 / 87,5</w:t>
            </w:r>
          </w:p>
        </w:tc>
      </w:tr>
      <w:tr w:rsidR="00264064" w:rsidTr="00273953">
        <w:tc>
          <w:tcPr>
            <w:tcW w:w="3284" w:type="dxa"/>
            <w:tcBorders>
              <w:left w:val="nil"/>
              <w:bottom w:val="nil"/>
              <w:right w:val="nil"/>
            </w:tcBorders>
          </w:tcPr>
          <w:p w:rsidR="00264064" w:rsidRPr="00273953" w:rsidRDefault="00264064" w:rsidP="002F2793">
            <w:pPr>
              <w:spacing w:line="360" w:lineRule="auto"/>
              <w:contextualSpacing/>
              <w:jc w:val="both"/>
              <w:rPr>
                <w:rFonts w:ascii="Times New Roman" w:hAnsi="Times New Roman" w:cs="Times New Roman"/>
                <w:b/>
                <w:i/>
                <w:sz w:val="24"/>
                <w:szCs w:val="24"/>
              </w:rPr>
            </w:pPr>
            <w:r w:rsidRPr="00273953">
              <w:rPr>
                <w:rFonts w:ascii="Times New Roman" w:hAnsi="Times New Roman" w:cs="Times New Roman"/>
                <w:b/>
                <w:i/>
                <w:sz w:val="24"/>
                <w:szCs w:val="24"/>
              </w:rPr>
              <w:t xml:space="preserve">Išsilavinimas </w:t>
            </w:r>
          </w:p>
        </w:tc>
        <w:tc>
          <w:tcPr>
            <w:tcW w:w="3285" w:type="dxa"/>
            <w:tcBorders>
              <w:left w:val="nil"/>
              <w:bottom w:val="nil"/>
              <w:right w:val="nil"/>
            </w:tcBorders>
          </w:tcPr>
          <w:p w:rsidR="00264064" w:rsidRDefault="00264064" w:rsidP="002F2793">
            <w:pPr>
              <w:spacing w:line="360" w:lineRule="auto"/>
              <w:contextualSpacing/>
              <w:jc w:val="both"/>
              <w:rPr>
                <w:rFonts w:ascii="Times New Roman" w:hAnsi="Times New Roman" w:cs="Times New Roman"/>
                <w:sz w:val="24"/>
                <w:szCs w:val="24"/>
              </w:rPr>
            </w:pPr>
          </w:p>
        </w:tc>
        <w:tc>
          <w:tcPr>
            <w:tcW w:w="3285" w:type="dxa"/>
            <w:tcBorders>
              <w:left w:val="nil"/>
              <w:bottom w:val="nil"/>
              <w:right w:val="nil"/>
            </w:tcBorders>
          </w:tcPr>
          <w:p w:rsidR="00264064" w:rsidRDefault="00264064" w:rsidP="002F2793">
            <w:pPr>
              <w:spacing w:line="360" w:lineRule="auto"/>
              <w:contextualSpacing/>
              <w:jc w:val="both"/>
              <w:rPr>
                <w:rFonts w:ascii="Times New Roman" w:hAnsi="Times New Roman" w:cs="Times New Roman"/>
                <w:sz w:val="24"/>
                <w:szCs w:val="24"/>
              </w:rPr>
            </w:pPr>
          </w:p>
        </w:tc>
      </w:tr>
      <w:tr w:rsidR="00264064" w:rsidTr="00273953">
        <w:tc>
          <w:tcPr>
            <w:tcW w:w="3284" w:type="dxa"/>
            <w:tcBorders>
              <w:top w:val="nil"/>
              <w:left w:val="nil"/>
              <w:right w:val="nil"/>
            </w:tcBorders>
          </w:tcPr>
          <w:p w:rsidR="00264064" w:rsidRDefault="00264064"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Vidurinis </w:t>
            </w:r>
          </w:p>
        </w:tc>
        <w:tc>
          <w:tcPr>
            <w:tcW w:w="3285" w:type="dxa"/>
            <w:tcBorders>
              <w:top w:val="nil"/>
              <w:left w:val="nil"/>
              <w:right w:val="nil"/>
            </w:tcBorders>
          </w:tcPr>
          <w:p w:rsidR="00264064" w:rsidRDefault="00264064"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7 / 43,8</w:t>
            </w:r>
          </w:p>
        </w:tc>
        <w:tc>
          <w:tcPr>
            <w:tcW w:w="3285" w:type="dxa"/>
            <w:tcBorders>
              <w:top w:val="nil"/>
              <w:left w:val="nil"/>
              <w:right w:val="nil"/>
            </w:tcBorders>
          </w:tcPr>
          <w:p w:rsidR="00264064" w:rsidRDefault="00264064"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5 / 31,3</w:t>
            </w:r>
          </w:p>
        </w:tc>
      </w:tr>
      <w:tr w:rsidR="00264064" w:rsidTr="00273953">
        <w:tc>
          <w:tcPr>
            <w:tcW w:w="3284" w:type="dxa"/>
            <w:tcBorders>
              <w:left w:val="nil"/>
              <w:right w:val="nil"/>
            </w:tcBorders>
          </w:tcPr>
          <w:p w:rsidR="00264064" w:rsidRDefault="00264064"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Aukštesnysis </w:t>
            </w:r>
          </w:p>
        </w:tc>
        <w:tc>
          <w:tcPr>
            <w:tcW w:w="3285" w:type="dxa"/>
            <w:tcBorders>
              <w:left w:val="nil"/>
              <w:right w:val="nil"/>
            </w:tcBorders>
          </w:tcPr>
          <w:p w:rsidR="00264064" w:rsidRDefault="00264064"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4 / 25,0</w:t>
            </w:r>
          </w:p>
        </w:tc>
        <w:tc>
          <w:tcPr>
            <w:tcW w:w="3285" w:type="dxa"/>
            <w:tcBorders>
              <w:left w:val="nil"/>
              <w:right w:val="nil"/>
            </w:tcBorders>
          </w:tcPr>
          <w:p w:rsidR="00264064" w:rsidRDefault="00264064"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 / 12,5</w:t>
            </w:r>
          </w:p>
        </w:tc>
      </w:tr>
      <w:tr w:rsidR="00264064" w:rsidTr="00273953">
        <w:tc>
          <w:tcPr>
            <w:tcW w:w="3284" w:type="dxa"/>
            <w:tcBorders>
              <w:left w:val="nil"/>
              <w:right w:val="nil"/>
            </w:tcBorders>
          </w:tcPr>
          <w:p w:rsidR="00264064" w:rsidRDefault="00264064"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Aukštasis </w:t>
            </w:r>
          </w:p>
        </w:tc>
        <w:tc>
          <w:tcPr>
            <w:tcW w:w="3285" w:type="dxa"/>
            <w:tcBorders>
              <w:left w:val="nil"/>
              <w:right w:val="nil"/>
            </w:tcBorders>
          </w:tcPr>
          <w:p w:rsidR="00264064" w:rsidRDefault="00264064"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5 / 31,3</w:t>
            </w:r>
          </w:p>
        </w:tc>
        <w:tc>
          <w:tcPr>
            <w:tcW w:w="3285" w:type="dxa"/>
            <w:tcBorders>
              <w:left w:val="nil"/>
              <w:right w:val="nil"/>
            </w:tcBorders>
          </w:tcPr>
          <w:p w:rsidR="00264064" w:rsidRDefault="00264064"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9 / 56,3</w:t>
            </w:r>
          </w:p>
        </w:tc>
      </w:tr>
    </w:tbl>
    <w:p w:rsidR="00264064" w:rsidRDefault="00264064" w:rsidP="002F2793">
      <w:pPr>
        <w:spacing w:after="0" w:line="360" w:lineRule="auto"/>
        <w:contextualSpacing/>
        <w:jc w:val="both"/>
        <w:rPr>
          <w:rFonts w:ascii="Times New Roman" w:hAnsi="Times New Roman" w:cs="Times New Roman"/>
          <w:sz w:val="24"/>
          <w:szCs w:val="24"/>
        </w:rPr>
      </w:pPr>
    </w:p>
    <w:p w:rsidR="007E2959" w:rsidRDefault="00321377" w:rsidP="002847B6">
      <w:pPr>
        <w:spacing w:after="0" w:line="360" w:lineRule="auto"/>
        <w:ind w:firstLine="851"/>
        <w:contextualSpacing/>
        <w:jc w:val="both"/>
        <w:rPr>
          <w:rFonts w:ascii="Times New Roman" w:hAnsi="Times New Roman" w:cs="Times New Roman"/>
          <w:b/>
          <w:i/>
          <w:sz w:val="24"/>
          <w:szCs w:val="24"/>
        </w:rPr>
      </w:pPr>
      <w:r>
        <w:rPr>
          <w:rFonts w:ascii="Times New Roman" w:hAnsi="Times New Roman" w:cs="Times New Roman"/>
          <w:sz w:val="24"/>
          <w:szCs w:val="24"/>
        </w:rPr>
        <w:t>Tiriamosios grupės pacientų vidutinis amžius buvo 52,13±11,7 metų, kontrolinės grupės pacientai buvo vidutiniškai 56,44±12,9 metų. Amžiaus skirtumas grupėse statitiškai reikšmingai nesiskyrė (p&gt;0,05)(1 pav.)</w:t>
      </w:r>
      <w:r w:rsidR="007E2959" w:rsidRPr="007E2959">
        <w:rPr>
          <w:rFonts w:ascii="Times New Roman" w:hAnsi="Times New Roman" w:cs="Times New Roman"/>
          <w:b/>
          <w:i/>
          <w:sz w:val="24"/>
          <w:szCs w:val="24"/>
        </w:rPr>
        <w:t xml:space="preserve"> </w:t>
      </w:r>
    </w:p>
    <w:p w:rsidR="00321377" w:rsidRPr="007E2959" w:rsidRDefault="007E2959" w:rsidP="002F2793">
      <w:pPr>
        <w:spacing w:after="0" w:line="360" w:lineRule="auto"/>
        <w:contextualSpacing/>
        <w:jc w:val="center"/>
        <w:rPr>
          <w:rFonts w:ascii="Times New Roman" w:hAnsi="Times New Roman" w:cs="Times New Roman"/>
          <w:b/>
          <w:i/>
          <w:sz w:val="24"/>
          <w:szCs w:val="24"/>
        </w:rPr>
      </w:pPr>
      <w:r w:rsidRPr="00273953">
        <w:rPr>
          <w:rFonts w:ascii="Times New Roman" w:hAnsi="Times New Roman" w:cs="Times New Roman"/>
          <w:b/>
          <w:i/>
          <w:sz w:val="24"/>
          <w:szCs w:val="24"/>
        </w:rPr>
        <w:t>1 pav. Tyrimo dalyvių vidutinis amžius</w:t>
      </w:r>
    </w:p>
    <w:p w:rsidR="00264064" w:rsidRDefault="007328FD" w:rsidP="002F2793">
      <w:pPr>
        <w:spacing w:after="0" w:line="360" w:lineRule="auto"/>
        <w:contextualSpacing/>
        <w:jc w:val="center"/>
        <w:rPr>
          <w:rFonts w:ascii="Times New Roman" w:hAnsi="Times New Roman" w:cs="Times New Roman"/>
          <w:sz w:val="24"/>
          <w:szCs w:val="24"/>
        </w:rPr>
      </w:pPr>
      <w:r>
        <w:rPr>
          <w:noProof/>
          <w:lang w:eastAsia="lt-LT"/>
        </w:rPr>
        <w:drawing>
          <wp:inline distT="0" distB="0" distL="0" distR="0" wp14:anchorId="603A7428" wp14:editId="3D871B8A">
            <wp:extent cx="4572000" cy="2784144"/>
            <wp:effectExtent l="0" t="0" r="19050" b="16510"/>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328FD" w:rsidRDefault="007328FD" w:rsidP="002F2793">
      <w:pPr>
        <w:spacing w:after="0" w:line="360" w:lineRule="auto"/>
        <w:contextualSpacing/>
        <w:jc w:val="center"/>
        <w:rPr>
          <w:rFonts w:ascii="Times New Roman" w:hAnsi="Times New Roman" w:cs="Times New Roman"/>
          <w:sz w:val="24"/>
          <w:szCs w:val="24"/>
        </w:rPr>
      </w:pPr>
      <w:r>
        <w:rPr>
          <w:rFonts w:ascii="Times New Roman" w:hAnsi="Times New Roman" w:cs="Times New Roman"/>
          <w:sz w:val="24"/>
          <w:szCs w:val="24"/>
        </w:rPr>
        <w:t>p</w:t>
      </w:r>
      <w:r w:rsidR="0026360A">
        <w:rPr>
          <w:rFonts w:ascii="Times New Roman" w:hAnsi="Times New Roman" w:cs="Times New Roman"/>
          <w:sz w:val="24"/>
          <w:szCs w:val="24"/>
        </w:rPr>
        <w:t>&gt;0,05</w:t>
      </w:r>
    </w:p>
    <w:p w:rsidR="00273953" w:rsidRDefault="00FA3471"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lastRenderedPageBreak/>
        <w:t>Tiriamojoje grupėje patyrusių rankos stipinkaulio lūžį buvo 5 (31</w:t>
      </w:r>
      <w:r w:rsidRPr="003E5367">
        <w:rPr>
          <w:rFonts w:ascii="Times New Roman" w:hAnsi="Times New Roman" w:cs="Times New Roman"/>
          <w:sz w:val="24"/>
          <w:szCs w:val="24"/>
        </w:rPr>
        <w:t>%) pacientai</w:t>
      </w:r>
      <w:r>
        <w:rPr>
          <w:rFonts w:ascii="Times New Roman" w:hAnsi="Times New Roman" w:cs="Times New Roman"/>
          <w:sz w:val="24"/>
          <w:szCs w:val="24"/>
        </w:rPr>
        <w:t xml:space="preserve"> iki 44 metų, 5 (31</w:t>
      </w:r>
      <w:r w:rsidRPr="003E5367">
        <w:rPr>
          <w:rFonts w:ascii="Times New Roman" w:hAnsi="Times New Roman" w:cs="Times New Roman"/>
          <w:sz w:val="24"/>
          <w:szCs w:val="24"/>
        </w:rPr>
        <w:t xml:space="preserve">%) pacientai nuo 45 iki 59 metų, 6 </w:t>
      </w:r>
      <w:r>
        <w:rPr>
          <w:rFonts w:ascii="Times New Roman" w:hAnsi="Times New Roman" w:cs="Times New Roman"/>
          <w:sz w:val="24"/>
          <w:szCs w:val="24"/>
        </w:rPr>
        <w:t>(38</w:t>
      </w:r>
      <w:r w:rsidRPr="003E5367">
        <w:rPr>
          <w:rFonts w:ascii="Times New Roman" w:hAnsi="Times New Roman" w:cs="Times New Roman"/>
          <w:sz w:val="24"/>
          <w:szCs w:val="24"/>
        </w:rPr>
        <w:t xml:space="preserve">%) pacientai nuo 64 – 74 metų ir nebuvo nė vieno paciento </w:t>
      </w:r>
      <w:r>
        <w:rPr>
          <w:rFonts w:ascii="Times New Roman" w:hAnsi="Times New Roman" w:cs="Times New Roman"/>
          <w:sz w:val="24"/>
          <w:szCs w:val="24"/>
        </w:rPr>
        <w:t>(0</w:t>
      </w:r>
      <w:r w:rsidRPr="003E5367">
        <w:rPr>
          <w:rFonts w:ascii="Times New Roman" w:hAnsi="Times New Roman" w:cs="Times New Roman"/>
          <w:sz w:val="24"/>
          <w:szCs w:val="24"/>
        </w:rPr>
        <w:t>%) virš 75 metų (2 pav.)</w:t>
      </w:r>
      <w:r w:rsidR="00B32DA7">
        <w:rPr>
          <w:rFonts w:ascii="Times New Roman" w:hAnsi="Times New Roman" w:cs="Times New Roman"/>
          <w:sz w:val="24"/>
          <w:szCs w:val="24"/>
        </w:rPr>
        <w:t>.</w:t>
      </w:r>
    </w:p>
    <w:p w:rsidR="007E2959" w:rsidRDefault="007E2959" w:rsidP="002F2793">
      <w:pPr>
        <w:spacing w:after="0" w:line="360" w:lineRule="auto"/>
        <w:ind w:firstLine="1296"/>
        <w:contextualSpacing/>
        <w:jc w:val="both"/>
        <w:rPr>
          <w:rFonts w:ascii="Times New Roman" w:hAnsi="Times New Roman" w:cs="Times New Roman"/>
          <w:sz w:val="24"/>
          <w:szCs w:val="24"/>
        </w:rPr>
      </w:pPr>
    </w:p>
    <w:p w:rsidR="00FA3471" w:rsidRDefault="00FA3471" w:rsidP="002F2793">
      <w:pPr>
        <w:spacing w:after="0" w:line="360" w:lineRule="auto"/>
        <w:ind w:firstLine="1296"/>
        <w:contextualSpacing/>
        <w:jc w:val="center"/>
        <w:rPr>
          <w:rFonts w:ascii="Times New Roman" w:hAnsi="Times New Roman" w:cs="Times New Roman"/>
          <w:sz w:val="24"/>
          <w:szCs w:val="24"/>
        </w:rPr>
      </w:pPr>
      <w:r w:rsidRPr="003A535F">
        <w:rPr>
          <w:rFonts w:ascii="Times New Roman" w:hAnsi="Times New Roman" w:cs="Times New Roman"/>
          <w:noProof/>
          <w:sz w:val="24"/>
          <w:szCs w:val="24"/>
          <w:lang w:eastAsia="lt-LT"/>
        </w:rPr>
        <w:drawing>
          <wp:inline distT="0" distB="0" distL="0" distR="0" wp14:anchorId="03386463" wp14:editId="256FE8FB">
            <wp:extent cx="5286375" cy="2990850"/>
            <wp:effectExtent l="19050" t="0" r="9525" b="0"/>
            <wp:docPr id="16"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A3471" w:rsidRDefault="00FA3471" w:rsidP="002F2793">
      <w:pPr>
        <w:spacing w:after="0" w:line="360" w:lineRule="auto"/>
        <w:ind w:firstLine="1296"/>
        <w:contextualSpacing/>
        <w:jc w:val="center"/>
        <w:rPr>
          <w:rFonts w:ascii="Times New Roman" w:hAnsi="Times New Roman" w:cs="Times New Roman"/>
          <w:b/>
          <w:i/>
          <w:sz w:val="24"/>
          <w:szCs w:val="24"/>
        </w:rPr>
      </w:pPr>
      <w:r>
        <w:rPr>
          <w:rFonts w:ascii="Times New Roman" w:hAnsi="Times New Roman" w:cs="Times New Roman"/>
          <w:b/>
          <w:i/>
          <w:sz w:val="24"/>
          <w:szCs w:val="24"/>
        </w:rPr>
        <w:t>2</w:t>
      </w:r>
      <w:r w:rsidRPr="00FA3471">
        <w:rPr>
          <w:rFonts w:ascii="Times New Roman" w:hAnsi="Times New Roman" w:cs="Times New Roman"/>
          <w:b/>
          <w:i/>
          <w:sz w:val="24"/>
          <w:szCs w:val="24"/>
        </w:rPr>
        <w:t xml:space="preserve"> pav. Tiriamosios grupės pacientų pasiskirstymas pagal amžių</w:t>
      </w:r>
    </w:p>
    <w:p w:rsidR="007E2959" w:rsidRPr="00FA3471" w:rsidRDefault="007E2959" w:rsidP="002F2793">
      <w:pPr>
        <w:spacing w:after="0" w:line="360" w:lineRule="auto"/>
        <w:ind w:firstLine="1296"/>
        <w:contextualSpacing/>
        <w:jc w:val="center"/>
        <w:rPr>
          <w:rFonts w:ascii="Times New Roman" w:hAnsi="Times New Roman" w:cs="Times New Roman"/>
          <w:b/>
          <w:i/>
          <w:sz w:val="24"/>
          <w:szCs w:val="24"/>
        </w:rPr>
      </w:pPr>
    </w:p>
    <w:p w:rsidR="00FA3471" w:rsidRDefault="00FA3471"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Kontrolinėje grupėje patyrusių rankos stipinkaulio lūžį buvo 3 (19</w:t>
      </w:r>
      <w:r w:rsidRPr="003E5367">
        <w:rPr>
          <w:rFonts w:ascii="Times New Roman" w:hAnsi="Times New Roman" w:cs="Times New Roman"/>
          <w:sz w:val="24"/>
          <w:szCs w:val="24"/>
        </w:rPr>
        <w:t>%) pacientai</w:t>
      </w:r>
      <w:r>
        <w:rPr>
          <w:rFonts w:ascii="Times New Roman" w:hAnsi="Times New Roman" w:cs="Times New Roman"/>
          <w:sz w:val="24"/>
          <w:szCs w:val="24"/>
        </w:rPr>
        <w:t xml:space="preserve"> iki 44 metų, 6 (37</w:t>
      </w:r>
      <w:r w:rsidRPr="003E5367">
        <w:rPr>
          <w:rFonts w:ascii="Times New Roman" w:hAnsi="Times New Roman" w:cs="Times New Roman"/>
          <w:sz w:val="24"/>
          <w:szCs w:val="24"/>
        </w:rPr>
        <w:t xml:space="preserve">%) pacientai nuo 45 iki 59 metų, 5 </w:t>
      </w:r>
      <w:r>
        <w:rPr>
          <w:rFonts w:ascii="Times New Roman" w:hAnsi="Times New Roman" w:cs="Times New Roman"/>
          <w:sz w:val="24"/>
          <w:szCs w:val="24"/>
        </w:rPr>
        <w:t>(31</w:t>
      </w:r>
      <w:r w:rsidRPr="003E5367">
        <w:rPr>
          <w:rFonts w:ascii="Times New Roman" w:hAnsi="Times New Roman" w:cs="Times New Roman"/>
          <w:sz w:val="24"/>
          <w:szCs w:val="24"/>
        </w:rPr>
        <w:t xml:space="preserve">%) pacientai nuo 64 – 74 metų ir 2 </w:t>
      </w:r>
      <w:r>
        <w:rPr>
          <w:rFonts w:ascii="Times New Roman" w:hAnsi="Times New Roman" w:cs="Times New Roman"/>
          <w:sz w:val="24"/>
          <w:szCs w:val="24"/>
        </w:rPr>
        <w:t>(13</w:t>
      </w:r>
      <w:r w:rsidRPr="003E5367">
        <w:rPr>
          <w:rFonts w:ascii="Times New Roman" w:hAnsi="Times New Roman" w:cs="Times New Roman"/>
          <w:sz w:val="24"/>
          <w:szCs w:val="24"/>
        </w:rPr>
        <w:t>%) pacientai virš 75 metų (3 pav.).</w:t>
      </w:r>
    </w:p>
    <w:p w:rsidR="007E2959" w:rsidRPr="003E5367" w:rsidRDefault="007E2959" w:rsidP="002F2793">
      <w:pPr>
        <w:spacing w:after="0" w:line="360" w:lineRule="auto"/>
        <w:ind w:firstLine="1296"/>
        <w:contextualSpacing/>
        <w:jc w:val="both"/>
        <w:rPr>
          <w:rFonts w:ascii="Times New Roman" w:hAnsi="Times New Roman" w:cs="Times New Roman"/>
          <w:sz w:val="24"/>
          <w:szCs w:val="24"/>
        </w:rPr>
      </w:pPr>
    </w:p>
    <w:p w:rsidR="00FA3471" w:rsidRPr="00B32DA7" w:rsidRDefault="00FA3471" w:rsidP="002F2793">
      <w:pPr>
        <w:spacing w:after="0" w:line="360" w:lineRule="auto"/>
        <w:ind w:firstLine="1296"/>
        <w:contextualSpacing/>
        <w:jc w:val="center"/>
        <w:rPr>
          <w:rFonts w:ascii="Times New Roman" w:hAnsi="Times New Roman" w:cs="Times New Roman"/>
          <w:sz w:val="24"/>
          <w:szCs w:val="24"/>
        </w:rPr>
      </w:pPr>
      <w:r w:rsidRPr="003A535F">
        <w:rPr>
          <w:rFonts w:ascii="Times New Roman" w:hAnsi="Times New Roman" w:cs="Times New Roman"/>
          <w:b/>
          <w:noProof/>
          <w:sz w:val="24"/>
          <w:szCs w:val="24"/>
          <w:lang w:eastAsia="lt-LT"/>
        </w:rPr>
        <w:drawing>
          <wp:inline distT="0" distB="0" distL="0" distR="0" wp14:anchorId="5149B5CF" wp14:editId="13D0A1C4">
            <wp:extent cx="5143500" cy="2781300"/>
            <wp:effectExtent l="0" t="0" r="0" b="0"/>
            <wp:docPr id="1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A3471" w:rsidRDefault="00FA3471" w:rsidP="002F2793">
      <w:pPr>
        <w:spacing w:after="0" w:line="360" w:lineRule="auto"/>
        <w:contextualSpacing/>
        <w:jc w:val="center"/>
        <w:rPr>
          <w:rFonts w:ascii="Times New Roman" w:hAnsi="Times New Roman" w:cs="Times New Roman"/>
          <w:b/>
          <w:i/>
          <w:sz w:val="24"/>
          <w:szCs w:val="24"/>
        </w:rPr>
      </w:pPr>
      <w:r w:rsidRPr="00FA3471">
        <w:rPr>
          <w:rFonts w:ascii="Times New Roman" w:hAnsi="Times New Roman" w:cs="Times New Roman"/>
          <w:b/>
          <w:i/>
          <w:sz w:val="24"/>
          <w:szCs w:val="24"/>
        </w:rPr>
        <w:t>3 pav. Kontrolinės grupės pacientų pasiskirstymas pagal amžių</w:t>
      </w:r>
    </w:p>
    <w:p w:rsidR="00FA3471" w:rsidRPr="00FA3471" w:rsidRDefault="00FA3471" w:rsidP="002F2793">
      <w:pPr>
        <w:spacing w:after="0" w:line="360" w:lineRule="auto"/>
        <w:contextualSpacing/>
        <w:jc w:val="both"/>
        <w:rPr>
          <w:rFonts w:ascii="Times New Roman" w:hAnsi="Times New Roman" w:cs="Times New Roman"/>
          <w:sz w:val="24"/>
          <w:szCs w:val="24"/>
        </w:rPr>
      </w:pPr>
    </w:p>
    <w:p w:rsidR="003F71F3" w:rsidRDefault="003F71F3"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lastRenderedPageBreak/>
        <w:t>Lyginant grupes, pagal tai, kuri ranka lūžusi, išaiškėjo, kad tiriamojoje grupėje 10 (63</w:t>
      </w:r>
      <w:r w:rsidRPr="003E5367">
        <w:rPr>
          <w:rFonts w:ascii="Times New Roman" w:hAnsi="Times New Roman" w:cs="Times New Roman"/>
          <w:sz w:val="24"/>
          <w:szCs w:val="24"/>
        </w:rPr>
        <w:t>%)</w:t>
      </w:r>
      <w:r>
        <w:rPr>
          <w:rFonts w:ascii="Times New Roman" w:hAnsi="Times New Roman" w:cs="Times New Roman"/>
          <w:sz w:val="24"/>
          <w:szCs w:val="24"/>
        </w:rPr>
        <w:t xml:space="preserve"> pacientų buvo lūžusi dešinė ranka ir 6 (37</w:t>
      </w:r>
      <w:r w:rsidRPr="003E5367">
        <w:rPr>
          <w:rFonts w:ascii="Times New Roman" w:hAnsi="Times New Roman" w:cs="Times New Roman"/>
          <w:sz w:val="24"/>
          <w:szCs w:val="24"/>
        </w:rPr>
        <w:t>%)</w:t>
      </w:r>
      <w:r>
        <w:rPr>
          <w:rFonts w:ascii="Times New Roman" w:hAnsi="Times New Roman" w:cs="Times New Roman"/>
          <w:sz w:val="24"/>
          <w:szCs w:val="24"/>
        </w:rPr>
        <w:t xml:space="preserve"> pacientams – kairė (4 pav).</w:t>
      </w:r>
    </w:p>
    <w:p w:rsidR="007E2959" w:rsidRDefault="007E2959" w:rsidP="002F2793">
      <w:pPr>
        <w:spacing w:after="0" w:line="360" w:lineRule="auto"/>
        <w:ind w:firstLine="1296"/>
        <w:contextualSpacing/>
        <w:jc w:val="both"/>
        <w:rPr>
          <w:rFonts w:ascii="Times New Roman" w:hAnsi="Times New Roman" w:cs="Times New Roman"/>
          <w:sz w:val="24"/>
          <w:szCs w:val="24"/>
        </w:rPr>
      </w:pPr>
    </w:p>
    <w:p w:rsidR="003F71F3" w:rsidRDefault="003F71F3" w:rsidP="002F2793">
      <w:pPr>
        <w:spacing w:after="0" w:line="360" w:lineRule="auto"/>
        <w:contextualSpacing/>
        <w:jc w:val="center"/>
        <w:rPr>
          <w:rFonts w:ascii="Times New Roman" w:hAnsi="Times New Roman" w:cs="Times New Roman"/>
          <w:sz w:val="24"/>
          <w:szCs w:val="24"/>
        </w:rPr>
      </w:pPr>
      <w:r w:rsidRPr="00345098">
        <w:rPr>
          <w:rFonts w:ascii="Times New Roman" w:hAnsi="Times New Roman" w:cs="Times New Roman"/>
          <w:noProof/>
          <w:sz w:val="24"/>
          <w:szCs w:val="24"/>
          <w:lang w:eastAsia="lt-LT"/>
        </w:rPr>
        <w:drawing>
          <wp:inline distT="0" distB="0" distL="0" distR="0" wp14:anchorId="45DA8E55" wp14:editId="6C931A35">
            <wp:extent cx="4924425" cy="3000375"/>
            <wp:effectExtent l="0" t="0" r="9525" b="9525"/>
            <wp:docPr id="17"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F71F3" w:rsidRDefault="003F71F3" w:rsidP="002F2793">
      <w:pPr>
        <w:spacing w:after="0" w:line="360" w:lineRule="auto"/>
        <w:contextualSpacing/>
        <w:jc w:val="center"/>
        <w:rPr>
          <w:rFonts w:ascii="Times New Roman" w:hAnsi="Times New Roman" w:cs="Times New Roman"/>
          <w:b/>
          <w:i/>
          <w:sz w:val="24"/>
          <w:szCs w:val="24"/>
        </w:rPr>
      </w:pPr>
      <w:r>
        <w:rPr>
          <w:rFonts w:ascii="Times New Roman" w:hAnsi="Times New Roman" w:cs="Times New Roman"/>
          <w:b/>
          <w:i/>
          <w:sz w:val="24"/>
          <w:szCs w:val="24"/>
        </w:rPr>
        <w:t>4</w:t>
      </w:r>
      <w:r w:rsidRPr="003F71F3">
        <w:rPr>
          <w:rFonts w:ascii="Times New Roman" w:hAnsi="Times New Roman" w:cs="Times New Roman"/>
          <w:b/>
          <w:i/>
          <w:sz w:val="24"/>
          <w:szCs w:val="24"/>
        </w:rPr>
        <w:t xml:space="preserve"> pav. Tiriamosios grupės pacientų pasiskirstymas pagal lūžusią ranką</w:t>
      </w:r>
    </w:p>
    <w:p w:rsidR="007E2959" w:rsidRPr="003F71F3" w:rsidRDefault="007E2959" w:rsidP="002F2793">
      <w:pPr>
        <w:spacing w:after="0" w:line="360" w:lineRule="auto"/>
        <w:contextualSpacing/>
        <w:jc w:val="both"/>
        <w:rPr>
          <w:rFonts w:ascii="Times New Roman" w:hAnsi="Times New Roman" w:cs="Times New Roman"/>
          <w:b/>
          <w:i/>
          <w:sz w:val="24"/>
          <w:szCs w:val="24"/>
        </w:rPr>
      </w:pPr>
    </w:p>
    <w:p w:rsidR="003F71F3" w:rsidRDefault="002847B6" w:rsidP="002847B6">
      <w:pPr>
        <w:tabs>
          <w:tab w:val="left" w:pos="851"/>
        </w:tabs>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003F71F3">
        <w:rPr>
          <w:rFonts w:ascii="Times New Roman" w:hAnsi="Times New Roman" w:cs="Times New Roman"/>
          <w:sz w:val="24"/>
          <w:szCs w:val="24"/>
        </w:rPr>
        <w:t>Kontrolinėje grupėje 9 (56</w:t>
      </w:r>
      <w:r w:rsidR="003F71F3">
        <w:rPr>
          <w:rFonts w:ascii="Times New Roman" w:hAnsi="Times New Roman" w:cs="Times New Roman"/>
          <w:sz w:val="24"/>
          <w:szCs w:val="24"/>
          <w:lang w:val="en-US"/>
        </w:rPr>
        <w:t>%)</w:t>
      </w:r>
      <w:r w:rsidR="003F71F3">
        <w:rPr>
          <w:rFonts w:ascii="Times New Roman" w:hAnsi="Times New Roman" w:cs="Times New Roman"/>
          <w:sz w:val="24"/>
          <w:szCs w:val="24"/>
        </w:rPr>
        <w:t xml:space="preserve"> pacientams buvo lūžusi dešinė ranka ir 7 (44</w:t>
      </w:r>
      <w:r w:rsidR="003F71F3">
        <w:rPr>
          <w:rFonts w:ascii="Times New Roman" w:hAnsi="Times New Roman" w:cs="Times New Roman"/>
          <w:sz w:val="24"/>
          <w:szCs w:val="24"/>
          <w:lang w:val="en-US"/>
        </w:rPr>
        <w:t>%)</w:t>
      </w:r>
      <w:r w:rsidR="003F71F3">
        <w:rPr>
          <w:rFonts w:ascii="Times New Roman" w:hAnsi="Times New Roman" w:cs="Times New Roman"/>
          <w:sz w:val="24"/>
          <w:szCs w:val="24"/>
        </w:rPr>
        <w:t xml:space="preserve"> pacientams – kairė (5 pav.).</w:t>
      </w:r>
    </w:p>
    <w:p w:rsidR="007E2959" w:rsidRDefault="007E2959" w:rsidP="002F2793">
      <w:pPr>
        <w:tabs>
          <w:tab w:val="left" w:pos="2085"/>
        </w:tabs>
        <w:spacing w:after="0" w:line="360" w:lineRule="auto"/>
        <w:contextualSpacing/>
        <w:jc w:val="both"/>
        <w:rPr>
          <w:rFonts w:ascii="Times New Roman" w:hAnsi="Times New Roman" w:cs="Times New Roman"/>
          <w:sz w:val="24"/>
          <w:szCs w:val="24"/>
        </w:rPr>
      </w:pPr>
    </w:p>
    <w:p w:rsidR="003F71F3" w:rsidRDefault="003F71F3" w:rsidP="002F2793">
      <w:pPr>
        <w:tabs>
          <w:tab w:val="left" w:pos="2085"/>
        </w:tabs>
        <w:spacing w:after="0" w:line="360" w:lineRule="auto"/>
        <w:contextualSpacing/>
        <w:jc w:val="center"/>
        <w:rPr>
          <w:rFonts w:ascii="Times New Roman" w:hAnsi="Times New Roman" w:cs="Times New Roman"/>
          <w:b/>
          <w:sz w:val="24"/>
          <w:szCs w:val="24"/>
        </w:rPr>
      </w:pPr>
      <w:r w:rsidRPr="003B2C68">
        <w:rPr>
          <w:rFonts w:ascii="Times New Roman" w:hAnsi="Times New Roman" w:cs="Times New Roman"/>
          <w:noProof/>
          <w:sz w:val="24"/>
          <w:szCs w:val="24"/>
          <w:lang w:eastAsia="lt-LT"/>
        </w:rPr>
        <w:drawing>
          <wp:inline distT="0" distB="0" distL="0" distR="0" wp14:anchorId="62616075" wp14:editId="4CBE566C">
            <wp:extent cx="4752975" cy="2752725"/>
            <wp:effectExtent l="0" t="0" r="9525" b="9525"/>
            <wp:docPr id="18"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F71F3" w:rsidRPr="003F71F3" w:rsidRDefault="003F71F3" w:rsidP="002F2793">
      <w:pPr>
        <w:spacing w:after="0" w:line="360" w:lineRule="auto"/>
        <w:contextualSpacing/>
        <w:jc w:val="center"/>
        <w:rPr>
          <w:rFonts w:ascii="Times New Roman" w:hAnsi="Times New Roman" w:cs="Times New Roman"/>
          <w:b/>
          <w:i/>
          <w:sz w:val="24"/>
          <w:szCs w:val="24"/>
        </w:rPr>
      </w:pPr>
      <w:r w:rsidRPr="003F71F3">
        <w:rPr>
          <w:rFonts w:ascii="Times New Roman" w:hAnsi="Times New Roman" w:cs="Times New Roman"/>
          <w:b/>
          <w:i/>
          <w:sz w:val="24"/>
          <w:szCs w:val="24"/>
        </w:rPr>
        <w:t>5 pav. Kontrolinės grupės pacientų pasiskirstymas pagal lūžusią ranką</w:t>
      </w:r>
    </w:p>
    <w:p w:rsidR="00B32DA7" w:rsidRPr="003F71F3" w:rsidRDefault="00B32DA7" w:rsidP="002F2793">
      <w:pPr>
        <w:spacing w:after="0" w:line="360" w:lineRule="auto"/>
        <w:contextualSpacing/>
        <w:jc w:val="both"/>
        <w:rPr>
          <w:rFonts w:ascii="Times New Roman" w:hAnsi="Times New Roman" w:cs="Times New Roman"/>
          <w:sz w:val="24"/>
          <w:szCs w:val="24"/>
        </w:rPr>
        <w:sectPr w:rsidR="00B32DA7" w:rsidRPr="003F71F3" w:rsidSect="00045FF2">
          <w:headerReference w:type="default" r:id="rId17"/>
          <w:pgSz w:w="11906" w:h="16838"/>
          <w:pgMar w:top="1134" w:right="567" w:bottom="1134" w:left="1418" w:header="567" w:footer="567" w:gutter="0"/>
          <w:pgNumType w:chapStyle="1"/>
          <w:cols w:space="1296"/>
          <w:docGrid w:linePitch="360"/>
        </w:sectPr>
      </w:pPr>
    </w:p>
    <w:p w:rsidR="0026360A" w:rsidRPr="007E2959" w:rsidRDefault="0059132C" w:rsidP="002F2793">
      <w:pPr>
        <w:pStyle w:val="Antrat1"/>
        <w:jc w:val="center"/>
        <w:rPr>
          <w:rFonts w:ascii="Times New Roman" w:hAnsi="Times New Roman" w:cs="Times New Roman"/>
          <w:color w:val="auto"/>
          <w:sz w:val="32"/>
          <w:szCs w:val="32"/>
        </w:rPr>
      </w:pPr>
      <w:bookmarkStart w:id="34" w:name="_Toc388560349"/>
      <w:r w:rsidRPr="007E2959">
        <w:rPr>
          <w:rFonts w:ascii="Times New Roman" w:hAnsi="Times New Roman" w:cs="Times New Roman"/>
          <w:color w:val="auto"/>
          <w:sz w:val="32"/>
          <w:szCs w:val="32"/>
        </w:rPr>
        <w:lastRenderedPageBreak/>
        <w:t>3. REZULTATAI</w:t>
      </w:r>
      <w:bookmarkEnd w:id="34"/>
    </w:p>
    <w:p w:rsidR="0059132C" w:rsidRDefault="0059132C" w:rsidP="002F2793">
      <w:pPr>
        <w:pStyle w:val="Antrat2"/>
        <w:jc w:val="both"/>
        <w:rPr>
          <w:rFonts w:ascii="Times New Roman" w:hAnsi="Times New Roman" w:cs="Times New Roman"/>
          <w:color w:val="auto"/>
          <w:sz w:val="28"/>
          <w:szCs w:val="28"/>
        </w:rPr>
      </w:pPr>
      <w:bookmarkStart w:id="35" w:name="_Toc388560350"/>
      <w:r w:rsidRPr="007E2959">
        <w:rPr>
          <w:rFonts w:ascii="Times New Roman" w:hAnsi="Times New Roman" w:cs="Times New Roman"/>
          <w:color w:val="auto"/>
          <w:sz w:val="28"/>
          <w:szCs w:val="28"/>
        </w:rPr>
        <w:t>3.1. Pacientų, patyrusių tolimojo stipinkaulio galo lūžį, rankos funkcijos ir savarankiškumo vertinimas</w:t>
      </w:r>
      <w:r w:rsidR="009E65AA" w:rsidRPr="007E2959">
        <w:rPr>
          <w:rFonts w:ascii="Times New Roman" w:hAnsi="Times New Roman" w:cs="Times New Roman"/>
          <w:color w:val="auto"/>
          <w:sz w:val="28"/>
          <w:szCs w:val="28"/>
        </w:rPr>
        <w:t xml:space="preserve">  prieš ir po ergoterapijos taikant teipavimą</w:t>
      </w:r>
      <w:bookmarkEnd w:id="35"/>
    </w:p>
    <w:p w:rsidR="007E2959" w:rsidRPr="007E2959" w:rsidRDefault="007E2959" w:rsidP="002F2793"/>
    <w:p w:rsidR="009E65AA" w:rsidRDefault="009E65AA"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Pacientams, kuriems buvo taikytas teipavimas, prieš ergoterapijos procedūras skausmas buvo įvertintas </w:t>
      </w:r>
      <w:r w:rsidR="00EB36BC">
        <w:rPr>
          <w:rFonts w:ascii="Times New Roman" w:hAnsi="Times New Roman" w:cs="Times New Roman"/>
          <w:sz w:val="24"/>
          <w:szCs w:val="24"/>
        </w:rPr>
        <w:t xml:space="preserve">vidutiniškai </w:t>
      </w:r>
      <w:r>
        <w:rPr>
          <w:rFonts w:ascii="Times New Roman" w:hAnsi="Times New Roman" w:cs="Times New Roman"/>
          <w:sz w:val="24"/>
          <w:szCs w:val="24"/>
        </w:rPr>
        <w:t>4,69±1,7 balo. Po procedūrų ska</w:t>
      </w:r>
      <w:r w:rsidR="00EB36BC">
        <w:rPr>
          <w:rFonts w:ascii="Times New Roman" w:hAnsi="Times New Roman" w:cs="Times New Roman"/>
          <w:sz w:val="24"/>
          <w:szCs w:val="24"/>
        </w:rPr>
        <w:t>usmas sumažėjo ir buvo įvertinta</w:t>
      </w:r>
      <w:r>
        <w:rPr>
          <w:rFonts w:ascii="Times New Roman" w:hAnsi="Times New Roman" w:cs="Times New Roman"/>
          <w:sz w:val="24"/>
          <w:szCs w:val="24"/>
        </w:rPr>
        <w:t>s 0,94±1,1 balo. Skausmo vertinimo pokytis buvo stati</w:t>
      </w:r>
      <w:r w:rsidR="00EB36BC">
        <w:rPr>
          <w:rFonts w:ascii="Times New Roman" w:hAnsi="Times New Roman" w:cs="Times New Roman"/>
          <w:sz w:val="24"/>
          <w:szCs w:val="24"/>
        </w:rPr>
        <w:t>s</w:t>
      </w:r>
      <w:r>
        <w:rPr>
          <w:rFonts w:ascii="Times New Roman" w:hAnsi="Times New Roman" w:cs="Times New Roman"/>
          <w:sz w:val="24"/>
          <w:szCs w:val="24"/>
        </w:rPr>
        <w:t xml:space="preserve">tiškai reikšmingas (p&lt;0,01). </w:t>
      </w:r>
      <w:r w:rsidR="00EB36BC">
        <w:rPr>
          <w:rFonts w:ascii="Times New Roman" w:hAnsi="Times New Roman" w:cs="Times New Roman"/>
          <w:sz w:val="24"/>
          <w:szCs w:val="24"/>
        </w:rPr>
        <w:t>Tiriamosios grupės lūžusios rankos raumenų sustingimas prieš procedūras ir teipavimą buvo įvertintas vidutiniškai 4,69±1,7 balo, o po procedūrų sumažėjo iki 0,75±1,2 balo. Sustingimo vertinimo pokytis buvo statitiškai reikšmingas (p&lt;0,05)</w:t>
      </w:r>
      <w:r w:rsidR="00884B8F">
        <w:rPr>
          <w:rFonts w:ascii="Times New Roman" w:hAnsi="Times New Roman" w:cs="Times New Roman"/>
          <w:sz w:val="24"/>
          <w:szCs w:val="24"/>
        </w:rPr>
        <w:t xml:space="preserve">. Skausmo ir sustingimo pokyčiai prieš ir po procedūrų pateikti </w:t>
      </w:r>
      <w:r w:rsidR="006E13ED">
        <w:rPr>
          <w:rFonts w:ascii="Times New Roman" w:hAnsi="Times New Roman" w:cs="Times New Roman"/>
          <w:sz w:val="24"/>
          <w:szCs w:val="24"/>
        </w:rPr>
        <w:t>6</w:t>
      </w:r>
      <w:r w:rsidR="00884B8F">
        <w:rPr>
          <w:rFonts w:ascii="Times New Roman" w:hAnsi="Times New Roman" w:cs="Times New Roman"/>
          <w:sz w:val="24"/>
          <w:szCs w:val="24"/>
        </w:rPr>
        <w:t xml:space="preserve"> paveiksle.</w:t>
      </w:r>
    </w:p>
    <w:p w:rsidR="007E2959" w:rsidRPr="009E65AA" w:rsidRDefault="007E2959" w:rsidP="002F2793">
      <w:pPr>
        <w:spacing w:after="0" w:line="360" w:lineRule="auto"/>
        <w:ind w:firstLine="1296"/>
        <w:contextualSpacing/>
        <w:jc w:val="both"/>
        <w:rPr>
          <w:rFonts w:ascii="Times New Roman" w:hAnsi="Times New Roman" w:cs="Times New Roman"/>
          <w:sz w:val="24"/>
          <w:szCs w:val="24"/>
        </w:rPr>
      </w:pPr>
    </w:p>
    <w:p w:rsidR="009E65AA" w:rsidRPr="009E65AA" w:rsidRDefault="009E65AA" w:rsidP="002F2793">
      <w:pPr>
        <w:spacing w:after="0" w:line="360" w:lineRule="auto"/>
        <w:contextualSpacing/>
        <w:jc w:val="center"/>
        <w:rPr>
          <w:rFonts w:ascii="Times New Roman" w:hAnsi="Times New Roman" w:cs="Times New Roman"/>
          <w:sz w:val="24"/>
          <w:szCs w:val="24"/>
        </w:rPr>
      </w:pPr>
      <w:r>
        <w:rPr>
          <w:noProof/>
          <w:lang w:eastAsia="lt-LT"/>
        </w:rPr>
        <w:drawing>
          <wp:inline distT="0" distB="0" distL="0" distR="0" wp14:anchorId="1F9DBC81" wp14:editId="01555A6A">
            <wp:extent cx="5276850" cy="3200400"/>
            <wp:effectExtent l="0" t="0" r="19050" b="19050"/>
            <wp:docPr id="8" name="Diagra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E65AA" w:rsidRDefault="009E65AA" w:rsidP="002F2793">
      <w:pPr>
        <w:spacing w:after="0"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t>*- p&lt;0,05</w:t>
      </w:r>
    </w:p>
    <w:p w:rsidR="009E65AA" w:rsidRDefault="006E13ED" w:rsidP="002F2793">
      <w:pPr>
        <w:spacing w:after="0" w:line="360" w:lineRule="auto"/>
        <w:contextualSpacing/>
        <w:jc w:val="center"/>
        <w:rPr>
          <w:rFonts w:ascii="Times New Roman" w:hAnsi="Times New Roman" w:cs="Times New Roman"/>
          <w:b/>
          <w:i/>
          <w:sz w:val="24"/>
          <w:szCs w:val="24"/>
        </w:rPr>
      </w:pPr>
      <w:r>
        <w:rPr>
          <w:rFonts w:ascii="Times New Roman" w:hAnsi="Times New Roman" w:cs="Times New Roman"/>
          <w:b/>
          <w:i/>
          <w:sz w:val="24"/>
          <w:szCs w:val="24"/>
        </w:rPr>
        <w:t>6</w:t>
      </w:r>
      <w:r w:rsidR="009E65AA" w:rsidRPr="00D9504E">
        <w:rPr>
          <w:rFonts w:ascii="Times New Roman" w:hAnsi="Times New Roman" w:cs="Times New Roman"/>
          <w:b/>
          <w:i/>
          <w:sz w:val="24"/>
          <w:szCs w:val="24"/>
        </w:rPr>
        <w:t xml:space="preserve"> pav. Skausmo ir sustingimo </w:t>
      </w:r>
      <w:r w:rsidR="002F05EA">
        <w:rPr>
          <w:rFonts w:ascii="Times New Roman" w:hAnsi="Times New Roman" w:cs="Times New Roman"/>
          <w:b/>
          <w:i/>
          <w:sz w:val="24"/>
          <w:szCs w:val="24"/>
        </w:rPr>
        <w:t>vertinimas</w:t>
      </w:r>
      <w:r w:rsidR="009E65AA" w:rsidRPr="00D9504E">
        <w:rPr>
          <w:rFonts w:ascii="Times New Roman" w:hAnsi="Times New Roman" w:cs="Times New Roman"/>
          <w:b/>
          <w:i/>
          <w:sz w:val="24"/>
          <w:szCs w:val="24"/>
        </w:rPr>
        <w:t xml:space="preserve"> </w:t>
      </w:r>
      <w:r w:rsidR="00AE277A" w:rsidRPr="00D9504E">
        <w:rPr>
          <w:rFonts w:ascii="Times New Roman" w:hAnsi="Times New Roman" w:cs="Times New Roman"/>
          <w:b/>
          <w:i/>
          <w:sz w:val="24"/>
          <w:szCs w:val="24"/>
        </w:rPr>
        <w:t xml:space="preserve">tiriamojoje grupėje </w:t>
      </w:r>
      <w:r w:rsidR="002F05EA">
        <w:rPr>
          <w:rFonts w:ascii="Times New Roman" w:hAnsi="Times New Roman" w:cs="Times New Roman"/>
          <w:b/>
          <w:i/>
          <w:sz w:val="24"/>
          <w:szCs w:val="24"/>
        </w:rPr>
        <w:t xml:space="preserve">prieš ir </w:t>
      </w:r>
      <w:r w:rsidR="009E65AA" w:rsidRPr="00D9504E">
        <w:rPr>
          <w:rFonts w:ascii="Times New Roman" w:hAnsi="Times New Roman" w:cs="Times New Roman"/>
          <w:b/>
          <w:i/>
          <w:sz w:val="24"/>
          <w:szCs w:val="24"/>
        </w:rPr>
        <w:t>po procedūrų</w:t>
      </w:r>
    </w:p>
    <w:p w:rsidR="007E2959" w:rsidRPr="00D9504E" w:rsidRDefault="007E2959" w:rsidP="002F2793">
      <w:pPr>
        <w:spacing w:after="0" w:line="360" w:lineRule="auto"/>
        <w:contextualSpacing/>
        <w:jc w:val="center"/>
        <w:rPr>
          <w:rFonts w:ascii="Times New Roman" w:hAnsi="Times New Roman" w:cs="Times New Roman"/>
          <w:b/>
          <w:i/>
          <w:sz w:val="24"/>
          <w:szCs w:val="24"/>
        </w:rPr>
      </w:pPr>
    </w:p>
    <w:p w:rsidR="008E0B67" w:rsidRDefault="008E0B67"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Kitas tyrime naudotas rankos funkcijos vertinimo metodas buvo dilbio tiesiamųjų, lenkiamųjų raumenų bei plaš</w:t>
      </w:r>
      <w:r w:rsidR="00D20737">
        <w:rPr>
          <w:rFonts w:ascii="Times New Roman" w:hAnsi="Times New Roman" w:cs="Times New Roman"/>
          <w:sz w:val="24"/>
          <w:szCs w:val="24"/>
        </w:rPr>
        <w:t xml:space="preserve">takos griebimo jėgos matavimas dinamometru. </w:t>
      </w:r>
    </w:p>
    <w:p w:rsidR="00D20737" w:rsidRPr="008E0B67" w:rsidRDefault="00D20737"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Pacientų, patyrusių </w:t>
      </w:r>
      <w:r w:rsidRPr="00D20737">
        <w:rPr>
          <w:rFonts w:ascii="Times New Roman" w:hAnsi="Times New Roman" w:cs="Times New Roman"/>
          <w:sz w:val="24"/>
          <w:szCs w:val="24"/>
        </w:rPr>
        <w:t>tolimojo stipinkaulio galo lūžį</w:t>
      </w:r>
      <w:r>
        <w:rPr>
          <w:rFonts w:ascii="Times New Roman" w:hAnsi="Times New Roman" w:cs="Times New Roman"/>
          <w:sz w:val="24"/>
          <w:szCs w:val="24"/>
        </w:rPr>
        <w:t xml:space="preserve">, raumenų jėga prieš ergoterapiją ir teipavimą buvo vidutiniškai 9,19±2,7 kg, po procedūrų padidėjo iki 14,31±5,3 kg. Raumenų jėgos padidėjimas taikant ergoterpiją ir teipavimą </w:t>
      </w:r>
      <w:r w:rsidR="00884B8F">
        <w:rPr>
          <w:rFonts w:ascii="Times New Roman" w:hAnsi="Times New Roman" w:cs="Times New Roman"/>
          <w:sz w:val="24"/>
          <w:szCs w:val="24"/>
        </w:rPr>
        <w:t xml:space="preserve">buvo statistiškai reikšmingas (p&lt;0,05). </w:t>
      </w:r>
      <w:r w:rsidR="00081CF9">
        <w:rPr>
          <w:rFonts w:ascii="Times New Roman" w:hAnsi="Times New Roman" w:cs="Times New Roman"/>
          <w:sz w:val="24"/>
          <w:szCs w:val="24"/>
        </w:rPr>
        <w:t>R</w:t>
      </w:r>
      <w:r w:rsidR="00884B8F">
        <w:rPr>
          <w:rFonts w:ascii="Times New Roman" w:hAnsi="Times New Roman" w:cs="Times New Roman"/>
          <w:sz w:val="24"/>
          <w:szCs w:val="24"/>
        </w:rPr>
        <w:t xml:space="preserve">aumenų jėgos pokytis </w:t>
      </w:r>
      <w:r w:rsidR="00081CF9">
        <w:rPr>
          <w:rFonts w:ascii="Times New Roman" w:hAnsi="Times New Roman" w:cs="Times New Roman"/>
          <w:sz w:val="24"/>
          <w:szCs w:val="24"/>
        </w:rPr>
        <w:t xml:space="preserve">tiriamojoje grupėje </w:t>
      </w:r>
      <w:r w:rsidR="00884B8F">
        <w:rPr>
          <w:rFonts w:ascii="Times New Roman" w:hAnsi="Times New Roman" w:cs="Times New Roman"/>
          <w:sz w:val="24"/>
          <w:szCs w:val="24"/>
        </w:rPr>
        <w:t xml:space="preserve">prieš ir po procedūrų pateiktas </w:t>
      </w:r>
      <w:r w:rsidR="006E13ED">
        <w:rPr>
          <w:rFonts w:ascii="Times New Roman" w:hAnsi="Times New Roman" w:cs="Times New Roman"/>
          <w:sz w:val="24"/>
          <w:szCs w:val="24"/>
        </w:rPr>
        <w:t>7</w:t>
      </w:r>
      <w:r w:rsidR="00884B8F">
        <w:rPr>
          <w:rFonts w:ascii="Times New Roman" w:hAnsi="Times New Roman" w:cs="Times New Roman"/>
          <w:sz w:val="24"/>
          <w:szCs w:val="24"/>
        </w:rPr>
        <w:t xml:space="preserve"> paveiksle.</w:t>
      </w:r>
    </w:p>
    <w:p w:rsidR="0026360A" w:rsidRDefault="008E0B67" w:rsidP="002F2793">
      <w:pPr>
        <w:spacing w:after="0" w:line="360" w:lineRule="auto"/>
        <w:contextualSpacing/>
        <w:jc w:val="center"/>
        <w:rPr>
          <w:rFonts w:ascii="Times New Roman" w:hAnsi="Times New Roman" w:cs="Times New Roman"/>
          <w:b/>
          <w:sz w:val="24"/>
          <w:szCs w:val="24"/>
        </w:rPr>
      </w:pPr>
      <w:r>
        <w:rPr>
          <w:noProof/>
          <w:lang w:eastAsia="lt-LT"/>
        </w:rPr>
        <w:lastRenderedPageBreak/>
        <w:drawing>
          <wp:inline distT="0" distB="0" distL="0" distR="0" wp14:anchorId="427A34CD" wp14:editId="65488153">
            <wp:extent cx="5076967" cy="2947917"/>
            <wp:effectExtent l="0" t="0" r="9525" b="24130"/>
            <wp:docPr id="9"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E0B67" w:rsidRDefault="008E0B67" w:rsidP="002F2793">
      <w:pPr>
        <w:spacing w:after="0"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t>*- p&lt;0,05</w:t>
      </w:r>
    </w:p>
    <w:p w:rsidR="008E0B67" w:rsidRDefault="006E13ED" w:rsidP="002F2793">
      <w:pPr>
        <w:spacing w:after="0" w:line="360" w:lineRule="auto"/>
        <w:contextualSpacing/>
        <w:jc w:val="center"/>
        <w:rPr>
          <w:rFonts w:ascii="Times New Roman" w:hAnsi="Times New Roman" w:cs="Times New Roman"/>
          <w:b/>
          <w:i/>
          <w:sz w:val="24"/>
          <w:szCs w:val="24"/>
        </w:rPr>
      </w:pPr>
      <w:r>
        <w:rPr>
          <w:rFonts w:ascii="Times New Roman" w:hAnsi="Times New Roman" w:cs="Times New Roman"/>
          <w:b/>
          <w:i/>
          <w:sz w:val="24"/>
          <w:szCs w:val="24"/>
        </w:rPr>
        <w:t>7</w:t>
      </w:r>
      <w:r w:rsidR="008E0B67" w:rsidRPr="008E0B67">
        <w:rPr>
          <w:rFonts w:ascii="Times New Roman" w:hAnsi="Times New Roman" w:cs="Times New Roman"/>
          <w:b/>
          <w:i/>
          <w:sz w:val="24"/>
          <w:szCs w:val="24"/>
        </w:rPr>
        <w:t xml:space="preserve"> pav. Raumenų jėgos </w:t>
      </w:r>
      <w:r w:rsidR="002F05EA">
        <w:rPr>
          <w:rFonts w:ascii="Times New Roman" w:hAnsi="Times New Roman" w:cs="Times New Roman"/>
          <w:b/>
          <w:i/>
          <w:sz w:val="24"/>
          <w:szCs w:val="24"/>
        </w:rPr>
        <w:t>vertinimas</w:t>
      </w:r>
      <w:r w:rsidR="008E0B67" w:rsidRPr="008E0B67">
        <w:rPr>
          <w:rFonts w:ascii="Times New Roman" w:hAnsi="Times New Roman" w:cs="Times New Roman"/>
          <w:b/>
          <w:i/>
          <w:sz w:val="24"/>
          <w:szCs w:val="24"/>
        </w:rPr>
        <w:t xml:space="preserve"> tiriamojoje grupėje </w:t>
      </w:r>
      <w:r w:rsidR="002F05EA">
        <w:rPr>
          <w:rFonts w:ascii="Times New Roman" w:hAnsi="Times New Roman" w:cs="Times New Roman"/>
          <w:b/>
          <w:i/>
          <w:sz w:val="24"/>
          <w:szCs w:val="24"/>
        </w:rPr>
        <w:t xml:space="preserve">prieš ir </w:t>
      </w:r>
      <w:r w:rsidR="008E0B67" w:rsidRPr="008E0B67">
        <w:rPr>
          <w:rFonts w:ascii="Times New Roman" w:hAnsi="Times New Roman" w:cs="Times New Roman"/>
          <w:b/>
          <w:i/>
          <w:sz w:val="24"/>
          <w:szCs w:val="24"/>
        </w:rPr>
        <w:t>po procedūrų</w:t>
      </w:r>
    </w:p>
    <w:p w:rsidR="007E2959" w:rsidRDefault="007E2959" w:rsidP="002F2793">
      <w:pPr>
        <w:spacing w:after="0" w:line="360" w:lineRule="auto"/>
        <w:contextualSpacing/>
        <w:jc w:val="center"/>
        <w:rPr>
          <w:rFonts w:ascii="Times New Roman" w:hAnsi="Times New Roman" w:cs="Times New Roman"/>
          <w:b/>
          <w:i/>
          <w:sz w:val="24"/>
          <w:szCs w:val="24"/>
        </w:rPr>
      </w:pPr>
    </w:p>
    <w:p w:rsidR="00EF39ED" w:rsidRDefault="00EF39ED"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Vienas iš ergotarpijos procedūrų tikslų – sąnarių amplitudės didinimas. Taikant ergoterapiją ir teipavimą tiriamojoje grupėje riešo </w:t>
      </w:r>
      <w:r w:rsidR="00D9504E">
        <w:rPr>
          <w:rFonts w:ascii="Times New Roman" w:hAnsi="Times New Roman" w:cs="Times New Roman"/>
          <w:sz w:val="24"/>
          <w:szCs w:val="24"/>
        </w:rPr>
        <w:t xml:space="preserve">fleksija padidėjo nuo 34,1±10,1 laipsnių iki 46,9±13,2 laipsnių (p&lt;0,05). Riešo ekstenzija padidėjo nuo 40,2±11,6 laipsnių iki 50,6±12,9 laipsnių </w:t>
      </w:r>
      <w:r>
        <w:rPr>
          <w:rFonts w:ascii="Times New Roman" w:hAnsi="Times New Roman" w:cs="Times New Roman"/>
          <w:sz w:val="24"/>
          <w:szCs w:val="24"/>
        </w:rPr>
        <w:t xml:space="preserve">(p&lt;0,05). </w:t>
      </w:r>
      <w:r w:rsidR="00D9504E">
        <w:rPr>
          <w:rFonts w:ascii="Times New Roman" w:hAnsi="Times New Roman" w:cs="Times New Roman"/>
          <w:sz w:val="24"/>
          <w:szCs w:val="24"/>
        </w:rPr>
        <w:t>Ulnarinė deviacija nuo 24,6±9,8 laipsnių padidėjo iki 28,6±9,4 laipsnių (p&lt;0,05), o radialinė deviacija padidėjo nuo 12,4±5,0 laipsnių iki 17,9±2,7 laipsnių (p&lt;0,05)(</w:t>
      </w:r>
      <w:r w:rsidR="006E13ED">
        <w:rPr>
          <w:rFonts w:ascii="Times New Roman" w:hAnsi="Times New Roman" w:cs="Times New Roman"/>
          <w:sz w:val="24"/>
          <w:szCs w:val="24"/>
        </w:rPr>
        <w:t>8</w:t>
      </w:r>
      <w:r w:rsidR="00D9504E">
        <w:rPr>
          <w:rFonts w:ascii="Times New Roman" w:hAnsi="Times New Roman" w:cs="Times New Roman"/>
          <w:sz w:val="24"/>
          <w:szCs w:val="24"/>
        </w:rPr>
        <w:t xml:space="preserve"> pav.).</w:t>
      </w:r>
    </w:p>
    <w:p w:rsidR="007E2959" w:rsidRPr="00EF39ED" w:rsidRDefault="007E2959" w:rsidP="002F2793">
      <w:pPr>
        <w:spacing w:after="0" w:line="360" w:lineRule="auto"/>
        <w:contextualSpacing/>
        <w:jc w:val="both"/>
        <w:rPr>
          <w:rFonts w:ascii="Times New Roman" w:hAnsi="Times New Roman" w:cs="Times New Roman"/>
          <w:sz w:val="24"/>
          <w:szCs w:val="24"/>
        </w:rPr>
      </w:pPr>
    </w:p>
    <w:p w:rsidR="00EF39ED" w:rsidRDefault="00EF39ED" w:rsidP="002F2793">
      <w:pPr>
        <w:spacing w:after="0" w:line="360" w:lineRule="auto"/>
        <w:contextualSpacing/>
        <w:jc w:val="center"/>
        <w:rPr>
          <w:rFonts w:ascii="Times New Roman" w:hAnsi="Times New Roman" w:cs="Times New Roman"/>
          <w:sz w:val="24"/>
          <w:szCs w:val="24"/>
        </w:rPr>
      </w:pPr>
      <w:r>
        <w:rPr>
          <w:noProof/>
          <w:lang w:eastAsia="lt-LT"/>
        </w:rPr>
        <w:drawing>
          <wp:inline distT="0" distB="0" distL="0" distR="0" wp14:anchorId="29964530" wp14:editId="04E91BD5">
            <wp:extent cx="4954138" cy="2961564"/>
            <wp:effectExtent l="0" t="0" r="18415" b="10795"/>
            <wp:docPr id="13" name="Diagrama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F39ED" w:rsidRDefault="00EF39ED" w:rsidP="002F2793">
      <w:pPr>
        <w:spacing w:after="0"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t>*- p&lt;0,05</w:t>
      </w:r>
    </w:p>
    <w:p w:rsidR="00EF39ED" w:rsidRDefault="006E13ED" w:rsidP="002F2793">
      <w:pPr>
        <w:spacing w:after="0" w:line="360" w:lineRule="auto"/>
        <w:contextualSpacing/>
        <w:jc w:val="center"/>
        <w:rPr>
          <w:rFonts w:ascii="Times New Roman" w:hAnsi="Times New Roman" w:cs="Times New Roman"/>
          <w:b/>
          <w:i/>
          <w:sz w:val="24"/>
          <w:szCs w:val="24"/>
        </w:rPr>
      </w:pPr>
      <w:r>
        <w:rPr>
          <w:rFonts w:ascii="Times New Roman" w:hAnsi="Times New Roman" w:cs="Times New Roman"/>
          <w:b/>
          <w:i/>
          <w:sz w:val="24"/>
          <w:szCs w:val="24"/>
        </w:rPr>
        <w:t>8</w:t>
      </w:r>
      <w:r w:rsidR="00EF39ED" w:rsidRPr="008E0B67">
        <w:rPr>
          <w:rFonts w:ascii="Times New Roman" w:hAnsi="Times New Roman" w:cs="Times New Roman"/>
          <w:b/>
          <w:i/>
          <w:sz w:val="24"/>
          <w:szCs w:val="24"/>
        </w:rPr>
        <w:t xml:space="preserve"> pav. </w:t>
      </w:r>
      <w:r w:rsidR="00EF39ED">
        <w:rPr>
          <w:rFonts w:ascii="Times New Roman" w:hAnsi="Times New Roman" w:cs="Times New Roman"/>
          <w:b/>
          <w:i/>
          <w:sz w:val="24"/>
          <w:szCs w:val="24"/>
        </w:rPr>
        <w:t xml:space="preserve">Riešo ir alkūnės sąnarių judesių </w:t>
      </w:r>
      <w:r w:rsidR="00EF39ED" w:rsidRPr="008E0B67">
        <w:rPr>
          <w:rFonts w:ascii="Times New Roman" w:hAnsi="Times New Roman" w:cs="Times New Roman"/>
          <w:b/>
          <w:i/>
          <w:sz w:val="24"/>
          <w:szCs w:val="24"/>
        </w:rPr>
        <w:t xml:space="preserve"> </w:t>
      </w:r>
      <w:r w:rsidR="00EF39ED">
        <w:rPr>
          <w:rFonts w:ascii="Times New Roman" w:hAnsi="Times New Roman" w:cs="Times New Roman"/>
          <w:b/>
          <w:i/>
          <w:sz w:val="24"/>
          <w:szCs w:val="24"/>
        </w:rPr>
        <w:t xml:space="preserve">amplitudės </w:t>
      </w:r>
      <w:r w:rsidR="002F05EA">
        <w:rPr>
          <w:rFonts w:ascii="Times New Roman" w:hAnsi="Times New Roman" w:cs="Times New Roman"/>
          <w:b/>
          <w:i/>
          <w:sz w:val="24"/>
          <w:szCs w:val="24"/>
        </w:rPr>
        <w:t>vertinimas</w:t>
      </w:r>
      <w:r w:rsidR="00EF39ED" w:rsidRPr="008E0B67">
        <w:rPr>
          <w:rFonts w:ascii="Times New Roman" w:hAnsi="Times New Roman" w:cs="Times New Roman"/>
          <w:b/>
          <w:i/>
          <w:sz w:val="24"/>
          <w:szCs w:val="24"/>
        </w:rPr>
        <w:t xml:space="preserve"> tiriamojoje grupėje </w:t>
      </w:r>
      <w:r w:rsidR="002F05EA">
        <w:rPr>
          <w:rFonts w:ascii="Times New Roman" w:hAnsi="Times New Roman" w:cs="Times New Roman"/>
          <w:b/>
          <w:i/>
          <w:sz w:val="24"/>
          <w:szCs w:val="24"/>
        </w:rPr>
        <w:t xml:space="preserve">prieš ir </w:t>
      </w:r>
      <w:r w:rsidR="00EF39ED" w:rsidRPr="008E0B67">
        <w:rPr>
          <w:rFonts w:ascii="Times New Roman" w:hAnsi="Times New Roman" w:cs="Times New Roman"/>
          <w:b/>
          <w:i/>
          <w:sz w:val="24"/>
          <w:szCs w:val="24"/>
        </w:rPr>
        <w:t>po procedūrų</w:t>
      </w:r>
    </w:p>
    <w:p w:rsidR="00D9504E" w:rsidRDefault="00D9504E"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Pagrindinis reabilitacijos tikslas – padėti pacientams atgauti savarankiškumą. </w:t>
      </w:r>
      <w:r w:rsidR="004679FB">
        <w:rPr>
          <w:rFonts w:ascii="Times New Roman" w:hAnsi="Times New Roman" w:cs="Times New Roman"/>
          <w:sz w:val="24"/>
          <w:szCs w:val="24"/>
        </w:rPr>
        <w:t>Mūsų tyrimo dalyvių savarankiškumas vertintas Keitelio indeksu. Tiriamojoje grupėje prieš ergoterapiją šis indeksas buvo 37,63±4,0 balo. Po procedūrų ir teipavimo šis indeksas padidėjo iki 41,88±4,3 balo. Indekso pokytis tiriamojoje grupėje buvo statistiškai reikšmingas (p&lt;0,05)(</w:t>
      </w:r>
      <w:r w:rsidR="006E13ED">
        <w:rPr>
          <w:rFonts w:ascii="Times New Roman" w:hAnsi="Times New Roman" w:cs="Times New Roman"/>
          <w:sz w:val="24"/>
          <w:szCs w:val="24"/>
        </w:rPr>
        <w:t>9</w:t>
      </w:r>
      <w:r w:rsidR="004679FB">
        <w:rPr>
          <w:rFonts w:ascii="Times New Roman" w:hAnsi="Times New Roman" w:cs="Times New Roman"/>
          <w:sz w:val="24"/>
          <w:szCs w:val="24"/>
        </w:rPr>
        <w:t xml:space="preserve"> pav.).</w:t>
      </w:r>
    </w:p>
    <w:p w:rsidR="007E2959" w:rsidRPr="004679FB" w:rsidRDefault="007E2959" w:rsidP="002F2793">
      <w:pPr>
        <w:spacing w:after="0" w:line="360" w:lineRule="auto"/>
        <w:contextualSpacing/>
        <w:jc w:val="both"/>
        <w:rPr>
          <w:rFonts w:ascii="Times New Roman" w:hAnsi="Times New Roman" w:cs="Times New Roman"/>
          <w:sz w:val="24"/>
          <w:szCs w:val="24"/>
        </w:rPr>
      </w:pPr>
    </w:p>
    <w:p w:rsidR="00EF39ED" w:rsidRPr="00EF39ED" w:rsidRDefault="00D9504E" w:rsidP="002F2793">
      <w:pPr>
        <w:spacing w:after="0" w:line="360" w:lineRule="auto"/>
        <w:contextualSpacing/>
        <w:jc w:val="center"/>
        <w:rPr>
          <w:rFonts w:ascii="Times New Roman" w:hAnsi="Times New Roman" w:cs="Times New Roman"/>
          <w:sz w:val="24"/>
          <w:szCs w:val="24"/>
        </w:rPr>
      </w:pPr>
      <w:r>
        <w:rPr>
          <w:noProof/>
          <w:lang w:eastAsia="lt-LT"/>
        </w:rPr>
        <w:drawing>
          <wp:inline distT="0" distB="0" distL="0" distR="0" wp14:anchorId="7DDD623D" wp14:editId="310EB047">
            <wp:extent cx="5295900" cy="3171825"/>
            <wp:effectExtent l="0" t="0" r="19050" b="9525"/>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9504E" w:rsidRDefault="00D9504E" w:rsidP="002F2793">
      <w:pPr>
        <w:spacing w:after="0"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t>*- p&lt;0,05</w:t>
      </w:r>
    </w:p>
    <w:p w:rsidR="00D9504E" w:rsidRDefault="006E13ED" w:rsidP="002F2793">
      <w:pPr>
        <w:spacing w:after="0" w:line="360" w:lineRule="auto"/>
        <w:contextualSpacing/>
        <w:jc w:val="center"/>
        <w:rPr>
          <w:rFonts w:ascii="Times New Roman" w:hAnsi="Times New Roman" w:cs="Times New Roman"/>
          <w:b/>
          <w:i/>
          <w:sz w:val="24"/>
          <w:szCs w:val="24"/>
        </w:rPr>
      </w:pPr>
      <w:r>
        <w:rPr>
          <w:rFonts w:ascii="Times New Roman" w:hAnsi="Times New Roman" w:cs="Times New Roman"/>
          <w:b/>
          <w:i/>
          <w:sz w:val="24"/>
          <w:szCs w:val="24"/>
        </w:rPr>
        <w:t>9</w:t>
      </w:r>
      <w:r w:rsidR="00D9504E" w:rsidRPr="008E0B67">
        <w:rPr>
          <w:rFonts w:ascii="Times New Roman" w:hAnsi="Times New Roman" w:cs="Times New Roman"/>
          <w:b/>
          <w:i/>
          <w:sz w:val="24"/>
          <w:szCs w:val="24"/>
        </w:rPr>
        <w:t xml:space="preserve"> pav. </w:t>
      </w:r>
      <w:r w:rsidR="00D9504E">
        <w:rPr>
          <w:rFonts w:ascii="Times New Roman" w:hAnsi="Times New Roman" w:cs="Times New Roman"/>
          <w:b/>
          <w:i/>
          <w:sz w:val="24"/>
          <w:szCs w:val="24"/>
        </w:rPr>
        <w:t xml:space="preserve">Keitelio indekso </w:t>
      </w:r>
      <w:r w:rsidR="002F05EA">
        <w:rPr>
          <w:rFonts w:ascii="Times New Roman" w:hAnsi="Times New Roman" w:cs="Times New Roman"/>
          <w:b/>
          <w:i/>
          <w:sz w:val="24"/>
          <w:szCs w:val="24"/>
        </w:rPr>
        <w:t>vertinimas</w:t>
      </w:r>
      <w:r w:rsidR="00D9504E" w:rsidRPr="008E0B67">
        <w:rPr>
          <w:rFonts w:ascii="Times New Roman" w:hAnsi="Times New Roman" w:cs="Times New Roman"/>
          <w:b/>
          <w:i/>
          <w:sz w:val="24"/>
          <w:szCs w:val="24"/>
        </w:rPr>
        <w:t xml:space="preserve"> tiriamojoje grupėje </w:t>
      </w:r>
      <w:r w:rsidR="002F05EA">
        <w:rPr>
          <w:rFonts w:ascii="Times New Roman" w:hAnsi="Times New Roman" w:cs="Times New Roman"/>
          <w:b/>
          <w:i/>
          <w:sz w:val="24"/>
          <w:szCs w:val="24"/>
        </w:rPr>
        <w:t xml:space="preserve">prieš ir </w:t>
      </w:r>
      <w:r w:rsidR="00D9504E" w:rsidRPr="008E0B67">
        <w:rPr>
          <w:rFonts w:ascii="Times New Roman" w:hAnsi="Times New Roman" w:cs="Times New Roman"/>
          <w:b/>
          <w:i/>
          <w:sz w:val="24"/>
          <w:szCs w:val="24"/>
        </w:rPr>
        <w:t>po procedūrų</w:t>
      </w:r>
    </w:p>
    <w:p w:rsidR="007E2959" w:rsidRDefault="007E2959" w:rsidP="002F2793">
      <w:pPr>
        <w:spacing w:after="0" w:line="360" w:lineRule="auto"/>
        <w:contextualSpacing/>
        <w:jc w:val="center"/>
        <w:rPr>
          <w:rFonts w:ascii="Times New Roman" w:hAnsi="Times New Roman" w:cs="Times New Roman"/>
          <w:b/>
          <w:i/>
          <w:sz w:val="24"/>
          <w:szCs w:val="24"/>
        </w:rPr>
      </w:pPr>
    </w:p>
    <w:p w:rsidR="004679FB" w:rsidRDefault="004679FB"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Apibendrinant gautus rezultatus galime teigti, kad pacientams po stipinkaulio tolimojo galo lūžio taikius ergoterapiją ir teipavimą pagerėja rankos funkcija ir padidėja savarankiškumas. Apie teipavimą ir jo poveikį iki jo taikymo pacientai nebuvo girdėję. </w:t>
      </w:r>
    </w:p>
    <w:p w:rsidR="00CC4550" w:rsidRDefault="00CC4550" w:rsidP="002F2793">
      <w:pPr>
        <w:spacing w:after="0" w:line="360" w:lineRule="auto"/>
        <w:contextualSpacing/>
        <w:jc w:val="both"/>
        <w:rPr>
          <w:rFonts w:ascii="Times New Roman" w:hAnsi="Times New Roman" w:cs="Times New Roman"/>
          <w:sz w:val="24"/>
          <w:szCs w:val="24"/>
        </w:rPr>
      </w:pPr>
    </w:p>
    <w:p w:rsidR="00323951" w:rsidRDefault="00323951" w:rsidP="002F2793">
      <w:pPr>
        <w:pStyle w:val="Antrat2"/>
        <w:numPr>
          <w:ilvl w:val="1"/>
          <w:numId w:val="21"/>
        </w:numPr>
        <w:jc w:val="both"/>
        <w:rPr>
          <w:rFonts w:ascii="Times New Roman" w:hAnsi="Times New Roman" w:cs="Times New Roman"/>
          <w:color w:val="auto"/>
          <w:sz w:val="28"/>
          <w:szCs w:val="28"/>
        </w:rPr>
      </w:pPr>
      <w:bookmarkStart w:id="36" w:name="_Toc388560351"/>
      <w:r w:rsidRPr="007E2959">
        <w:rPr>
          <w:rFonts w:ascii="Times New Roman" w:hAnsi="Times New Roman" w:cs="Times New Roman"/>
          <w:color w:val="auto"/>
          <w:sz w:val="28"/>
          <w:szCs w:val="28"/>
        </w:rPr>
        <w:t>Pacientų, patyrusių tolimojo stipinkaulio galo lūžį, rankos funkcijos ir savarankiškumo vertinimas  prieš ir po ergoterapijos netaikant teipavimo</w:t>
      </w:r>
      <w:bookmarkEnd w:id="36"/>
    </w:p>
    <w:p w:rsidR="007E2959" w:rsidRPr="007E2959" w:rsidRDefault="007E2959" w:rsidP="002F2793">
      <w:pPr>
        <w:pStyle w:val="Sraopastraipa"/>
        <w:ind w:left="855"/>
      </w:pPr>
    </w:p>
    <w:p w:rsidR="002847B6" w:rsidRDefault="00581564"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Norėdami nustatyti teipavimo naudą, analizavome ir kontrolinės grupės, kuriai buvo taikomos ergoterapijos ir kitos reabilitacijos procedūros, bet netaikytas teipavimas, rankos funkcijos ir savarankiškumo rodiklius prieš ir po procedūrų. </w:t>
      </w:r>
    </w:p>
    <w:p w:rsidR="008E0B67" w:rsidRDefault="00290E72"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Kontrolinės grupės pacientams prieš ergoterapiją buvo nustatytas vidutiniškai 4,75±1,8 balo skausmas. Po procedūrų skausmas sumažėjo iki vidutiniškai 3,81±1,9 balo. Skausmo pokytis po procedūrų buvo statistiškai reikšmingas (p&lt;0,05). Šiai grupei prieš procedūras raumenų sustingimas </w:t>
      </w:r>
      <w:r>
        <w:rPr>
          <w:rFonts w:ascii="Times New Roman" w:hAnsi="Times New Roman" w:cs="Times New Roman"/>
          <w:sz w:val="24"/>
          <w:szCs w:val="24"/>
        </w:rPr>
        <w:lastRenderedPageBreak/>
        <w:t xml:space="preserve">buvo įvertintas vidutiniškai 4,75±2,3 balais, po procedūrų – </w:t>
      </w:r>
      <w:r w:rsidR="004B3C99">
        <w:rPr>
          <w:rFonts w:ascii="Times New Roman" w:hAnsi="Times New Roman" w:cs="Times New Roman"/>
          <w:sz w:val="24"/>
          <w:szCs w:val="24"/>
        </w:rPr>
        <w:t xml:space="preserve">vidutiniškai </w:t>
      </w:r>
      <w:r>
        <w:rPr>
          <w:rFonts w:ascii="Times New Roman" w:hAnsi="Times New Roman" w:cs="Times New Roman"/>
          <w:sz w:val="24"/>
          <w:szCs w:val="24"/>
        </w:rPr>
        <w:t>3,63±2,6 balais. Raumenų sustingimo pokytis po procedūrų buvo statistiškai reikšmingas (p&lt;0,05)(</w:t>
      </w:r>
      <w:r w:rsidR="006E13ED">
        <w:rPr>
          <w:rFonts w:ascii="Times New Roman" w:hAnsi="Times New Roman" w:cs="Times New Roman"/>
          <w:sz w:val="24"/>
          <w:szCs w:val="24"/>
        </w:rPr>
        <w:t>10</w:t>
      </w:r>
      <w:r>
        <w:rPr>
          <w:rFonts w:ascii="Times New Roman" w:hAnsi="Times New Roman" w:cs="Times New Roman"/>
          <w:sz w:val="24"/>
          <w:szCs w:val="24"/>
        </w:rPr>
        <w:t xml:space="preserve"> pav.).</w:t>
      </w:r>
    </w:p>
    <w:p w:rsidR="007E2959" w:rsidRPr="00290E72" w:rsidRDefault="007E2959" w:rsidP="002F2793">
      <w:pPr>
        <w:spacing w:after="0" w:line="360" w:lineRule="auto"/>
        <w:contextualSpacing/>
        <w:jc w:val="both"/>
        <w:rPr>
          <w:rFonts w:ascii="Times New Roman" w:hAnsi="Times New Roman" w:cs="Times New Roman"/>
          <w:sz w:val="24"/>
          <w:szCs w:val="24"/>
        </w:rPr>
      </w:pPr>
    </w:p>
    <w:p w:rsidR="00273953" w:rsidRDefault="004F21BD" w:rsidP="002F2793">
      <w:pPr>
        <w:spacing w:after="0" w:line="360" w:lineRule="auto"/>
        <w:contextualSpacing/>
        <w:jc w:val="center"/>
        <w:rPr>
          <w:rFonts w:ascii="Times New Roman" w:hAnsi="Times New Roman" w:cs="Times New Roman"/>
          <w:b/>
          <w:sz w:val="24"/>
          <w:szCs w:val="24"/>
        </w:rPr>
      </w:pPr>
      <w:r>
        <w:rPr>
          <w:noProof/>
          <w:lang w:eastAsia="lt-LT"/>
        </w:rPr>
        <w:drawing>
          <wp:inline distT="0" distB="0" distL="0" distR="0" wp14:anchorId="1B8D5FD9" wp14:editId="19A2C952">
            <wp:extent cx="5133975" cy="2943225"/>
            <wp:effectExtent l="0" t="0" r="9525" b="9525"/>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6360A" w:rsidRDefault="0026360A" w:rsidP="002F2793">
      <w:pPr>
        <w:spacing w:after="0"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t>*- p&lt;0,05</w:t>
      </w:r>
    </w:p>
    <w:p w:rsidR="00273953" w:rsidRDefault="006E13ED" w:rsidP="002F2793">
      <w:pPr>
        <w:spacing w:after="0" w:line="360" w:lineRule="auto"/>
        <w:contextualSpacing/>
        <w:jc w:val="center"/>
        <w:rPr>
          <w:rFonts w:ascii="Times New Roman" w:hAnsi="Times New Roman" w:cs="Times New Roman"/>
          <w:b/>
          <w:i/>
          <w:sz w:val="24"/>
          <w:szCs w:val="24"/>
        </w:rPr>
      </w:pPr>
      <w:r>
        <w:rPr>
          <w:rFonts w:ascii="Times New Roman" w:hAnsi="Times New Roman" w:cs="Times New Roman"/>
          <w:b/>
          <w:i/>
          <w:sz w:val="24"/>
          <w:szCs w:val="24"/>
        </w:rPr>
        <w:t>10</w:t>
      </w:r>
      <w:r w:rsidR="0026360A" w:rsidRPr="00290E72">
        <w:rPr>
          <w:rFonts w:ascii="Times New Roman" w:hAnsi="Times New Roman" w:cs="Times New Roman"/>
          <w:b/>
          <w:i/>
          <w:sz w:val="24"/>
          <w:szCs w:val="24"/>
        </w:rPr>
        <w:t xml:space="preserve"> pav. Skausmo ir sustingimo </w:t>
      </w:r>
      <w:r w:rsidR="002F05EA">
        <w:rPr>
          <w:rFonts w:ascii="Times New Roman" w:hAnsi="Times New Roman" w:cs="Times New Roman"/>
          <w:b/>
          <w:i/>
          <w:sz w:val="24"/>
          <w:szCs w:val="24"/>
        </w:rPr>
        <w:t>vertinimas</w:t>
      </w:r>
      <w:r w:rsidR="0026360A" w:rsidRPr="00290E72">
        <w:rPr>
          <w:rFonts w:ascii="Times New Roman" w:hAnsi="Times New Roman" w:cs="Times New Roman"/>
          <w:b/>
          <w:i/>
          <w:sz w:val="24"/>
          <w:szCs w:val="24"/>
        </w:rPr>
        <w:t xml:space="preserve"> </w:t>
      </w:r>
      <w:r w:rsidR="00290E72" w:rsidRPr="00290E72">
        <w:rPr>
          <w:rFonts w:ascii="Times New Roman" w:hAnsi="Times New Roman" w:cs="Times New Roman"/>
          <w:b/>
          <w:i/>
          <w:sz w:val="24"/>
          <w:szCs w:val="24"/>
        </w:rPr>
        <w:t xml:space="preserve">kontrolinėje grupėje </w:t>
      </w:r>
      <w:r w:rsidR="002F05EA">
        <w:rPr>
          <w:rFonts w:ascii="Times New Roman" w:hAnsi="Times New Roman" w:cs="Times New Roman"/>
          <w:b/>
          <w:i/>
          <w:sz w:val="24"/>
          <w:szCs w:val="24"/>
        </w:rPr>
        <w:t xml:space="preserve">prieš ir </w:t>
      </w:r>
      <w:r w:rsidR="0026360A" w:rsidRPr="00290E72">
        <w:rPr>
          <w:rFonts w:ascii="Times New Roman" w:hAnsi="Times New Roman" w:cs="Times New Roman"/>
          <w:b/>
          <w:i/>
          <w:sz w:val="24"/>
          <w:szCs w:val="24"/>
        </w:rPr>
        <w:t>po procedūrų</w:t>
      </w:r>
    </w:p>
    <w:p w:rsidR="007E2959" w:rsidRDefault="007E2959" w:rsidP="002F2793">
      <w:pPr>
        <w:spacing w:after="0" w:line="360" w:lineRule="auto"/>
        <w:contextualSpacing/>
        <w:jc w:val="center"/>
        <w:rPr>
          <w:rFonts w:ascii="Times New Roman" w:hAnsi="Times New Roman" w:cs="Times New Roman"/>
          <w:b/>
          <w:i/>
          <w:sz w:val="24"/>
          <w:szCs w:val="24"/>
        </w:rPr>
      </w:pPr>
    </w:p>
    <w:p w:rsidR="00290E72" w:rsidRDefault="004B3C99"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Dilbio tiesiamųjų, lenkiamųjų raumenų bei plaštakos griebimo jėga kontrolinės grupės pacientams prieš ergoterapiją buvo įvertinta vidutiniškai 11,38±2,1 kilogramo. Po procedūrų raumenų jėga padidėjo iki 14,00±4,3 kilogramo. Raumenų jėgos padidėjimas po ergoterapijos procedūrų buvo statistiškai reikšmingas (p&lt;0,05)(</w:t>
      </w:r>
      <w:r w:rsidR="006E13ED">
        <w:rPr>
          <w:rFonts w:ascii="Times New Roman" w:hAnsi="Times New Roman" w:cs="Times New Roman"/>
          <w:sz w:val="24"/>
          <w:szCs w:val="24"/>
        </w:rPr>
        <w:t>11</w:t>
      </w:r>
      <w:r>
        <w:rPr>
          <w:rFonts w:ascii="Times New Roman" w:hAnsi="Times New Roman" w:cs="Times New Roman"/>
          <w:sz w:val="24"/>
          <w:szCs w:val="24"/>
        </w:rPr>
        <w:t xml:space="preserve"> pav.).</w:t>
      </w:r>
    </w:p>
    <w:p w:rsidR="007E2959" w:rsidRPr="004B3C99" w:rsidRDefault="007E2959" w:rsidP="002F2793">
      <w:pPr>
        <w:spacing w:after="0" w:line="360" w:lineRule="auto"/>
        <w:ind w:firstLine="1296"/>
        <w:contextualSpacing/>
        <w:jc w:val="both"/>
        <w:rPr>
          <w:rFonts w:ascii="Times New Roman" w:hAnsi="Times New Roman" w:cs="Times New Roman"/>
          <w:sz w:val="24"/>
          <w:szCs w:val="24"/>
        </w:rPr>
      </w:pPr>
    </w:p>
    <w:p w:rsidR="00273953" w:rsidRDefault="003F1493" w:rsidP="002F2793">
      <w:pPr>
        <w:spacing w:after="0" w:line="360" w:lineRule="auto"/>
        <w:contextualSpacing/>
        <w:jc w:val="center"/>
        <w:rPr>
          <w:rFonts w:ascii="Times New Roman" w:hAnsi="Times New Roman" w:cs="Times New Roman"/>
          <w:b/>
          <w:sz w:val="24"/>
          <w:szCs w:val="24"/>
        </w:rPr>
      </w:pPr>
      <w:r>
        <w:rPr>
          <w:noProof/>
          <w:lang w:eastAsia="lt-LT"/>
        </w:rPr>
        <w:drawing>
          <wp:inline distT="0" distB="0" distL="0" distR="0" wp14:anchorId="15121F31" wp14:editId="73434A74">
            <wp:extent cx="5029200" cy="2667000"/>
            <wp:effectExtent l="0" t="0" r="19050" b="19050"/>
            <wp:docPr id="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F21BD" w:rsidRDefault="004F21BD" w:rsidP="002F2793">
      <w:pPr>
        <w:spacing w:after="0"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t>*- p&lt;0,05</w:t>
      </w:r>
    </w:p>
    <w:p w:rsidR="004B3C99" w:rsidRDefault="006E13ED" w:rsidP="002F2793">
      <w:pPr>
        <w:spacing w:after="0" w:line="360" w:lineRule="auto"/>
        <w:contextualSpacing/>
        <w:jc w:val="center"/>
        <w:rPr>
          <w:rFonts w:ascii="Times New Roman" w:hAnsi="Times New Roman" w:cs="Times New Roman"/>
          <w:b/>
          <w:i/>
          <w:sz w:val="24"/>
          <w:szCs w:val="24"/>
        </w:rPr>
      </w:pPr>
      <w:r>
        <w:rPr>
          <w:rFonts w:ascii="Times New Roman" w:hAnsi="Times New Roman" w:cs="Times New Roman"/>
          <w:b/>
          <w:i/>
          <w:sz w:val="24"/>
          <w:szCs w:val="24"/>
        </w:rPr>
        <w:t>11</w:t>
      </w:r>
      <w:r w:rsidR="004B3C99" w:rsidRPr="004B3C99">
        <w:rPr>
          <w:rFonts w:ascii="Times New Roman" w:hAnsi="Times New Roman" w:cs="Times New Roman"/>
          <w:b/>
          <w:i/>
          <w:sz w:val="24"/>
          <w:szCs w:val="24"/>
        </w:rPr>
        <w:t xml:space="preserve"> pav.</w:t>
      </w:r>
      <w:r w:rsidR="004B3C99">
        <w:rPr>
          <w:rFonts w:ascii="Times New Roman" w:hAnsi="Times New Roman" w:cs="Times New Roman"/>
          <w:b/>
          <w:sz w:val="24"/>
          <w:szCs w:val="24"/>
        </w:rPr>
        <w:t xml:space="preserve"> </w:t>
      </w:r>
      <w:r w:rsidR="004B3C99" w:rsidRPr="008E0B67">
        <w:rPr>
          <w:rFonts w:ascii="Times New Roman" w:hAnsi="Times New Roman" w:cs="Times New Roman"/>
          <w:b/>
          <w:i/>
          <w:sz w:val="24"/>
          <w:szCs w:val="24"/>
        </w:rPr>
        <w:t xml:space="preserve">Raumenų jėgos </w:t>
      </w:r>
      <w:r w:rsidR="002F05EA">
        <w:rPr>
          <w:rFonts w:ascii="Times New Roman" w:hAnsi="Times New Roman" w:cs="Times New Roman"/>
          <w:b/>
          <w:i/>
          <w:sz w:val="24"/>
          <w:szCs w:val="24"/>
        </w:rPr>
        <w:t>vertinimas</w:t>
      </w:r>
      <w:r w:rsidR="004B3C99" w:rsidRPr="008E0B67">
        <w:rPr>
          <w:rFonts w:ascii="Times New Roman" w:hAnsi="Times New Roman" w:cs="Times New Roman"/>
          <w:b/>
          <w:i/>
          <w:sz w:val="24"/>
          <w:szCs w:val="24"/>
        </w:rPr>
        <w:t xml:space="preserve"> </w:t>
      </w:r>
      <w:r w:rsidR="004B3C99">
        <w:rPr>
          <w:rFonts w:ascii="Times New Roman" w:hAnsi="Times New Roman" w:cs="Times New Roman"/>
          <w:b/>
          <w:i/>
          <w:sz w:val="24"/>
          <w:szCs w:val="24"/>
        </w:rPr>
        <w:t>kontrolinėje</w:t>
      </w:r>
      <w:r w:rsidR="004B3C99" w:rsidRPr="008E0B67">
        <w:rPr>
          <w:rFonts w:ascii="Times New Roman" w:hAnsi="Times New Roman" w:cs="Times New Roman"/>
          <w:b/>
          <w:i/>
          <w:sz w:val="24"/>
          <w:szCs w:val="24"/>
        </w:rPr>
        <w:t xml:space="preserve"> grupėje </w:t>
      </w:r>
      <w:r w:rsidR="002F05EA">
        <w:rPr>
          <w:rFonts w:ascii="Times New Roman" w:hAnsi="Times New Roman" w:cs="Times New Roman"/>
          <w:b/>
          <w:i/>
          <w:sz w:val="24"/>
          <w:szCs w:val="24"/>
        </w:rPr>
        <w:t xml:space="preserve">prieš ir </w:t>
      </w:r>
      <w:r w:rsidR="004B3C99" w:rsidRPr="008E0B67">
        <w:rPr>
          <w:rFonts w:ascii="Times New Roman" w:hAnsi="Times New Roman" w:cs="Times New Roman"/>
          <w:b/>
          <w:i/>
          <w:sz w:val="24"/>
          <w:szCs w:val="24"/>
        </w:rPr>
        <w:t>po procedūrų</w:t>
      </w:r>
    </w:p>
    <w:p w:rsidR="004F21BD" w:rsidRDefault="004B3C99"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Tyrimo rezultatai parodė, kad po ergoterapijos kontrolinėje grupėje padidėjo riešo ir alkūnės </w:t>
      </w:r>
      <w:r w:rsidR="00F07D1E">
        <w:rPr>
          <w:rFonts w:ascii="Times New Roman" w:hAnsi="Times New Roman" w:cs="Times New Roman"/>
          <w:sz w:val="24"/>
          <w:szCs w:val="24"/>
        </w:rPr>
        <w:t xml:space="preserve">sąnarių </w:t>
      </w:r>
      <w:r>
        <w:rPr>
          <w:rFonts w:ascii="Times New Roman" w:hAnsi="Times New Roman" w:cs="Times New Roman"/>
          <w:sz w:val="24"/>
          <w:szCs w:val="24"/>
        </w:rPr>
        <w:t xml:space="preserve">judesių amplitudė. </w:t>
      </w:r>
      <w:r w:rsidR="00F07D1E">
        <w:rPr>
          <w:rFonts w:ascii="Times New Roman" w:hAnsi="Times New Roman" w:cs="Times New Roman"/>
          <w:sz w:val="24"/>
          <w:szCs w:val="24"/>
        </w:rPr>
        <w:t>Riešo fleksija nuo 38,3±12,7 laipsnių padidėjo iki 43,5±14,7 laipsnių (p&lt;0,05). Riešo ekstenzija padidėjo nuo 36,5±14,7 laipsnių iki 41,6±13,4 laipsnių (p&lt;0,05). Ulnarinė deviacija padidėjo nuo 23,4±8,4 laipsnių iki 26,9±9,9 laipsnių (p&lt;0,05). Radialinė deviacija nuo 10,9±7,0 laipsnių padidėjo iki 13,7±6,8 laipsnių (p&lt;0,05)(</w:t>
      </w:r>
      <w:r w:rsidR="006E13ED">
        <w:rPr>
          <w:rFonts w:ascii="Times New Roman" w:hAnsi="Times New Roman" w:cs="Times New Roman"/>
          <w:sz w:val="24"/>
          <w:szCs w:val="24"/>
        </w:rPr>
        <w:t>12</w:t>
      </w:r>
      <w:r w:rsidR="00F07D1E">
        <w:rPr>
          <w:rFonts w:ascii="Times New Roman" w:hAnsi="Times New Roman" w:cs="Times New Roman"/>
          <w:sz w:val="24"/>
          <w:szCs w:val="24"/>
        </w:rPr>
        <w:t xml:space="preserve"> pav.).</w:t>
      </w:r>
    </w:p>
    <w:p w:rsidR="007E2959" w:rsidRPr="004B3C99" w:rsidRDefault="007E2959" w:rsidP="002F2793">
      <w:pPr>
        <w:spacing w:after="0" w:line="360" w:lineRule="auto"/>
        <w:ind w:firstLine="1296"/>
        <w:contextualSpacing/>
        <w:jc w:val="both"/>
        <w:rPr>
          <w:rFonts w:ascii="Times New Roman" w:hAnsi="Times New Roman" w:cs="Times New Roman"/>
          <w:sz w:val="24"/>
          <w:szCs w:val="24"/>
        </w:rPr>
      </w:pPr>
    </w:p>
    <w:p w:rsidR="003F1493" w:rsidRDefault="00C672E4" w:rsidP="002F2793">
      <w:pPr>
        <w:spacing w:after="0" w:line="360" w:lineRule="auto"/>
        <w:contextualSpacing/>
        <w:jc w:val="center"/>
        <w:rPr>
          <w:rFonts w:ascii="Times New Roman" w:hAnsi="Times New Roman" w:cs="Times New Roman"/>
          <w:b/>
          <w:sz w:val="24"/>
          <w:szCs w:val="24"/>
        </w:rPr>
      </w:pPr>
      <w:r>
        <w:rPr>
          <w:noProof/>
          <w:lang w:eastAsia="lt-LT"/>
        </w:rPr>
        <w:drawing>
          <wp:inline distT="0" distB="0" distL="0" distR="0" wp14:anchorId="778C320F" wp14:editId="58695545">
            <wp:extent cx="4599296" cy="2415654"/>
            <wp:effectExtent l="0" t="0" r="11430" b="22860"/>
            <wp:docPr id="10" name="Diagrama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F21BD" w:rsidRDefault="004F21BD" w:rsidP="002F2793">
      <w:pPr>
        <w:spacing w:after="0"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t>*- p&lt;0,05</w:t>
      </w:r>
    </w:p>
    <w:p w:rsidR="004B3C99" w:rsidRDefault="006E13ED" w:rsidP="002F2793">
      <w:pPr>
        <w:spacing w:after="0" w:line="360" w:lineRule="auto"/>
        <w:contextualSpacing/>
        <w:jc w:val="center"/>
        <w:rPr>
          <w:rFonts w:ascii="Times New Roman" w:hAnsi="Times New Roman" w:cs="Times New Roman"/>
          <w:b/>
          <w:i/>
          <w:sz w:val="24"/>
          <w:szCs w:val="24"/>
        </w:rPr>
      </w:pPr>
      <w:r>
        <w:rPr>
          <w:rFonts w:ascii="Times New Roman" w:hAnsi="Times New Roman" w:cs="Times New Roman"/>
          <w:b/>
          <w:i/>
          <w:sz w:val="24"/>
          <w:szCs w:val="24"/>
        </w:rPr>
        <w:t>12</w:t>
      </w:r>
      <w:r w:rsidR="004B3C99" w:rsidRPr="004B3C99">
        <w:rPr>
          <w:rFonts w:ascii="Times New Roman" w:hAnsi="Times New Roman" w:cs="Times New Roman"/>
          <w:b/>
          <w:i/>
          <w:sz w:val="24"/>
          <w:szCs w:val="24"/>
        </w:rPr>
        <w:t xml:space="preserve"> </w:t>
      </w:r>
      <w:r w:rsidR="004B3C99" w:rsidRPr="008E0B67">
        <w:rPr>
          <w:rFonts w:ascii="Times New Roman" w:hAnsi="Times New Roman" w:cs="Times New Roman"/>
          <w:b/>
          <w:i/>
          <w:sz w:val="24"/>
          <w:szCs w:val="24"/>
        </w:rPr>
        <w:t xml:space="preserve">pav. </w:t>
      </w:r>
      <w:r w:rsidR="004B3C99">
        <w:rPr>
          <w:rFonts w:ascii="Times New Roman" w:hAnsi="Times New Roman" w:cs="Times New Roman"/>
          <w:b/>
          <w:i/>
          <w:sz w:val="24"/>
          <w:szCs w:val="24"/>
        </w:rPr>
        <w:t xml:space="preserve">Riešo ir alkūnės sąnarių judesių </w:t>
      </w:r>
      <w:r w:rsidR="004B3C99" w:rsidRPr="008E0B67">
        <w:rPr>
          <w:rFonts w:ascii="Times New Roman" w:hAnsi="Times New Roman" w:cs="Times New Roman"/>
          <w:b/>
          <w:i/>
          <w:sz w:val="24"/>
          <w:szCs w:val="24"/>
        </w:rPr>
        <w:t xml:space="preserve"> </w:t>
      </w:r>
      <w:r w:rsidR="004B3C99">
        <w:rPr>
          <w:rFonts w:ascii="Times New Roman" w:hAnsi="Times New Roman" w:cs="Times New Roman"/>
          <w:b/>
          <w:i/>
          <w:sz w:val="24"/>
          <w:szCs w:val="24"/>
        </w:rPr>
        <w:t xml:space="preserve">amplitudės </w:t>
      </w:r>
      <w:r w:rsidR="002F05EA">
        <w:rPr>
          <w:rFonts w:ascii="Times New Roman" w:hAnsi="Times New Roman" w:cs="Times New Roman"/>
          <w:b/>
          <w:i/>
          <w:sz w:val="24"/>
          <w:szCs w:val="24"/>
        </w:rPr>
        <w:t>vertinimas</w:t>
      </w:r>
      <w:r w:rsidR="004B3C99" w:rsidRPr="008E0B67">
        <w:rPr>
          <w:rFonts w:ascii="Times New Roman" w:hAnsi="Times New Roman" w:cs="Times New Roman"/>
          <w:b/>
          <w:i/>
          <w:sz w:val="24"/>
          <w:szCs w:val="24"/>
        </w:rPr>
        <w:t xml:space="preserve"> </w:t>
      </w:r>
      <w:r w:rsidR="004B3C99">
        <w:rPr>
          <w:rFonts w:ascii="Times New Roman" w:hAnsi="Times New Roman" w:cs="Times New Roman"/>
          <w:b/>
          <w:i/>
          <w:sz w:val="24"/>
          <w:szCs w:val="24"/>
        </w:rPr>
        <w:t>kontrolinėje</w:t>
      </w:r>
      <w:r w:rsidR="004B3C99" w:rsidRPr="008E0B67">
        <w:rPr>
          <w:rFonts w:ascii="Times New Roman" w:hAnsi="Times New Roman" w:cs="Times New Roman"/>
          <w:b/>
          <w:i/>
          <w:sz w:val="24"/>
          <w:szCs w:val="24"/>
        </w:rPr>
        <w:t xml:space="preserve"> grupėje </w:t>
      </w:r>
      <w:r w:rsidR="002F05EA">
        <w:rPr>
          <w:rFonts w:ascii="Times New Roman" w:hAnsi="Times New Roman" w:cs="Times New Roman"/>
          <w:b/>
          <w:i/>
          <w:sz w:val="24"/>
          <w:szCs w:val="24"/>
        </w:rPr>
        <w:t xml:space="preserve">prieš ir </w:t>
      </w:r>
      <w:r w:rsidR="004B3C99" w:rsidRPr="008E0B67">
        <w:rPr>
          <w:rFonts w:ascii="Times New Roman" w:hAnsi="Times New Roman" w:cs="Times New Roman"/>
          <w:b/>
          <w:i/>
          <w:sz w:val="24"/>
          <w:szCs w:val="24"/>
        </w:rPr>
        <w:t>po procedūrų</w:t>
      </w:r>
    </w:p>
    <w:p w:rsidR="00D402E9" w:rsidRDefault="00D402E9" w:rsidP="002F2793">
      <w:pPr>
        <w:spacing w:after="0" w:line="360" w:lineRule="auto"/>
        <w:contextualSpacing/>
        <w:jc w:val="center"/>
        <w:rPr>
          <w:rFonts w:ascii="Times New Roman" w:hAnsi="Times New Roman" w:cs="Times New Roman"/>
          <w:b/>
          <w:i/>
          <w:sz w:val="24"/>
          <w:szCs w:val="24"/>
        </w:rPr>
      </w:pPr>
    </w:p>
    <w:p w:rsidR="004B3C99" w:rsidRDefault="008B7ECD"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Tiriamosios grupės pacientams prieš ergoterpiją buvo nustatytas 40,69±5,0 Keitelio indeksas, kuris po procedūrų padidėjo iki 43,50±5,3. Indekso padidėjimas buvo statitiškai reikšmingas (p&lt;0,05)(</w:t>
      </w:r>
      <w:r w:rsidR="006E13ED">
        <w:rPr>
          <w:rFonts w:ascii="Times New Roman" w:hAnsi="Times New Roman" w:cs="Times New Roman"/>
          <w:sz w:val="24"/>
          <w:szCs w:val="24"/>
        </w:rPr>
        <w:t>13</w:t>
      </w:r>
      <w:r>
        <w:rPr>
          <w:rFonts w:ascii="Times New Roman" w:hAnsi="Times New Roman" w:cs="Times New Roman"/>
          <w:sz w:val="24"/>
          <w:szCs w:val="24"/>
        </w:rPr>
        <w:t xml:space="preserve"> pav.).</w:t>
      </w:r>
    </w:p>
    <w:p w:rsidR="00D402E9" w:rsidRPr="008B7ECD" w:rsidRDefault="00D402E9" w:rsidP="002F2793">
      <w:pPr>
        <w:spacing w:after="0" w:line="360" w:lineRule="auto"/>
        <w:ind w:firstLine="1296"/>
        <w:contextualSpacing/>
        <w:jc w:val="both"/>
        <w:rPr>
          <w:rFonts w:ascii="Times New Roman" w:hAnsi="Times New Roman" w:cs="Times New Roman"/>
          <w:sz w:val="24"/>
          <w:szCs w:val="24"/>
        </w:rPr>
      </w:pPr>
    </w:p>
    <w:p w:rsidR="00273953" w:rsidRDefault="00C672E4" w:rsidP="002F2793">
      <w:pPr>
        <w:spacing w:after="0" w:line="360" w:lineRule="auto"/>
        <w:contextualSpacing/>
        <w:jc w:val="center"/>
        <w:rPr>
          <w:rFonts w:ascii="Times New Roman" w:hAnsi="Times New Roman" w:cs="Times New Roman"/>
          <w:b/>
          <w:sz w:val="24"/>
          <w:szCs w:val="24"/>
        </w:rPr>
      </w:pPr>
      <w:r>
        <w:rPr>
          <w:noProof/>
          <w:lang w:eastAsia="lt-LT"/>
        </w:rPr>
        <w:drawing>
          <wp:inline distT="0" distB="0" distL="0" distR="0" wp14:anchorId="5BF92097" wp14:editId="7F64299A">
            <wp:extent cx="4804012" cy="2483892"/>
            <wp:effectExtent l="0" t="0" r="15875" b="12065"/>
            <wp:docPr id="11" name="Diagra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672E4" w:rsidRDefault="00C672E4" w:rsidP="002F2793">
      <w:pPr>
        <w:spacing w:after="0"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t>*- p&lt;0,05</w:t>
      </w:r>
    </w:p>
    <w:p w:rsidR="008B7ECD" w:rsidRDefault="006E13ED" w:rsidP="002F2793">
      <w:pPr>
        <w:spacing w:after="0" w:line="360" w:lineRule="auto"/>
        <w:contextualSpacing/>
        <w:jc w:val="center"/>
        <w:rPr>
          <w:rFonts w:ascii="Times New Roman" w:hAnsi="Times New Roman" w:cs="Times New Roman"/>
          <w:b/>
          <w:i/>
          <w:sz w:val="24"/>
          <w:szCs w:val="24"/>
        </w:rPr>
      </w:pPr>
      <w:r>
        <w:rPr>
          <w:rFonts w:ascii="Times New Roman" w:hAnsi="Times New Roman" w:cs="Times New Roman"/>
          <w:b/>
          <w:i/>
          <w:sz w:val="24"/>
          <w:szCs w:val="24"/>
        </w:rPr>
        <w:t>13</w:t>
      </w:r>
      <w:r w:rsidR="008B7ECD" w:rsidRPr="008E0B67">
        <w:rPr>
          <w:rFonts w:ascii="Times New Roman" w:hAnsi="Times New Roman" w:cs="Times New Roman"/>
          <w:b/>
          <w:i/>
          <w:sz w:val="24"/>
          <w:szCs w:val="24"/>
        </w:rPr>
        <w:t xml:space="preserve"> pav. </w:t>
      </w:r>
      <w:r w:rsidR="008B7ECD">
        <w:rPr>
          <w:rFonts w:ascii="Times New Roman" w:hAnsi="Times New Roman" w:cs="Times New Roman"/>
          <w:b/>
          <w:i/>
          <w:sz w:val="24"/>
          <w:szCs w:val="24"/>
        </w:rPr>
        <w:t xml:space="preserve">Keitelio indekso </w:t>
      </w:r>
      <w:r w:rsidR="002F05EA">
        <w:rPr>
          <w:rFonts w:ascii="Times New Roman" w:hAnsi="Times New Roman" w:cs="Times New Roman"/>
          <w:b/>
          <w:i/>
          <w:sz w:val="24"/>
          <w:szCs w:val="24"/>
        </w:rPr>
        <w:t>vertinimas</w:t>
      </w:r>
      <w:r w:rsidR="008B7ECD" w:rsidRPr="008E0B67">
        <w:rPr>
          <w:rFonts w:ascii="Times New Roman" w:hAnsi="Times New Roman" w:cs="Times New Roman"/>
          <w:b/>
          <w:i/>
          <w:sz w:val="24"/>
          <w:szCs w:val="24"/>
        </w:rPr>
        <w:t xml:space="preserve"> </w:t>
      </w:r>
      <w:r w:rsidR="008B7ECD">
        <w:rPr>
          <w:rFonts w:ascii="Times New Roman" w:hAnsi="Times New Roman" w:cs="Times New Roman"/>
          <w:b/>
          <w:i/>
          <w:sz w:val="24"/>
          <w:szCs w:val="24"/>
        </w:rPr>
        <w:t>kontrolinėje</w:t>
      </w:r>
      <w:r w:rsidR="008B7ECD" w:rsidRPr="008E0B67">
        <w:rPr>
          <w:rFonts w:ascii="Times New Roman" w:hAnsi="Times New Roman" w:cs="Times New Roman"/>
          <w:b/>
          <w:i/>
          <w:sz w:val="24"/>
          <w:szCs w:val="24"/>
        </w:rPr>
        <w:t xml:space="preserve"> grupėje </w:t>
      </w:r>
      <w:r w:rsidR="002F05EA">
        <w:rPr>
          <w:rFonts w:ascii="Times New Roman" w:hAnsi="Times New Roman" w:cs="Times New Roman"/>
          <w:b/>
          <w:i/>
          <w:sz w:val="24"/>
          <w:szCs w:val="24"/>
        </w:rPr>
        <w:t xml:space="preserve">prieš ir </w:t>
      </w:r>
      <w:r w:rsidR="008B7ECD" w:rsidRPr="008E0B67">
        <w:rPr>
          <w:rFonts w:ascii="Times New Roman" w:hAnsi="Times New Roman" w:cs="Times New Roman"/>
          <w:b/>
          <w:i/>
          <w:sz w:val="24"/>
          <w:szCs w:val="24"/>
        </w:rPr>
        <w:t>po procedūrų</w:t>
      </w:r>
    </w:p>
    <w:p w:rsidR="00F6593D" w:rsidRDefault="008B7ECD"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Apibendrinant gautus rezultatus galime teigti, kad po ergoterapijos procedūrų netaikius teipavimo pacientams, patyrusiems stipinkaulio tolimojo galo lūžį, pagerėjo rankos funkcija ir padidėjo savarankiškumas. </w:t>
      </w:r>
    </w:p>
    <w:p w:rsidR="00D402E9" w:rsidRDefault="00D402E9" w:rsidP="002F2793">
      <w:pPr>
        <w:spacing w:after="0" w:line="360" w:lineRule="auto"/>
        <w:ind w:firstLine="1296"/>
        <w:contextualSpacing/>
        <w:jc w:val="both"/>
        <w:rPr>
          <w:rFonts w:ascii="Times New Roman" w:hAnsi="Times New Roman" w:cs="Times New Roman"/>
          <w:sz w:val="24"/>
          <w:szCs w:val="24"/>
        </w:rPr>
      </w:pPr>
    </w:p>
    <w:p w:rsidR="008B7ECD" w:rsidRPr="00D402E9" w:rsidRDefault="008B7ECD" w:rsidP="002F2793">
      <w:pPr>
        <w:pStyle w:val="Antrat2"/>
        <w:numPr>
          <w:ilvl w:val="1"/>
          <w:numId w:val="21"/>
        </w:numPr>
        <w:jc w:val="both"/>
        <w:rPr>
          <w:rFonts w:ascii="Times New Roman" w:hAnsi="Times New Roman" w:cs="Times New Roman"/>
          <w:color w:val="auto"/>
          <w:sz w:val="28"/>
          <w:szCs w:val="28"/>
        </w:rPr>
      </w:pPr>
      <w:bookmarkStart w:id="37" w:name="_Toc388560352"/>
      <w:r w:rsidRPr="00D402E9">
        <w:rPr>
          <w:rFonts w:ascii="Times New Roman" w:hAnsi="Times New Roman" w:cs="Times New Roman"/>
          <w:color w:val="auto"/>
          <w:sz w:val="28"/>
          <w:szCs w:val="28"/>
        </w:rPr>
        <w:t xml:space="preserve">Ergoterapijos efektyvumo </w:t>
      </w:r>
      <w:r w:rsidR="00662332" w:rsidRPr="00D402E9">
        <w:rPr>
          <w:rFonts w:ascii="Times New Roman" w:hAnsi="Times New Roman" w:cs="Times New Roman"/>
          <w:color w:val="auto"/>
          <w:sz w:val="28"/>
          <w:szCs w:val="28"/>
        </w:rPr>
        <w:t xml:space="preserve">taikant teipavimą </w:t>
      </w:r>
      <w:r w:rsidRPr="00D402E9">
        <w:rPr>
          <w:rFonts w:ascii="Times New Roman" w:hAnsi="Times New Roman" w:cs="Times New Roman"/>
          <w:color w:val="auto"/>
          <w:sz w:val="28"/>
          <w:szCs w:val="28"/>
        </w:rPr>
        <w:t>vertinimas</w:t>
      </w:r>
      <w:bookmarkEnd w:id="37"/>
    </w:p>
    <w:p w:rsidR="00D402E9" w:rsidRPr="00D402E9" w:rsidRDefault="00D402E9" w:rsidP="002F2793">
      <w:pPr>
        <w:pStyle w:val="Sraopastraipa"/>
        <w:spacing w:after="0" w:line="360" w:lineRule="auto"/>
        <w:ind w:left="855"/>
        <w:jc w:val="both"/>
        <w:rPr>
          <w:rFonts w:ascii="Times New Roman" w:hAnsi="Times New Roman" w:cs="Times New Roman"/>
          <w:sz w:val="24"/>
          <w:szCs w:val="24"/>
        </w:rPr>
      </w:pPr>
    </w:p>
    <w:p w:rsidR="00F6593D" w:rsidRDefault="00F6593D"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Ergoterapijos efektyvumą vertinome lygindami pacientų, kuriems buvo taikytas teipavimas, su pacientų, kuriems netaikytas teipavimas, rankos funkcijos ir savarankiškumo vertinimo rodiklių palyginimu bei rodiklių pokyčio palyginimu.</w:t>
      </w:r>
      <w:r w:rsidR="002F05EA">
        <w:rPr>
          <w:rFonts w:ascii="Times New Roman" w:hAnsi="Times New Roman" w:cs="Times New Roman"/>
          <w:sz w:val="24"/>
          <w:szCs w:val="24"/>
        </w:rPr>
        <w:t xml:space="preserve"> </w:t>
      </w:r>
      <w:r>
        <w:rPr>
          <w:rFonts w:ascii="Times New Roman" w:hAnsi="Times New Roman" w:cs="Times New Roman"/>
          <w:sz w:val="24"/>
          <w:szCs w:val="24"/>
        </w:rPr>
        <w:t xml:space="preserve">Skausmo vertinimas prieš procedūras tiriamojoje </w:t>
      </w:r>
      <w:r w:rsidR="002F05EA">
        <w:rPr>
          <w:rFonts w:ascii="Times New Roman" w:hAnsi="Times New Roman" w:cs="Times New Roman"/>
          <w:sz w:val="24"/>
          <w:szCs w:val="24"/>
        </w:rPr>
        <w:t xml:space="preserve">grupėje </w:t>
      </w:r>
      <w:r>
        <w:rPr>
          <w:rFonts w:ascii="Times New Roman" w:hAnsi="Times New Roman" w:cs="Times New Roman"/>
          <w:sz w:val="24"/>
          <w:szCs w:val="24"/>
        </w:rPr>
        <w:t xml:space="preserve">buvo </w:t>
      </w:r>
      <w:r w:rsidR="00D817E4">
        <w:rPr>
          <w:rFonts w:ascii="Times New Roman" w:hAnsi="Times New Roman" w:cs="Times New Roman"/>
          <w:sz w:val="24"/>
          <w:szCs w:val="24"/>
        </w:rPr>
        <w:t>mažesnis</w:t>
      </w:r>
      <w:r w:rsidR="002F05EA">
        <w:rPr>
          <w:rFonts w:ascii="Times New Roman" w:hAnsi="Times New Roman" w:cs="Times New Roman"/>
          <w:sz w:val="24"/>
          <w:szCs w:val="24"/>
        </w:rPr>
        <w:t xml:space="preserve"> negu</w:t>
      </w:r>
      <w:r>
        <w:rPr>
          <w:rFonts w:ascii="Times New Roman" w:hAnsi="Times New Roman" w:cs="Times New Roman"/>
          <w:sz w:val="24"/>
          <w:szCs w:val="24"/>
        </w:rPr>
        <w:t xml:space="preserve"> kontrolinėje</w:t>
      </w:r>
      <w:r w:rsidR="002F05EA">
        <w:rPr>
          <w:rFonts w:ascii="Times New Roman" w:hAnsi="Times New Roman" w:cs="Times New Roman"/>
          <w:sz w:val="24"/>
          <w:szCs w:val="24"/>
        </w:rPr>
        <w:t>, tačiau skirtumas nebuvo statistiškai reikšmingas (p&lt;0,05).</w:t>
      </w:r>
      <w:r>
        <w:rPr>
          <w:rFonts w:ascii="Times New Roman" w:hAnsi="Times New Roman" w:cs="Times New Roman"/>
          <w:sz w:val="24"/>
          <w:szCs w:val="24"/>
        </w:rPr>
        <w:t xml:space="preserve"> </w:t>
      </w:r>
      <w:r w:rsidR="002F05EA">
        <w:rPr>
          <w:rFonts w:ascii="Times New Roman" w:hAnsi="Times New Roman" w:cs="Times New Roman"/>
          <w:sz w:val="24"/>
          <w:szCs w:val="24"/>
        </w:rPr>
        <w:t>Po procedūrų tiriamojoje grupėje skausmo vertinimas buvo statistiškai reikšmingai mažesnis, nei kontrolinėje (p&lt;0,05)(1</w:t>
      </w:r>
      <w:r w:rsidR="006E13ED">
        <w:rPr>
          <w:rFonts w:ascii="Times New Roman" w:hAnsi="Times New Roman" w:cs="Times New Roman"/>
          <w:sz w:val="24"/>
          <w:szCs w:val="24"/>
        </w:rPr>
        <w:t>4</w:t>
      </w:r>
      <w:r w:rsidR="002F05EA">
        <w:rPr>
          <w:rFonts w:ascii="Times New Roman" w:hAnsi="Times New Roman" w:cs="Times New Roman"/>
          <w:sz w:val="24"/>
          <w:szCs w:val="24"/>
        </w:rPr>
        <w:t xml:space="preserve"> pav.).</w:t>
      </w:r>
    </w:p>
    <w:p w:rsidR="00D402E9" w:rsidRPr="00F6593D" w:rsidRDefault="00D402E9" w:rsidP="002F2793">
      <w:pPr>
        <w:spacing w:after="0" w:line="360" w:lineRule="auto"/>
        <w:ind w:firstLine="1296"/>
        <w:contextualSpacing/>
        <w:jc w:val="both"/>
        <w:rPr>
          <w:rFonts w:ascii="Times New Roman" w:hAnsi="Times New Roman" w:cs="Times New Roman"/>
          <w:sz w:val="24"/>
          <w:szCs w:val="24"/>
        </w:rPr>
      </w:pPr>
    </w:p>
    <w:p w:rsidR="00C32198" w:rsidRDefault="0012498C" w:rsidP="002F2793">
      <w:pPr>
        <w:spacing w:after="0" w:line="360" w:lineRule="auto"/>
        <w:contextualSpacing/>
        <w:jc w:val="center"/>
        <w:rPr>
          <w:rFonts w:ascii="Times New Roman" w:hAnsi="Times New Roman" w:cs="Times New Roman"/>
          <w:b/>
          <w:sz w:val="24"/>
          <w:szCs w:val="24"/>
        </w:rPr>
      </w:pPr>
      <w:r>
        <w:rPr>
          <w:noProof/>
          <w:lang w:eastAsia="lt-LT"/>
        </w:rPr>
        <w:drawing>
          <wp:inline distT="0" distB="0" distL="0" distR="0" wp14:anchorId="409CF69A" wp14:editId="60AD3CF2">
            <wp:extent cx="5063319" cy="2866030"/>
            <wp:effectExtent l="0" t="0" r="23495" b="10795"/>
            <wp:docPr id="19" name="Diagrama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F62BB" w:rsidRDefault="000F62BB" w:rsidP="002F2793">
      <w:pPr>
        <w:spacing w:after="0"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t>*- p&lt;0,05</w:t>
      </w:r>
    </w:p>
    <w:p w:rsidR="00662332" w:rsidRDefault="002F05EA" w:rsidP="002F2793">
      <w:pPr>
        <w:spacing w:after="0" w:line="360" w:lineRule="auto"/>
        <w:contextualSpacing/>
        <w:jc w:val="center"/>
        <w:rPr>
          <w:rFonts w:ascii="Times New Roman" w:hAnsi="Times New Roman" w:cs="Times New Roman"/>
          <w:b/>
          <w:i/>
          <w:sz w:val="24"/>
          <w:szCs w:val="24"/>
        </w:rPr>
      </w:pPr>
      <w:r w:rsidRPr="002F05EA">
        <w:rPr>
          <w:rFonts w:ascii="Times New Roman" w:hAnsi="Times New Roman" w:cs="Times New Roman"/>
          <w:b/>
          <w:i/>
          <w:sz w:val="24"/>
          <w:szCs w:val="24"/>
        </w:rPr>
        <w:t>1</w:t>
      </w:r>
      <w:r w:rsidR="006E13ED">
        <w:rPr>
          <w:rFonts w:ascii="Times New Roman" w:hAnsi="Times New Roman" w:cs="Times New Roman"/>
          <w:b/>
          <w:i/>
          <w:sz w:val="24"/>
          <w:szCs w:val="24"/>
        </w:rPr>
        <w:t>4</w:t>
      </w:r>
      <w:r w:rsidRPr="002F05EA">
        <w:rPr>
          <w:rFonts w:ascii="Times New Roman" w:hAnsi="Times New Roman" w:cs="Times New Roman"/>
          <w:b/>
          <w:i/>
          <w:sz w:val="24"/>
          <w:szCs w:val="24"/>
        </w:rPr>
        <w:t xml:space="preserve"> pav</w:t>
      </w:r>
      <w:r>
        <w:rPr>
          <w:rFonts w:ascii="Times New Roman" w:hAnsi="Times New Roman" w:cs="Times New Roman"/>
          <w:b/>
          <w:sz w:val="24"/>
          <w:szCs w:val="24"/>
        </w:rPr>
        <w:t xml:space="preserve">. </w:t>
      </w:r>
      <w:r w:rsidRPr="00290E72">
        <w:rPr>
          <w:rFonts w:ascii="Times New Roman" w:hAnsi="Times New Roman" w:cs="Times New Roman"/>
          <w:b/>
          <w:i/>
          <w:sz w:val="24"/>
          <w:szCs w:val="24"/>
        </w:rPr>
        <w:t xml:space="preserve">Skausmo </w:t>
      </w:r>
      <w:r>
        <w:rPr>
          <w:rFonts w:ascii="Times New Roman" w:hAnsi="Times New Roman" w:cs="Times New Roman"/>
          <w:b/>
          <w:i/>
          <w:sz w:val="24"/>
          <w:szCs w:val="24"/>
        </w:rPr>
        <w:t>vertinimas</w:t>
      </w:r>
      <w:r w:rsidRPr="00290E72">
        <w:rPr>
          <w:rFonts w:ascii="Times New Roman" w:hAnsi="Times New Roman" w:cs="Times New Roman"/>
          <w:b/>
          <w:i/>
          <w:sz w:val="24"/>
          <w:szCs w:val="24"/>
        </w:rPr>
        <w:t xml:space="preserve"> </w:t>
      </w:r>
      <w:r>
        <w:rPr>
          <w:rFonts w:ascii="Times New Roman" w:hAnsi="Times New Roman" w:cs="Times New Roman"/>
          <w:b/>
          <w:i/>
          <w:sz w:val="24"/>
          <w:szCs w:val="24"/>
        </w:rPr>
        <w:t>kontrolinėje ir tiriamojoje grupėse</w:t>
      </w:r>
      <w:r w:rsidRPr="00290E72">
        <w:rPr>
          <w:rFonts w:ascii="Times New Roman" w:hAnsi="Times New Roman" w:cs="Times New Roman"/>
          <w:b/>
          <w:i/>
          <w:sz w:val="24"/>
          <w:szCs w:val="24"/>
        </w:rPr>
        <w:t xml:space="preserve"> </w:t>
      </w:r>
      <w:r>
        <w:rPr>
          <w:rFonts w:ascii="Times New Roman" w:hAnsi="Times New Roman" w:cs="Times New Roman"/>
          <w:b/>
          <w:i/>
          <w:sz w:val="24"/>
          <w:szCs w:val="24"/>
        </w:rPr>
        <w:t xml:space="preserve">prieš ir </w:t>
      </w:r>
      <w:r w:rsidRPr="00290E72">
        <w:rPr>
          <w:rFonts w:ascii="Times New Roman" w:hAnsi="Times New Roman" w:cs="Times New Roman"/>
          <w:b/>
          <w:i/>
          <w:sz w:val="24"/>
          <w:szCs w:val="24"/>
        </w:rPr>
        <w:t>po procedūrų</w:t>
      </w:r>
    </w:p>
    <w:p w:rsidR="00D402E9" w:rsidRDefault="00D402E9" w:rsidP="002F2793">
      <w:pPr>
        <w:spacing w:after="0" w:line="360" w:lineRule="auto"/>
        <w:contextualSpacing/>
        <w:jc w:val="center"/>
        <w:rPr>
          <w:rFonts w:ascii="Times New Roman" w:hAnsi="Times New Roman" w:cs="Times New Roman"/>
          <w:b/>
          <w:i/>
          <w:sz w:val="24"/>
          <w:szCs w:val="24"/>
        </w:rPr>
      </w:pPr>
    </w:p>
    <w:p w:rsidR="0012498C" w:rsidRPr="00D33E91" w:rsidRDefault="00D33E91"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Raumenų sustingimo vertinimas prieš procedūras tiriamojoje grupėje buvo nežymiai </w:t>
      </w:r>
      <w:r w:rsidR="00D817E4">
        <w:rPr>
          <w:rFonts w:ascii="Times New Roman" w:hAnsi="Times New Roman" w:cs="Times New Roman"/>
          <w:sz w:val="24"/>
          <w:szCs w:val="24"/>
        </w:rPr>
        <w:t>mažesnis</w:t>
      </w:r>
      <w:r>
        <w:rPr>
          <w:rFonts w:ascii="Times New Roman" w:hAnsi="Times New Roman" w:cs="Times New Roman"/>
          <w:sz w:val="24"/>
          <w:szCs w:val="24"/>
        </w:rPr>
        <w:t xml:space="preserve">, nei kontrolinėje (p&lt;0,05). Po procedūrų tiriamosios grupės </w:t>
      </w:r>
      <w:r w:rsidR="0068007E">
        <w:rPr>
          <w:rFonts w:ascii="Times New Roman" w:hAnsi="Times New Roman" w:cs="Times New Roman"/>
          <w:sz w:val="24"/>
          <w:szCs w:val="24"/>
        </w:rPr>
        <w:t>sustingimo</w:t>
      </w:r>
      <w:r>
        <w:rPr>
          <w:rFonts w:ascii="Times New Roman" w:hAnsi="Times New Roman" w:cs="Times New Roman"/>
          <w:sz w:val="24"/>
          <w:szCs w:val="24"/>
        </w:rPr>
        <w:t xml:space="preserve"> vertinimas buvo statistiškai reikšmingai mažesnis, nei kontrolinėje (p&lt;0,05)(1</w:t>
      </w:r>
      <w:r w:rsidR="006E13ED">
        <w:rPr>
          <w:rFonts w:ascii="Times New Roman" w:hAnsi="Times New Roman" w:cs="Times New Roman"/>
          <w:sz w:val="24"/>
          <w:szCs w:val="24"/>
        </w:rPr>
        <w:t>5</w:t>
      </w:r>
      <w:r>
        <w:rPr>
          <w:rFonts w:ascii="Times New Roman" w:hAnsi="Times New Roman" w:cs="Times New Roman"/>
          <w:sz w:val="24"/>
          <w:szCs w:val="24"/>
        </w:rPr>
        <w:t xml:space="preserve"> pav.). </w:t>
      </w:r>
    </w:p>
    <w:p w:rsidR="000F62BB" w:rsidRDefault="0012498C" w:rsidP="002F2793">
      <w:pPr>
        <w:spacing w:after="0" w:line="360" w:lineRule="auto"/>
        <w:contextualSpacing/>
        <w:jc w:val="center"/>
        <w:rPr>
          <w:rFonts w:ascii="Times New Roman" w:hAnsi="Times New Roman" w:cs="Times New Roman"/>
          <w:b/>
          <w:sz w:val="24"/>
          <w:szCs w:val="24"/>
        </w:rPr>
      </w:pPr>
      <w:r>
        <w:rPr>
          <w:noProof/>
          <w:lang w:eastAsia="lt-LT"/>
        </w:rPr>
        <w:lastRenderedPageBreak/>
        <w:drawing>
          <wp:inline distT="0" distB="0" distL="0" distR="0" wp14:anchorId="7108094C" wp14:editId="5C598C56">
            <wp:extent cx="4914900" cy="2571750"/>
            <wp:effectExtent l="0" t="0" r="19050" b="19050"/>
            <wp:docPr id="20" name="Diagrama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F62BB" w:rsidRDefault="000F62BB" w:rsidP="002F2793">
      <w:pPr>
        <w:spacing w:after="0"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t>*- p&lt;0,05</w:t>
      </w:r>
    </w:p>
    <w:p w:rsidR="002F05EA" w:rsidRDefault="002F05EA" w:rsidP="002F2793">
      <w:pPr>
        <w:spacing w:after="0" w:line="360" w:lineRule="auto"/>
        <w:contextualSpacing/>
        <w:jc w:val="center"/>
        <w:rPr>
          <w:rFonts w:ascii="Times New Roman" w:hAnsi="Times New Roman" w:cs="Times New Roman"/>
          <w:b/>
          <w:i/>
          <w:sz w:val="24"/>
          <w:szCs w:val="24"/>
        </w:rPr>
      </w:pPr>
      <w:r w:rsidRPr="002F05EA">
        <w:rPr>
          <w:rFonts w:ascii="Times New Roman" w:hAnsi="Times New Roman" w:cs="Times New Roman"/>
          <w:b/>
          <w:i/>
          <w:sz w:val="24"/>
          <w:szCs w:val="24"/>
        </w:rPr>
        <w:t>1</w:t>
      </w:r>
      <w:r w:rsidR="006E13ED">
        <w:rPr>
          <w:rFonts w:ascii="Times New Roman" w:hAnsi="Times New Roman" w:cs="Times New Roman"/>
          <w:b/>
          <w:i/>
          <w:sz w:val="24"/>
          <w:szCs w:val="24"/>
        </w:rPr>
        <w:t>5</w:t>
      </w:r>
      <w:r w:rsidRPr="002F05EA">
        <w:rPr>
          <w:rFonts w:ascii="Times New Roman" w:hAnsi="Times New Roman" w:cs="Times New Roman"/>
          <w:b/>
          <w:i/>
          <w:sz w:val="24"/>
          <w:szCs w:val="24"/>
        </w:rPr>
        <w:t xml:space="preserve"> pav. Skausmo vertinimas kontrolinėje ir tiriamojoje grupėse prieš ir po procedūrų</w:t>
      </w:r>
    </w:p>
    <w:p w:rsidR="00D402E9" w:rsidRDefault="00D402E9" w:rsidP="002F2793">
      <w:pPr>
        <w:spacing w:after="0" w:line="360" w:lineRule="auto"/>
        <w:contextualSpacing/>
        <w:jc w:val="center"/>
        <w:rPr>
          <w:rFonts w:ascii="Times New Roman" w:hAnsi="Times New Roman" w:cs="Times New Roman"/>
          <w:b/>
          <w:i/>
          <w:sz w:val="24"/>
          <w:szCs w:val="24"/>
        </w:rPr>
      </w:pPr>
    </w:p>
    <w:p w:rsidR="002F05EA" w:rsidRDefault="00D817E4"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Prieš procedūras raumenų jėga tiriamosios grupės pacientams buvo mažesnė, nei kontrolinės grupės pacientų, tačiau po ergoterapijos taikant teipavimą </w:t>
      </w:r>
      <w:r w:rsidR="0096392E">
        <w:rPr>
          <w:rFonts w:ascii="Times New Roman" w:hAnsi="Times New Roman" w:cs="Times New Roman"/>
          <w:sz w:val="24"/>
          <w:szCs w:val="24"/>
        </w:rPr>
        <w:t>pacientų raumenų jėga buvo didesnė, nei pacientams, kuriems teipavimas netaikytas. Tačiau gauti skirtumai nebuvo statistiškai reikšmingi (p&lt;0,05)(1</w:t>
      </w:r>
      <w:r w:rsidR="006E13ED">
        <w:rPr>
          <w:rFonts w:ascii="Times New Roman" w:hAnsi="Times New Roman" w:cs="Times New Roman"/>
          <w:sz w:val="24"/>
          <w:szCs w:val="24"/>
        </w:rPr>
        <w:t>6</w:t>
      </w:r>
      <w:r w:rsidR="0096392E">
        <w:rPr>
          <w:rFonts w:ascii="Times New Roman" w:hAnsi="Times New Roman" w:cs="Times New Roman"/>
          <w:sz w:val="24"/>
          <w:szCs w:val="24"/>
        </w:rPr>
        <w:t xml:space="preserve"> pav.).</w:t>
      </w:r>
      <w:r>
        <w:rPr>
          <w:rFonts w:ascii="Times New Roman" w:hAnsi="Times New Roman" w:cs="Times New Roman"/>
          <w:sz w:val="24"/>
          <w:szCs w:val="24"/>
        </w:rPr>
        <w:t xml:space="preserve"> </w:t>
      </w:r>
    </w:p>
    <w:p w:rsidR="00D402E9" w:rsidRPr="0096392E" w:rsidRDefault="00D402E9" w:rsidP="002F2793">
      <w:pPr>
        <w:spacing w:after="0" w:line="360" w:lineRule="auto"/>
        <w:contextualSpacing/>
        <w:jc w:val="both"/>
        <w:rPr>
          <w:rFonts w:ascii="Times New Roman" w:hAnsi="Times New Roman" w:cs="Times New Roman"/>
          <w:sz w:val="24"/>
          <w:szCs w:val="24"/>
        </w:rPr>
      </w:pPr>
    </w:p>
    <w:p w:rsidR="000F62BB" w:rsidRDefault="00A70299" w:rsidP="002F2793">
      <w:pPr>
        <w:spacing w:after="0" w:line="360" w:lineRule="auto"/>
        <w:contextualSpacing/>
        <w:jc w:val="center"/>
        <w:rPr>
          <w:rFonts w:ascii="Times New Roman" w:hAnsi="Times New Roman" w:cs="Times New Roman"/>
          <w:b/>
          <w:sz w:val="24"/>
          <w:szCs w:val="24"/>
        </w:rPr>
      </w:pPr>
      <w:r>
        <w:rPr>
          <w:noProof/>
          <w:lang w:eastAsia="lt-LT"/>
        </w:rPr>
        <w:drawing>
          <wp:inline distT="0" distB="0" distL="0" distR="0" wp14:anchorId="7269B673" wp14:editId="5C89599B">
            <wp:extent cx="4886325" cy="2743200"/>
            <wp:effectExtent l="0" t="0" r="9525" b="19050"/>
            <wp:docPr id="22" name="Diagrama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F62BB" w:rsidRDefault="000F62BB" w:rsidP="002F2793">
      <w:pPr>
        <w:spacing w:after="0"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t>p&gt;0,05</w:t>
      </w:r>
    </w:p>
    <w:p w:rsidR="0096392E" w:rsidRDefault="0096392E" w:rsidP="002F2793">
      <w:pPr>
        <w:spacing w:after="0" w:line="360" w:lineRule="auto"/>
        <w:contextualSpacing/>
        <w:jc w:val="center"/>
        <w:rPr>
          <w:rFonts w:ascii="Times New Roman" w:hAnsi="Times New Roman" w:cs="Times New Roman"/>
          <w:b/>
          <w:i/>
          <w:sz w:val="24"/>
          <w:szCs w:val="24"/>
        </w:rPr>
      </w:pPr>
      <w:r w:rsidRPr="002F05EA">
        <w:rPr>
          <w:rFonts w:ascii="Times New Roman" w:hAnsi="Times New Roman" w:cs="Times New Roman"/>
          <w:b/>
          <w:i/>
          <w:sz w:val="24"/>
          <w:szCs w:val="24"/>
        </w:rPr>
        <w:t>1</w:t>
      </w:r>
      <w:r w:rsidR="006E13ED">
        <w:rPr>
          <w:rFonts w:ascii="Times New Roman" w:hAnsi="Times New Roman" w:cs="Times New Roman"/>
          <w:b/>
          <w:i/>
          <w:sz w:val="24"/>
          <w:szCs w:val="24"/>
        </w:rPr>
        <w:t>6</w:t>
      </w:r>
      <w:r w:rsidRPr="002F05EA">
        <w:rPr>
          <w:rFonts w:ascii="Times New Roman" w:hAnsi="Times New Roman" w:cs="Times New Roman"/>
          <w:b/>
          <w:i/>
          <w:sz w:val="24"/>
          <w:szCs w:val="24"/>
        </w:rPr>
        <w:t xml:space="preserve"> pav. </w:t>
      </w:r>
      <w:r>
        <w:rPr>
          <w:rFonts w:ascii="Times New Roman" w:hAnsi="Times New Roman" w:cs="Times New Roman"/>
          <w:b/>
          <w:i/>
          <w:sz w:val="24"/>
          <w:szCs w:val="24"/>
        </w:rPr>
        <w:t>Raumenų jėgos</w:t>
      </w:r>
      <w:r w:rsidRPr="002F05EA">
        <w:rPr>
          <w:rFonts w:ascii="Times New Roman" w:hAnsi="Times New Roman" w:cs="Times New Roman"/>
          <w:b/>
          <w:i/>
          <w:sz w:val="24"/>
          <w:szCs w:val="24"/>
        </w:rPr>
        <w:t xml:space="preserve"> vertinimas kontrolinėje ir tiriamojoje grupėse prieš ir po procedūrų</w:t>
      </w:r>
    </w:p>
    <w:p w:rsidR="00D402E9" w:rsidRDefault="00D402E9" w:rsidP="002F2793">
      <w:pPr>
        <w:spacing w:after="0" w:line="360" w:lineRule="auto"/>
        <w:contextualSpacing/>
        <w:jc w:val="center"/>
        <w:rPr>
          <w:rFonts w:ascii="Times New Roman" w:hAnsi="Times New Roman" w:cs="Times New Roman"/>
          <w:b/>
          <w:i/>
          <w:sz w:val="24"/>
          <w:szCs w:val="24"/>
        </w:rPr>
      </w:pPr>
    </w:p>
    <w:p w:rsidR="003F05CC" w:rsidRDefault="0033186F"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Tyrimo metu lyginome riešo ir alkūnės sąnarių amplitudę prieš ir po ergoterapijos procedūrų tiriamojoje ir kontrolinėje grupėse. Rezultatai parodė, kad nors tiriamosios grupės pacientų plaštakos </w:t>
      </w:r>
      <w:r>
        <w:rPr>
          <w:rFonts w:ascii="Times New Roman" w:hAnsi="Times New Roman" w:cs="Times New Roman"/>
          <w:sz w:val="24"/>
          <w:szCs w:val="24"/>
        </w:rPr>
        <w:lastRenderedPageBreak/>
        <w:t>fleksija, prieš procedūras buvusi mažesnė, po procedūrų padidėjo labiau nei kontrolinės grupės pacientams, tačiau skirtumai nebuvo statistiškai reikšmingi (p&lt;0,05)(1</w:t>
      </w:r>
      <w:r w:rsidR="006E13ED">
        <w:rPr>
          <w:rFonts w:ascii="Times New Roman" w:hAnsi="Times New Roman" w:cs="Times New Roman"/>
          <w:sz w:val="24"/>
          <w:szCs w:val="24"/>
        </w:rPr>
        <w:t>7</w:t>
      </w:r>
      <w:r>
        <w:rPr>
          <w:rFonts w:ascii="Times New Roman" w:hAnsi="Times New Roman" w:cs="Times New Roman"/>
          <w:sz w:val="24"/>
          <w:szCs w:val="24"/>
        </w:rPr>
        <w:t xml:space="preserve"> pav.).</w:t>
      </w:r>
    </w:p>
    <w:p w:rsidR="00D402E9" w:rsidRPr="0033186F" w:rsidRDefault="00D402E9" w:rsidP="002F2793">
      <w:pPr>
        <w:spacing w:after="0" w:line="360" w:lineRule="auto"/>
        <w:ind w:firstLine="1296"/>
        <w:contextualSpacing/>
        <w:jc w:val="both"/>
        <w:rPr>
          <w:rFonts w:ascii="Times New Roman" w:hAnsi="Times New Roman" w:cs="Times New Roman"/>
          <w:sz w:val="24"/>
          <w:szCs w:val="24"/>
        </w:rPr>
      </w:pPr>
    </w:p>
    <w:p w:rsidR="00927C4A" w:rsidRDefault="00A70299" w:rsidP="002F2793">
      <w:pPr>
        <w:spacing w:after="0" w:line="360" w:lineRule="auto"/>
        <w:contextualSpacing/>
        <w:jc w:val="center"/>
        <w:rPr>
          <w:rFonts w:ascii="Times New Roman" w:hAnsi="Times New Roman" w:cs="Times New Roman"/>
          <w:b/>
          <w:sz w:val="24"/>
          <w:szCs w:val="24"/>
        </w:rPr>
      </w:pPr>
      <w:r>
        <w:rPr>
          <w:noProof/>
          <w:lang w:eastAsia="lt-LT"/>
        </w:rPr>
        <w:drawing>
          <wp:inline distT="0" distB="0" distL="0" distR="0" wp14:anchorId="1C3F64A8" wp14:editId="4705303C">
            <wp:extent cx="4962525" cy="2971800"/>
            <wp:effectExtent l="0" t="0" r="9525" b="19050"/>
            <wp:docPr id="23" name="Diagrama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C0C69" w:rsidRDefault="005C0C69" w:rsidP="002F2793">
      <w:pPr>
        <w:spacing w:after="0"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t>p&gt;0,05</w:t>
      </w:r>
    </w:p>
    <w:p w:rsidR="0033186F" w:rsidRDefault="0033186F" w:rsidP="002F2793">
      <w:pPr>
        <w:spacing w:after="0" w:line="360" w:lineRule="auto"/>
        <w:contextualSpacing/>
        <w:jc w:val="center"/>
        <w:rPr>
          <w:rFonts w:ascii="Times New Roman" w:hAnsi="Times New Roman" w:cs="Times New Roman"/>
          <w:b/>
          <w:i/>
          <w:sz w:val="24"/>
          <w:szCs w:val="24"/>
        </w:rPr>
      </w:pPr>
      <w:r w:rsidRPr="002F05EA">
        <w:rPr>
          <w:rFonts w:ascii="Times New Roman" w:hAnsi="Times New Roman" w:cs="Times New Roman"/>
          <w:b/>
          <w:i/>
          <w:sz w:val="24"/>
          <w:szCs w:val="24"/>
        </w:rPr>
        <w:t>1</w:t>
      </w:r>
      <w:r w:rsidR="006E13ED">
        <w:rPr>
          <w:rFonts w:ascii="Times New Roman" w:hAnsi="Times New Roman" w:cs="Times New Roman"/>
          <w:b/>
          <w:i/>
          <w:sz w:val="24"/>
          <w:szCs w:val="24"/>
        </w:rPr>
        <w:t>7</w:t>
      </w:r>
      <w:r w:rsidRPr="002F05EA">
        <w:rPr>
          <w:rFonts w:ascii="Times New Roman" w:hAnsi="Times New Roman" w:cs="Times New Roman"/>
          <w:b/>
          <w:i/>
          <w:sz w:val="24"/>
          <w:szCs w:val="24"/>
        </w:rPr>
        <w:t xml:space="preserve"> pav. </w:t>
      </w:r>
      <w:r w:rsidR="00FC3E43">
        <w:rPr>
          <w:rFonts w:ascii="Times New Roman" w:hAnsi="Times New Roman" w:cs="Times New Roman"/>
          <w:b/>
          <w:i/>
          <w:sz w:val="24"/>
          <w:szCs w:val="24"/>
        </w:rPr>
        <w:t xml:space="preserve">Plaštakos fleksijos </w:t>
      </w:r>
      <w:r w:rsidRPr="002F05EA">
        <w:rPr>
          <w:rFonts w:ascii="Times New Roman" w:hAnsi="Times New Roman" w:cs="Times New Roman"/>
          <w:b/>
          <w:i/>
          <w:sz w:val="24"/>
          <w:szCs w:val="24"/>
        </w:rPr>
        <w:t>vertinimas kontrolinėje ir tiriamojoje grupėse prieš ir po procedūrų</w:t>
      </w:r>
    </w:p>
    <w:p w:rsidR="00D402E9" w:rsidRDefault="00D402E9" w:rsidP="002F2793">
      <w:pPr>
        <w:spacing w:after="0" w:line="360" w:lineRule="auto"/>
        <w:contextualSpacing/>
        <w:jc w:val="center"/>
        <w:rPr>
          <w:rFonts w:ascii="Times New Roman" w:hAnsi="Times New Roman" w:cs="Times New Roman"/>
          <w:b/>
          <w:i/>
          <w:sz w:val="24"/>
          <w:szCs w:val="24"/>
        </w:rPr>
      </w:pPr>
    </w:p>
    <w:p w:rsidR="0033186F" w:rsidRDefault="00632EC1"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Plaštakos ekstenzijos matavimų rezultatai prieš procedūras buvo didesni tiriamojoje grupėje, tokie ir išliko po procedūrų. Tiriamosios ir kontrolinės grupės plaštakos ekstenzijos matavimai prieš ir po procedūrų statistiškai reikšmingai nesiskyrė (p&lt;0,05)(1</w:t>
      </w:r>
      <w:r w:rsidR="006E13ED">
        <w:rPr>
          <w:rFonts w:ascii="Times New Roman" w:hAnsi="Times New Roman" w:cs="Times New Roman"/>
          <w:sz w:val="24"/>
          <w:szCs w:val="24"/>
        </w:rPr>
        <w:t>8</w:t>
      </w:r>
      <w:r>
        <w:rPr>
          <w:rFonts w:ascii="Times New Roman" w:hAnsi="Times New Roman" w:cs="Times New Roman"/>
          <w:sz w:val="24"/>
          <w:szCs w:val="24"/>
        </w:rPr>
        <w:t xml:space="preserve"> pav.). </w:t>
      </w:r>
    </w:p>
    <w:p w:rsidR="00D402E9" w:rsidRPr="00632EC1" w:rsidRDefault="00D402E9" w:rsidP="002F2793">
      <w:pPr>
        <w:spacing w:after="0" w:line="360" w:lineRule="auto"/>
        <w:ind w:firstLine="1296"/>
        <w:contextualSpacing/>
        <w:jc w:val="both"/>
        <w:rPr>
          <w:rFonts w:ascii="Times New Roman" w:hAnsi="Times New Roman" w:cs="Times New Roman"/>
          <w:sz w:val="24"/>
          <w:szCs w:val="24"/>
        </w:rPr>
      </w:pPr>
    </w:p>
    <w:p w:rsidR="005C0C69" w:rsidRDefault="00C3475F" w:rsidP="002F2793">
      <w:pPr>
        <w:spacing w:after="0" w:line="360" w:lineRule="auto"/>
        <w:contextualSpacing/>
        <w:jc w:val="center"/>
        <w:rPr>
          <w:rFonts w:ascii="Times New Roman" w:hAnsi="Times New Roman" w:cs="Times New Roman"/>
          <w:b/>
          <w:sz w:val="24"/>
          <w:szCs w:val="24"/>
        </w:rPr>
      </w:pPr>
      <w:r>
        <w:rPr>
          <w:noProof/>
          <w:lang w:eastAsia="lt-LT"/>
        </w:rPr>
        <w:drawing>
          <wp:inline distT="0" distB="0" distL="0" distR="0" wp14:anchorId="2D185845" wp14:editId="19FF2D2E">
            <wp:extent cx="4954137" cy="2934269"/>
            <wp:effectExtent l="0" t="0" r="18415" b="19050"/>
            <wp:docPr id="24" name="Diagrama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F05CC" w:rsidRDefault="003F05CC" w:rsidP="002F2793">
      <w:pPr>
        <w:spacing w:after="0"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t>p&gt;0,05</w:t>
      </w:r>
    </w:p>
    <w:p w:rsidR="00632EC1" w:rsidRDefault="00632EC1" w:rsidP="002F2793">
      <w:pPr>
        <w:spacing w:after="0" w:line="360" w:lineRule="auto"/>
        <w:contextualSpacing/>
        <w:jc w:val="center"/>
        <w:rPr>
          <w:rFonts w:ascii="Times New Roman" w:hAnsi="Times New Roman" w:cs="Times New Roman"/>
          <w:b/>
          <w:i/>
          <w:sz w:val="24"/>
          <w:szCs w:val="24"/>
        </w:rPr>
      </w:pPr>
      <w:r w:rsidRPr="002F05EA">
        <w:rPr>
          <w:rFonts w:ascii="Times New Roman" w:hAnsi="Times New Roman" w:cs="Times New Roman"/>
          <w:b/>
          <w:i/>
          <w:sz w:val="24"/>
          <w:szCs w:val="24"/>
        </w:rPr>
        <w:t>1</w:t>
      </w:r>
      <w:r w:rsidR="006E13ED">
        <w:rPr>
          <w:rFonts w:ascii="Times New Roman" w:hAnsi="Times New Roman" w:cs="Times New Roman"/>
          <w:b/>
          <w:i/>
          <w:sz w:val="24"/>
          <w:szCs w:val="24"/>
        </w:rPr>
        <w:t>8</w:t>
      </w:r>
      <w:r w:rsidRPr="002F05EA">
        <w:rPr>
          <w:rFonts w:ascii="Times New Roman" w:hAnsi="Times New Roman" w:cs="Times New Roman"/>
          <w:b/>
          <w:i/>
          <w:sz w:val="24"/>
          <w:szCs w:val="24"/>
        </w:rPr>
        <w:t xml:space="preserve"> pav. </w:t>
      </w:r>
      <w:r>
        <w:rPr>
          <w:rFonts w:ascii="Times New Roman" w:hAnsi="Times New Roman" w:cs="Times New Roman"/>
          <w:b/>
          <w:i/>
          <w:sz w:val="24"/>
          <w:szCs w:val="24"/>
        </w:rPr>
        <w:t xml:space="preserve">Plaštakos ekstenzijos </w:t>
      </w:r>
      <w:r w:rsidRPr="002F05EA">
        <w:rPr>
          <w:rFonts w:ascii="Times New Roman" w:hAnsi="Times New Roman" w:cs="Times New Roman"/>
          <w:b/>
          <w:i/>
          <w:sz w:val="24"/>
          <w:szCs w:val="24"/>
        </w:rPr>
        <w:t>vertinimas kontrolinėje ir tiriamojoje grupėse prieš ir po procedūrų</w:t>
      </w:r>
    </w:p>
    <w:p w:rsidR="00C3475F" w:rsidRDefault="00922F75"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lastRenderedPageBreak/>
        <w:t>Ulnarinė deviacija taip pat prieš procedūras buvo didesnė tiriamojoje, nei kontrolinėje grupėje. Po procedūrų tiriamosios grupės pacientams šis alkūnės sąnario judesys buvo didesnės amplitudės, tačiau skirtumai nebuvo statistiškai reikšmingi (p&lt;0,05)(1</w:t>
      </w:r>
      <w:r w:rsidR="006E13ED">
        <w:rPr>
          <w:rFonts w:ascii="Times New Roman" w:hAnsi="Times New Roman" w:cs="Times New Roman"/>
          <w:sz w:val="24"/>
          <w:szCs w:val="24"/>
        </w:rPr>
        <w:t>9</w:t>
      </w:r>
      <w:r>
        <w:rPr>
          <w:rFonts w:ascii="Times New Roman" w:hAnsi="Times New Roman" w:cs="Times New Roman"/>
          <w:sz w:val="24"/>
          <w:szCs w:val="24"/>
        </w:rPr>
        <w:t xml:space="preserve"> pav.).</w:t>
      </w:r>
    </w:p>
    <w:p w:rsidR="00D402E9" w:rsidRPr="00922F75" w:rsidRDefault="00D402E9" w:rsidP="002F2793">
      <w:pPr>
        <w:spacing w:after="0" w:line="360" w:lineRule="auto"/>
        <w:contextualSpacing/>
        <w:jc w:val="both"/>
        <w:rPr>
          <w:rFonts w:ascii="Times New Roman" w:hAnsi="Times New Roman" w:cs="Times New Roman"/>
          <w:sz w:val="24"/>
          <w:szCs w:val="24"/>
        </w:rPr>
      </w:pPr>
    </w:p>
    <w:p w:rsidR="000F62BB" w:rsidRDefault="00C3475F" w:rsidP="002F2793">
      <w:pPr>
        <w:spacing w:after="0" w:line="360" w:lineRule="auto"/>
        <w:contextualSpacing/>
        <w:jc w:val="center"/>
        <w:rPr>
          <w:rFonts w:ascii="Times New Roman" w:hAnsi="Times New Roman" w:cs="Times New Roman"/>
          <w:b/>
          <w:sz w:val="24"/>
          <w:szCs w:val="24"/>
        </w:rPr>
      </w:pPr>
      <w:r>
        <w:rPr>
          <w:noProof/>
          <w:lang w:eastAsia="lt-LT"/>
        </w:rPr>
        <w:drawing>
          <wp:inline distT="0" distB="0" distL="0" distR="0" wp14:anchorId="6D74F694" wp14:editId="3B2486CC">
            <wp:extent cx="4899546" cy="2784143"/>
            <wp:effectExtent l="0" t="0" r="15875" b="16510"/>
            <wp:docPr id="25" name="Diagrama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54845" w:rsidRDefault="00D54845" w:rsidP="002F2793">
      <w:pPr>
        <w:spacing w:after="0"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t>p&gt;0,05</w:t>
      </w:r>
    </w:p>
    <w:p w:rsidR="00922F75" w:rsidRDefault="00922F75" w:rsidP="002F2793">
      <w:pPr>
        <w:spacing w:after="0" w:line="360" w:lineRule="auto"/>
        <w:contextualSpacing/>
        <w:jc w:val="center"/>
        <w:rPr>
          <w:rFonts w:ascii="Times New Roman" w:hAnsi="Times New Roman" w:cs="Times New Roman"/>
          <w:b/>
          <w:i/>
          <w:sz w:val="24"/>
          <w:szCs w:val="24"/>
        </w:rPr>
      </w:pPr>
      <w:r w:rsidRPr="002F05EA">
        <w:rPr>
          <w:rFonts w:ascii="Times New Roman" w:hAnsi="Times New Roman" w:cs="Times New Roman"/>
          <w:b/>
          <w:i/>
          <w:sz w:val="24"/>
          <w:szCs w:val="24"/>
        </w:rPr>
        <w:t>1</w:t>
      </w:r>
      <w:r w:rsidR="006E13ED">
        <w:rPr>
          <w:rFonts w:ascii="Times New Roman" w:hAnsi="Times New Roman" w:cs="Times New Roman"/>
          <w:b/>
          <w:i/>
          <w:sz w:val="24"/>
          <w:szCs w:val="24"/>
        </w:rPr>
        <w:t>9</w:t>
      </w:r>
      <w:r w:rsidRPr="002F05EA">
        <w:rPr>
          <w:rFonts w:ascii="Times New Roman" w:hAnsi="Times New Roman" w:cs="Times New Roman"/>
          <w:b/>
          <w:i/>
          <w:sz w:val="24"/>
          <w:szCs w:val="24"/>
        </w:rPr>
        <w:t xml:space="preserve"> pav. </w:t>
      </w:r>
      <w:r>
        <w:rPr>
          <w:rFonts w:ascii="Times New Roman" w:hAnsi="Times New Roman" w:cs="Times New Roman"/>
          <w:b/>
          <w:i/>
          <w:sz w:val="24"/>
          <w:szCs w:val="24"/>
        </w:rPr>
        <w:t xml:space="preserve">Ulnarinės deviacijos </w:t>
      </w:r>
      <w:r w:rsidRPr="002F05EA">
        <w:rPr>
          <w:rFonts w:ascii="Times New Roman" w:hAnsi="Times New Roman" w:cs="Times New Roman"/>
          <w:b/>
          <w:i/>
          <w:sz w:val="24"/>
          <w:szCs w:val="24"/>
        </w:rPr>
        <w:t>vertinimas kontrolinėje ir tiriamojoje grupėse prieš ir po procedūrų</w:t>
      </w:r>
    </w:p>
    <w:p w:rsidR="00D402E9" w:rsidRDefault="00D402E9" w:rsidP="002F2793">
      <w:pPr>
        <w:spacing w:after="0" w:line="360" w:lineRule="auto"/>
        <w:contextualSpacing/>
        <w:jc w:val="center"/>
        <w:rPr>
          <w:rFonts w:ascii="Times New Roman" w:hAnsi="Times New Roman" w:cs="Times New Roman"/>
          <w:b/>
          <w:i/>
          <w:sz w:val="24"/>
          <w:szCs w:val="24"/>
        </w:rPr>
      </w:pPr>
    </w:p>
    <w:p w:rsidR="00922F75" w:rsidRDefault="002C4765"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Tyrimo metu nustatėme, kad tiriamosios ir kontrolinės grupių pacientų radialinės deviacijos matavimai tiek prieš, tiek po procedūrų statistiškai reikšmingai nesiskyrė (p&lt;0,05). Tačiau abiem atvejais tiriamosios grupės pacientų radialinė deviacija buvo didesnė (</w:t>
      </w:r>
      <w:r w:rsidR="006E13ED">
        <w:rPr>
          <w:rFonts w:ascii="Times New Roman" w:hAnsi="Times New Roman" w:cs="Times New Roman"/>
          <w:sz w:val="24"/>
          <w:szCs w:val="24"/>
        </w:rPr>
        <w:t>20</w:t>
      </w:r>
      <w:r>
        <w:rPr>
          <w:rFonts w:ascii="Times New Roman" w:hAnsi="Times New Roman" w:cs="Times New Roman"/>
          <w:sz w:val="24"/>
          <w:szCs w:val="24"/>
        </w:rPr>
        <w:t xml:space="preserve"> pav.).</w:t>
      </w:r>
    </w:p>
    <w:p w:rsidR="00D402E9" w:rsidRPr="002C4765" w:rsidRDefault="00D402E9" w:rsidP="002F2793">
      <w:pPr>
        <w:spacing w:after="0" w:line="360" w:lineRule="auto"/>
        <w:ind w:firstLine="1296"/>
        <w:contextualSpacing/>
        <w:jc w:val="both"/>
        <w:rPr>
          <w:rFonts w:ascii="Times New Roman" w:hAnsi="Times New Roman" w:cs="Times New Roman"/>
          <w:sz w:val="24"/>
          <w:szCs w:val="24"/>
        </w:rPr>
      </w:pPr>
    </w:p>
    <w:p w:rsidR="003F05CC" w:rsidRDefault="00C3475F" w:rsidP="002F2793">
      <w:pPr>
        <w:spacing w:after="0" w:line="360" w:lineRule="auto"/>
        <w:contextualSpacing/>
        <w:jc w:val="center"/>
        <w:rPr>
          <w:rFonts w:ascii="Times New Roman" w:hAnsi="Times New Roman" w:cs="Times New Roman"/>
          <w:b/>
          <w:sz w:val="24"/>
          <w:szCs w:val="24"/>
        </w:rPr>
      </w:pPr>
      <w:r>
        <w:rPr>
          <w:noProof/>
          <w:lang w:eastAsia="lt-LT"/>
        </w:rPr>
        <w:drawing>
          <wp:inline distT="0" distB="0" distL="0" distR="0" wp14:anchorId="035423D8" wp14:editId="4DEFBFE1">
            <wp:extent cx="4967785" cy="2893325"/>
            <wp:effectExtent l="0" t="0" r="23495" b="21590"/>
            <wp:docPr id="26" name="Diagrama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54845" w:rsidRDefault="00D54845" w:rsidP="002F2793">
      <w:pPr>
        <w:spacing w:after="0"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t>p&gt;0,05</w:t>
      </w:r>
    </w:p>
    <w:p w:rsidR="009D7F19" w:rsidRDefault="006E13ED" w:rsidP="002F2793">
      <w:pPr>
        <w:spacing w:after="0" w:line="360" w:lineRule="auto"/>
        <w:contextualSpacing/>
        <w:jc w:val="center"/>
        <w:rPr>
          <w:rFonts w:ascii="Times New Roman" w:hAnsi="Times New Roman" w:cs="Times New Roman"/>
          <w:b/>
          <w:i/>
          <w:sz w:val="24"/>
          <w:szCs w:val="24"/>
        </w:rPr>
      </w:pPr>
      <w:r>
        <w:rPr>
          <w:rFonts w:ascii="Times New Roman" w:hAnsi="Times New Roman" w:cs="Times New Roman"/>
          <w:b/>
          <w:i/>
          <w:sz w:val="24"/>
          <w:szCs w:val="24"/>
        </w:rPr>
        <w:t>20</w:t>
      </w:r>
      <w:r w:rsidR="009D7F19" w:rsidRPr="002F05EA">
        <w:rPr>
          <w:rFonts w:ascii="Times New Roman" w:hAnsi="Times New Roman" w:cs="Times New Roman"/>
          <w:b/>
          <w:i/>
          <w:sz w:val="24"/>
          <w:szCs w:val="24"/>
        </w:rPr>
        <w:t xml:space="preserve"> pav. </w:t>
      </w:r>
      <w:r w:rsidR="009D7F19">
        <w:rPr>
          <w:rFonts w:ascii="Times New Roman" w:hAnsi="Times New Roman" w:cs="Times New Roman"/>
          <w:b/>
          <w:i/>
          <w:sz w:val="24"/>
          <w:szCs w:val="24"/>
        </w:rPr>
        <w:t xml:space="preserve">Radialinės deviacijos </w:t>
      </w:r>
      <w:r w:rsidR="009D7F19" w:rsidRPr="002F05EA">
        <w:rPr>
          <w:rFonts w:ascii="Times New Roman" w:hAnsi="Times New Roman" w:cs="Times New Roman"/>
          <w:b/>
          <w:i/>
          <w:sz w:val="24"/>
          <w:szCs w:val="24"/>
        </w:rPr>
        <w:t>vertinimas kontrolinėje ir tiriamojoje grupėse prieš ir po procedūrų</w:t>
      </w:r>
    </w:p>
    <w:p w:rsidR="002C4765" w:rsidRDefault="009D7F19"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Vertindami tyrimo dalyvių savarankiškumą nustatėme, kad prieš procedūras tiriamosios grupės savarankiškumas buvo įvertintas statistiškai reikšmingai </w:t>
      </w:r>
      <w:r w:rsidR="00277A24">
        <w:rPr>
          <w:rFonts w:ascii="Times New Roman" w:hAnsi="Times New Roman" w:cs="Times New Roman"/>
          <w:sz w:val="24"/>
          <w:szCs w:val="24"/>
        </w:rPr>
        <w:t>mažesniu</w:t>
      </w:r>
      <w:r>
        <w:rPr>
          <w:rFonts w:ascii="Times New Roman" w:hAnsi="Times New Roman" w:cs="Times New Roman"/>
          <w:sz w:val="24"/>
          <w:szCs w:val="24"/>
        </w:rPr>
        <w:t xml:space="preserve"> indeksu (p&lt;0,05). Po procedūrų tiriamosios grupės Keitelio indeksas išliko </w:t>
      </w:r>
      <w:r w:rsidR="00277A24">
        <w:rPr>
          <w:rFonts w:ascii="Times New Roman" w:hAnsi="Times New Roman" w:cs="Times New Roman"/>
          <w:sz w:val="24"/>
          <w:szCs w:val="24"/>
        </w:rPr>
        <w:t>mažesnis</w:t>
      </w:r>
      <w:r>
        <w:rPr>
          <w:rFonts w:ascii="Times New Roman" w:hAnsi="Times New Roman" w:cs="Times New Roman"/>
          <w:sz w:val="24"/>
          <w:szCs w:val="24"/>
        </w:rPr>
        <w:t>, tačiau statistiškai nereikšmingai (p&gt;0,05)(</w:t>
      </w:r>
      <w:r w:rsidR="006E13ED">
        <w:rPr>
          <w:rFonts w:ascii="Times New Roman" w:hAnsi="Times New Roman" w:cs="Times New Roman"/>
          <w:sz w:val="24"/>
          <w:szCs w:val="24"/>
        </w:rPr>
        <w:t>21</w:t>
      </w:r>
      <w:r>
        <w:rPr>
          <w:rFonts w:ascii="Times New Roman" w:hAnsi="Times New Roman" w:cs="Times New Roman"/>
          <w:sz w:val="24"/>
          <w:szCs w:val="24"/>
        </w:rPr>
        <w:t xml:space="preserve"> pav.).</w:t>
      </w:r>
    </w:p>
    <w:p w:rsidR="00D402E9" w:rsidRPr="009D7F19" w:rsidRDefault="00D402E9" w:rsidP="002F2793">
      <w:pPr>
        <w:spacing w:after="0" w:line="360" w:lineRule="auto"/>
        <w:ind w:firstLine="1296"/>
        <w:contextualSpacing/>
        <w:jc w:val="both"/>
        <w:rPr>
          <w:rFonts w:ascii="Times New Roman" w:hAnsi="Times New Roman" w:cs="Times New Roman"/>
          <w:sz w:val="24"/>
          <w:szCs w:val="24"/>
        </w:rPr>
      </w:pPr>
    </w:p>
    <w:p w:rsidR="00D54845" w:rsidRDefault="00277A24" w:rsidP="002F2793">
      <w:pPr>
        <w:spacing w:after="0" w:line="360" w:lineRule="auto"/>
        <w:contextualSpacing/>
        <w:jc w:val="center"/>
        <w:rPr>
          <w:rFonts w:ascii="Times New Roman" w:hAnsi="Times New Roman" w:cs="Times New Roman"/>
          <w:b/>
          <w:sz w:val="24"/>
          <w:szCs w:val="24"/>
        </w:rPr>
      </w:pPr>
      <w:r>
        <w:rPr>
          <w:noProof/>
          <w:lang w:eastAsia="lt-LT"/>
        </w:rPr>
        <w:drawing>
          <wp:inline distT="0" distB="0" distL="0" distR="0" wp14:anchorId="01A0ED3E" wp14:editId="15BA071E">
            <wp:extent cx="5114925" cy="3000375"/>
            <wp:effectExtent l="0" t="0" r="9525" b="9525"/>
            <wp:docPr id="14" name="Diagrama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3475F" w:rsidRDefault="00C3475F" w:rsidP="002F2793">
      <w:pPr>
        <w:spacing w:after="0"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t>*- p&lt;0,05</w:t>
      </w:r>
    </w:p>
    <w:p w:rsidR="009D7F19" w:rsidRDefault="006E13ED" w:rsidP="002F2793">
      <w:pPr>
        <w:spacing w:after="0" w:line="360" w:lineRule="auto"/>
        <w:contextualSpacing/>
        <w:jc w:val="center"/>
        <w:rPr>
          <w:rFonts w:ascii="Times New Roman" w:hAnsi="Times New Roman" w:cs="Times New Roman"/>
          <w:b/>
          <w:i/>
          <w:sz w:val="24"/>
          <w:szCs w:val="24"/>
        </w:rPr>
      </w:pPr>
      <w:r>
        <w:rPr>
          <w:rFonts w:ascii="Times New Roman" w:hAnsi="Times New Roman" w:cs="Times New Roman"/>
          <w:b/>
          <w:i/>
          <w:sz w:val="24"/>
          <w:szCs w:val="24"/>
        </w:rPr>
        <w:t>21</w:t>
      </w:r>
      <w:r w:rsidR="009D7F19" w:rsidRPr="002F05EA">
        <w:rPr>
          <w:rFonts w:ascii="Times New Roman" w:hAnsi="Times New Roman" w:cs="Times New Roman"/>
          <w:b/>
          <w:i/>
          <w:sz w:val="24"/>
          <w:szCs w:val="24"/>
        </w:rPr>
        <w:t xml:space="preserve"> pav. </w:t>
      </w:r>
      <w:r w:rsidR="009D7F19">
        <w:rPr>
          <w:rFonts w:ascii="Times New Roman" w:hAnsi="Times New Roman" w:cs="Times New Roman"/>
          <w:b/>
          <w:i/>
          <w:sz w:val="24"/>
          <w:szCs w:val="24"/>
        </w:rPr>
        <w:t xml:space="preserve">Keitelio indekso </w:t>
      </w:r>
      <w:r w:rsidR="009D7F19" w:rsidRPr="002F05EA">
        <w:rPr>
          <w:rFonts w:ascii="Times New Roman" w:hAnsi="Times New Roman" w:cs="Times New Roman"/>
          <w:b/>
          <w:i/>
          <w:sz w:val="24"/>
          <w:szCs w:val="24"/>
        </w:rPr>
        <w:t>vertinimas kontrolinėje ir tiriamojoje grupėse prieš ir po procedūrų</w:t>
      </w:r>
    </w:p>
    <w:p w:rsidR="00D402E9" w:rsidRDefault="00D402E9" w:rsidP="002F2793">
      <w:pPr>
        <w:spacing w:after="0" w:line="360" w:lineRule="auto"/>
        <w:contextualSpacing/>
        <w:jc w:val="center"/>
        <w:rPr>
          <w:rFonts w:ascii="Times New Roman" w:hAnsi="Times New Roman" w:cs="Times New Roman"/>
          <w:b/>
          <w:i/>
          <w:sz w:val="24"/>
          <w:szCs w:val="24"/>
        </w:rPr>
      </w:pPr>
    </w:p>
    <w:p w:rsidR="00774303" w:rsidRDefault="006760DE"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T</w:t>
      </w:r>
      <w:r w:rsidR="005B37D5">
        <w:rPr>
          <w:rFonts w:ascii="Times New Roman" w:hAnsi="Times New Roman" w:cs="Times New Roman"/>
          <w:sz w:val="24"/>
          <w:szCs w:val="24"/>
        </w:rPr>
        <w:t>iriamosios ir kontrolinės grupės rankos funkcijos ir savarankiškumo vertinimo</w:t>
      </w:r>
      <w:r>
        <w:rPr>
          <w:rFonts w:ascii="Times New Roman" w:hAnsi="Times New Roman" w:cs="Times New Roman"/>
          <w:sz w:val="24"/>
          <w:szCs w:val="24"/>
        </w:rPr>
        <w:t xml:space="preserve">  parametrų pokyčiai ir jų palyginimas gali parodyti teipavimo poveikį. Rezultatai parodė, kad tiriamosios grupės pacientams gautas statistiškai reikšmingai didesni visų tyrimo metu vertintų parametrų pokyčiai (p&lt;0,05), išskyrus ulnarinės deviacijos pokytį (p&gt;0,05)(</w:t>
      </w:r>
      <w:r w:rsidR="006E13ED">
        <w:rPr>
          <w:rFonts w:ascii="Times New Roman" w:hAnsi="Times New Roman" w:cs="Times New Roman"/>
          <w:sz w:val="24"/>
          <w:szCs w:val="24"/>
        </w:rPr>
        <w:t>2</w:t>
      </w:r>
      <w:r>
        <w:rPr>
          <w:rFonts w:ascii="Times New Roman" w:hAnsi="Times New Roman" w:cs="Times New Roman"/>
          <w:sz w:val="24"/>
          <w:szCs w:val="24"/>
        </w:rPr>
        <w:t xml:space="preserve"> lentelė).</w:t>
      </w:r>
    </w:p>
    <w:p w:rsidR="00D402E9" w:rsidRPr="006760DE" w:rsidRDefault="00D402E9" w:rsidP="002F2793">
      <w:pPr>
        <w:spacing w:after="0" w:line="360" w:lineRule="auto"/>
        <w:ind w:firstLine="1296"/>
        <w:contextualSpacing/>
        <w:jc w:val="both"/>
        <w:rPr>
          <w:rFonts w:ascii="Times New Roman" w:hAnsi="Times New Roman" w:cs="Times New Roman"/>
          <w:sz w:val="24"/>
          <w:szCs w:val="24"/>
        </w:rPr>
      </w:pPr>
      <w:r>
        <w:rPr>
          <w:rFonts w:ascii="Times New Roman" w:hAnsi="Times New Roman" w:cs="Times New Roman"/>
          <w:sz w:val="24"/>
          <w:szCs w:val="24"/>
        </w:rPr>
        <w:br w:type="page"/>
      </w:r>
    </w:p>
    <w:p w:rsidR="00774303" w:rsidRPr="0002182D" w:rsidRDefault="006E13ED" w:rsidP="002F2793">
      <w:pPr>
        <w:spacing w:after="0" w:line="360" w:lineRule="auto"/>
        <w:contextualSpacing/>
        <w:jc w:val="center"/>
        <w:rPr>
          <w:rFonts w:ascii="Times New Roman" w:hAnsi="Times New Roman" w:cs="Times New Roman"/>
          <w:b/>
          <w:i/>
          <w:sz w:val="24"/>
          <w:szCs w:val="24"/>
        </w:rPr>
      </w:pPr>
      <w:r>
        <w:rPr>
          <w:rFonts w:ascii="Times New Roman" w:hAnsi="Times New Roman" w:cs="Times New Roman"/>
          <w:b/>
          <w:i/>
          <w:sz w:val="24"/>
          <w:szCs w:val="24"/>
        </w:rPr>
        <w:lastRenderedPageBreak/>
        <w:t>2</w:t>
      </w:r>
      <w:r w:rsidR="006760DE" w:rsidRPr="0002182D">
        <w:rPr>
          <w:rFonts w:ascii="Times New Roman" w:hAnsi="Times New Roman" w:cs="Times New Roman"/>
          <w:b/>
          <w:i/>
          <w:sz w:val="24"/>
          <w:szCs w:val="24"/>
        </w:rPr>
        <w:t xml:space="preserve"> lentelė. Tiriamosios ir kontrolinės grupės</w:t>
      </w:r>
      <w:r w:rsidR="006760DE" w:rsidRPr="00EF73A0">
        <w:rPr>
          <w:rFonts w:ascii="Times New Roman" w:hAnsi="Times New Roman" w:cs="Times New Roman"/>
          <w:b/>
          <w:i/>
          <w:color w:val="FF0000"/>
          <w:sz w:val="24"/>
          <w:szCs w:val="24"/>
        </w:rPr>
        <w:t xml:space="preserve"> </w:t>
      </w:r>
      <w:r w:rsidR="006760DE" w:rsidRPr="00F307A8">
        <w:rPr>
          <w:rFonts w:ascii="Times New Roman" w:hAnsi="Times New Roman" w:cs="Times New Roman"/>
          <w:b/>
          <w:i/>
          <w:sz w:val="24"/>
          <w:szCs w:val="24"/>
        </w:rPr>
        <w:t>tiriamųjų</w:t>
      </w:r>
      <w:r w:rsidR="006760DE" w:rsidRPr="00EF73A0">
        <w:rPr>
          <w:rFonts w:ascii="Times New Roman" w:hAnsi="Times New Roman" w:cs="Times New Roman"/>
          <w:b/>
          <w:i/>
          <w:color w:val="FF0000"/>
          <w:sz w:val="24"/>
          <w:szCs w:val="24"/>
        </w:rPr>
        <w:t xml:space="preserve"> </w:t>
      </w:r>
      <w:r w:rsidR="006760DE" w:rsidRPr="0002182D">
        <w:rPr>
          <w:rFonts w:ascii="Times New Roman" w:hAnsi="Times New Roman" w:cs="Times New Roman"/>
          <w:b/>
          <w:i/>
          <w:sz w:val="24"/>
          <w:szCs w:val="24"/>
        </w:rPr>
        <w:t>rankos funkcijos ir savarankiškumo parametrų pokyčiai po ergoterapijos procedūrų</w:t>
      </w:r>
    </w:p>
    <w:tbl>
      <w:tblPr>
        <w:tblStyle w:val="Lentelstinklelis"/>
        <w:tblW w:w="0" w:type="auto"/>
        <w:tblLook w:val="04A0" w:firstRow="1" w:lastRow="0" w:firstColumn="1" w:lastColumn="0" w:noHBand="0" w:noVBand="1"/>
      </w:tblPr>
      <w:tblGrid>
        <w:gridCol w:w="3510"/>
        <w:gridCol w:w="2127"/>
        <w:gridCol w:w="2409"/>
        <w:gridCol w:w="1808"/>
      </w:tblGrid>
      <w:tr w:rsidR="00774303" w:rsidRPr="0010287D" w:rsidTr="00774303">
        <w:tc>
          <w:tcPr>
            <w:tcW w:w="3510" w:type="dxa"/>
            <w:tcBorders>
              <w:left w:val="nil"/>
              <w:right w:val="nil"/>
            </w:tcBorders>
            <w:shd w:val="clear" w:color="auto" w:fill="E6E6E6" w:themeFill="background1" w:themeFillShade="E6"/>
          </w:tcPr>
          <w:p w:rsidR="00774303" w:rsidRPr="0010287D" w:rsidRDefault="00774303" w:rsidP="002F2793">
            <w:pPr>
              <w:spacing w:line="360" w:lineRule="auto"/>
              <w:contextualSpacing/>
              <w:jc w:val="both"/>
              <w:rPr>
                <w:rFonts w:ascii="Times New Roman" w:hAnsi="Times New Roman" w:cs="Times New Roman"/>
                <w:b/>
                <w:sz w:val="24"/>
                <w:szCs w:val="24"/>
              </w:rPr>
            </w:pPr>
            <w:r w:rsidRPr="0010287D">
              <w:rPr>
                <w:rFonts w:ascii="Times New Roman" w:hAnsi="Times New Roman" w:cs="Times New Roman"/>
                <w:b/>
                <w:sz w:val="24"/>
                <w:szCs w:val="24"/>
              </w:rPr>
              <w:t xml:space="preserve">Vertinimo pokyčiai </w:t>
            </w:r>
          </w:p>
          <w:p w:rsidR="00774303" w:rsidRPr="0010287D" w:rsidRDefault="00774303" w:rsidP="002F2793">
            <w:pPr>
              <w:spacing w:line="360" w:lineRule="auto"/>
              <w:contextualSpacing/>
              <w:jc w:val="both"/>
              <w:rPr>
                <w:rFonts w:ascii="Times New Roman" w:hAnsi="Times New Roman" w:cs="Times New Roman"/>
                <w:b/>
                <w:sz w:val="24"/>
                <w:szCs w:val="24"/>
              </w:rPr>
            </w:pPr>
            <w:r w:rsidRPr="0010287D">
              <w:rPr>
                <w:rFonts w:ascii="Times New Roman" w:hAnsi="Times New Roman" w:cs="Times New Roman"/>
                <w:b/>
                <w:sz w:val="24"/>
                <w:szCs w:val="24"/>
              </w:rPr>
              <w:t>m±sn</w:t>
            </w:r>
          </w:p>
        </w:tc>
        <w:tc>
          <w:tcPr>
            <w:tcW w:w="2127" w:type="dxa"/>
            <w:tcBorders>
              <w:left w:val="nil"/>
              <w:right w:val="nil"/>
            </w:tcBorders>
            <w:shd w:val="clear" w:color="auto" w:fill="E6E6E6" w:themeFill="background1" w:themeFillShade="E6"/>
          </w:tcPr>
          <w:p w:rsidR="00774303" w:rsidRPr="0010287D" w:rsidRDefault="00774303" w:rsidP="002F2793">
            <w:pPr>
              <w:spacing w:line="360" w:lineRule="auto"/>
              <w:contextualSpacing/>
              <w:jc w:val="both"/>
              <w:rPr>
                <w:rFonts w:ascii="Times New Roman" w:hAnsi="Times New Roman" w:cs="Times New Roman"/>
                <w:b/>
                <w:sz w:val="24"/>
                <w:szCs w:val="24"/>
              </w:rPr>
            </w:pPr>
            <w:r w:rsidRPr="0010287D">
              <w:rPr>
                <w:rFonts w:ascii="Times New Roman" w:hAnsi="Times New Roman" w:cs="Times New Roman"/>
                <w:b/>
                <w:sz w:val="24"/>
                <w:szCs w:val="24"/>
              </w:rPr>
              <w:t>Tiriamoji grupė (n=16)</w:t>
            </w:r>
          </w:p>
        </w:tc>
        <w:tc>
          <w:tcPr>
            <w:tcW w:w="2409" w:type="dxa"/>
            <w:tcBorders>
              <w:left w:val="nil"/>
              <w:right w:val="nil"/>
            </w:tcBorders>
            <w:shd w:val="clear" w:color="auto" w:fill="E6E6E6" w:themeFill="background1" w:themeFillShade="E6"/>
          </w:tcPr>
          <w:p w:rsidR="00774303" w:rsidRPr="0010287D" w:rsidRDefault="00774303" w:rsidP="002F2793">
            <w:pPr>
              <w:spacing w:line="360" w:lineRule="auto"/>
              <w:contextualSpacing/>
              <w:jc w:val="both"/>
              <w:rPr>
                <w:rFonts w:ascii="Times New Roman" w:hAnsi="Times New Roman" w:cs="Times New Roman"/>
                <w:b/>
                <w:sz w:val="24"/>
                <w:szCs w:val="24"/>
              </w:rPr>
            </w:pPr>
            <w:r w:rsidRPr="0010287D">
              <w:rPr>
                <w:rFonts w:ascii="Times New Roman" w:hAnsi="Times New Roman" w:cs="Times New Roman"/>
                <w:b/>
                <w:sz w:val="24"/>
                <w:szCs w:val="24"/>
              </w:rPr>
              <w:t>Kontrolinė grupė (n=16)</w:t>
            </w:r>
          </w:p>
        </w:tc>
        <w:tc>
          <w:tcPr>
            <w:tcW w:w="1808" w:type="dxa"/>
            <w:tcBorders>
              <w:left w:val="nil"/>
              <w:right w:val="nil"/>
            </w:tcBorders>
            <w:shd w:val="clear" w:color="auto" w:fill="E6E6E6" w:themeFill="background1" w:themeFillShade="E6"/>
          </w:tcPr>
          <w:p w:rsidR="00774303" w:rsidRPr="0010287D" w:rsidRDefault="00774303" w:rsidP="002F2793">
            <w:pPr>
              <w:spacing w:line="360" w:lineRule="auto"/>
              <w:contextualSpacing/>
              <w:jc w:val="both"/>
              <w:rPr>
                <w:rFonts w:ascii="Times New Roman" w:hAnsi="Times New Roman" w:cs="Times New Roman"/>
                <w:b/>
                <w:sz w:val="24"/>
                <w:szCs w:val="24"/>
              </w:rPr>
            </w:pPr>
            <w:r w:rsidRPr="0010287D">
              <w:rPr>
                <w:rFonts w:ascii="Times New Roman" w:hAnsi="Times New Roman" w:cs="Times New Roman"/>
                <w:b/>
                <w:sz w:val="24"/>
                <w:szCs w:val="24"/>
              </w:rPr>
              <w:t>p</w:t>
            </w:r>
          </w:p>
        </w:tc>
      </w:tr>
      <w:tr w:rsidR="00774303" w:rsidRPr="0010287D" w:rsidTr="00774303">
        <w:tc>
          <w:tcPr>
            <w:tcW w:w="3510" w:type="dxa"/>
            <w:tcBorders>
              <w:top w:val="nil"/>
              <w:left w:val="nil"/>
              <w:right w:val="nil"/>
            </w:tcBorders>
          </w:tcPr>
          <w:p w:rsidR="00774303" w:rsidRPr="0010287D" w:rsidRDefault="00774303" w:rsidP="002F2793">
            <w:pPr>
              <w:spacing w:line="360" w:lineRule="auto"/>
              <w:contextualSpacing/>
              <w:jc w:val="both"/>
              <w:rPr>
                <w:rFonts w:ascii="Times New Roman" w:hAnsi="Times New Roman" w:cs="Times New Roman"/>
                <w:sz w:val="24"/>
                <w:szCs w:val="24"/>
              </w:rPr>
            </w:pPr>
            <w:r w:rsidRPr="0010287D">
              <w:rPr>
                <w:rFonts w:ascii="Times New Roman" w:hAnsi="Times New Roman" w:cs="Times New Roman"/>
                <w:sz w:val="24"/>
                <w:szCs w:val="24"/>
              </w:rPr>
              <w:t>Skausmas (balai)</w:t>
            </w:r>
          </w:p>
        </w:tc>
        <w:tc>
          <w:tcPr>
            <w:tcW w:w="2127" w:type="dxa"/>
            <w:tcBorders>
              <w:top w:val="nil"/>
              <w:left w:val="nil"/>
              <w:right w:val="nil"/>
            </w:tcBorders>
          </w:tcPr>
          <w:p w:rsidR="00774303" w:rsidRPr="0010287D" w:rsidRDefault="00E00CE3" w:rsidP="002F2793">
            <w:pPr>
              <w:spacing w:line="360" w:lineRule="auto"/>
              <w:contextualSpacing/>
              <w:jc w:val="both"/>
              <w:rPr>
                <w:rFonts w:ascii="Times New Roman" w:hAnsi="Times New Roman" w:cs="Times New Roman"/>
                <w:sz w:val="24"/>
                <w:szCs w:val="24"/>
              </w:rPr>
            </w:pPr>
            <w:r w:rsidRPr="0010287D">
              <w:rPr>
                <w:rFonts w:ascii="Times New Roman" w:hAnsi="Times New Roman" w:cs="Times New Roman"/>
                <w:sz w:val="24"/>
                <w:szCs w:val="24"/>
              </w:rPr>
              <w:t>3,75±0,6</w:t>
            </w:r>
          </w:p>
        </w:tc>
        <w:tc>
          <w:tcPr>
            <w:tcW w:w="2409" w:type="dxa"/>
            <w:tcBorders>
              <w:top w:val="nil"/>
              <w:left w:val="nil"/>
              <w:right w:val="nil"/>
            </w:tcBorders>
          </w:tcPr>
          <w:p w:rsidR="00774303" w:rsidRPr="0010287D" w:rsidRDefault="00E00CE3" w:rsidP="002F2793">
            <w:pPr>
              <w:spacing w:line="360" w:lineRule="auto"/>
              <w:contextualSpacing/>
              <w:jc w:val="both"/>
              <w:rPr>
                <w:rFonts w:ascii="Times New Roman" w:hAnsi="Times New Roman" w:cs="Times New Roman"/>
                <w:sz w:val="24"/>
                <w:szCs w:val="24"/>
              </w:rPr>
            </w:pPr>
            <w:r w:rsidRPr="0010287D">
              <w:rPr>
                <w:rFonts w:ascii="Times New Roman" w:hAnsi="Times New Roman" w:cs="Times New Roman"/>
                <w:sz w:val="24"/>
                <w:szCs w:val="24"/>
              </w:rPr>
              <w:t>0,94±0,2</w:t>
            </w:r>
          </w:p>
        </w:tc>
        <w:tc>
          <w:tcPr>
            <w:tcW w:w="1808" w:type="dxa"/>
            <w:tcBorders>
              <w:top w:val="nil"/>
              <w:left w:val="nil"/>
              <w:right w:val="nil"/>
            </w:tcBorders>
          </w:tcPr>
          <w:p w:rsidR="00774303" w:rsidRPr="0010287D" w:rsidRDefault="00774303" w:rsidP="002F2793">
            <w:pPr>
              <w:spacing w:line="360" w:lineRule="auto"/>
              <w:contextualSpacing/>
              <w:jc w:val="both"/>
              <w:rPr>
                <w:rFonts w:ascii="Times New Roman" w:hAnsi="Times New Roman" w:cs="Times New Roman"/>
                <w:b/>
                <w:sz w:val="24"/>
                <w:szCs w:val="24"/>
              </w:rPr>
            </w:pPr>
            <w:r w:rsidRPr="0010287D">
              <w:rPr>
                <w:rFonts w:ascii="Times New Roman" w:hAnsi="Times New Roman" w:cs="Times New Roman"/>
                <w:b/>
                <w:sz w:val="24"/>
                <w:szCs w:val="24"/>
              </w:rPr>
              <w:t>0,001</w:t>
            </w:r>
          </w:p>
        </w:tc>
      </w:tr>
      <w:tr w:rsidR="00774303" w:rsidRPr="0010287D" w:rsidTr="00774303">
        <w:tc>
          <w:tcPr>
            <w:tcW w:w="3510" w:type="dxa"/>
            <w:tcBorders>
              <w:left w:val="nil"/>
              <w:right w:val="nil"/>
            </w:tcBorders>
          </w:tcPr>
          <w:p w:rsidR="00774303" w:rsidRPr="0010287D" w:rsidRDefault="00774303" w:rsidP="002F2793">
            <w:pPr>
              <w:spacing w:line="360" w:lineRule="auto"/>
              <w:contextualSpacing/>
              <w:jc w:val="both"/>
              <w:rPr>
                <w:rFonts w:ascii="Times New Roman" w:hAnsi="Times New Roman" w:cs="Times New Roman"/>
                <w:sz w:val="24"/>
                <w:szCs w:val="24"/>
              </w:rPr>
            </w:pPr>
            <w:r w:rsidRPr="0010287D">
              <w:rPr>
                <w:rFonts w:ascii="Times New Roman" w:hAnsi="Times New Roman" w:cs="Times New Roman"/>
                <w:sz w:val="24"/>
                <w:szCs w:val="24"/>
              </w:rPr>
              <w:t>Sustingimas (balai)</w:t>
            </w:r>
          </w:p>
        </w:tc>
        <w:tc>
          <w:tcPr>
            <w:tcW w:w="2127" w:type="dxa"/>
            <w:tcBorders>
              <w:left w:val="nil"/>
              <w:right w:val="nil"/>
            </w:tcBorders>
          </w:tcPr>
          <w:p w:rsidR="00774303" w:rsidRPr="0010287D" w:rsidRDefault="00E00CE3" w:rsidP="002F2793">
            <w:pPr>
              <w:spacing w:line="360" w:lineRule="auto"/>
              <w:contextualSpacing/>
              <w:jc w:val="both"/>
              <w:rPr>
                <w:rFonts w:ascii="Times New Roman" w:hAnsi="Times New Roman" w:cs="Times New Roman"/>
                <w:sz w:val="24"/>
                <w:szCs w:val="24"/>
              </w:rPr>
            </w:pPr>
            <w:r w:rsidRPr="0010287D">
              <w:rPr>
                <w:rFonts w:ascii="Times New Roman" w:hAnsi="Times New Roman" w:cs="Times New Roman"/>
                <w:sz w:val="24"/>
                <w:szCs w:val="24"/>
              </w:rPr>
              <w:t>3,94±1,6</w:t>
            </w:r>
          </w:p>
        </w:tc>
        <w:tc>
          <w:tcPr>
            <w:tcW w:w="2409" w:type="dxa"/>
            <w:tcBorders>
              <w:left w:val="nil"/>
              <w:right w:val="nil"/>
            </w:tcBorders>
          </w:tcPr>
          <w:p w:rsidR="00774303" w:rsidRPr="0010287D" w:rsidRDefault="00E00CE3" w:rsidP="002F2793">
            <w:pPr>
              <w:spacing w:line="360" w:lineRule="auto"/>
              <w:contextualSpacing/>
              <w:jc w:val="both"/>
              <w:rPr>
                <w:rFonts w:ascii="Times New Roman" w:hAnsi="Times New Roman" w:cs="Times New Roman"/>
                <w:sz w:val="24"/>
                <w:szCs w:val="24"/>
              </w:rPr>
            </w:pPr>
            <w:r w:rsidRPr="0010287D">
              <w:rPr>
                <w:rFonts w:ascii="Times New Roman" w:hAnsi="Times New Roman" w:cs="Times New Roman"/>
                <w:sz w:val="24"/>
                <w:szCs w:val="24"/>
              </w:rPr>
              <w:t>1,13±0,8</w:t>
            </w:r>
          </w:p>
        </w:tc>
        <w:tc>
          <w:tcPr>
            <w:tcW w:w="1808" w:type="dxa"/>
            <w:tcBorders>
              <w:left w:val="nil"/>
              <w:right w:val="nil"/>
            </w:tcBorders>
          </w:tcPr>
          <w:p w:rsidR="00774303" w:rsidRPr="0010287D" w:rsidRDefault="00774303" w:rsidP="002F2793">
            <w:pPr>
              <w:spacing w:line="360" w:lineRule="auto"/>
              <w:contextualSpacing/>
              <w:jc w:val="both"/>
              <w:rPr>
                <w:rFonts w:ascii="Times New Roman" w:hAnsi="Times New Roman" w:cs="Times New Roman"/>
                <w:b/>
                <w:sz w:val="24"/>
                <w:szCs w:val="24"/>
              </w:rPr>
            </w:pPr>
            <w:r w:rsidRPr="0010287D">
              <w:rPr>
                <w:rFonts w:ascii="Times New Roman" w:hAnsi="Times New Roman" w:cs="Times New Roman"/>
                <w:b/>
                <w:sz w:val="24"/>
                <w:szCs w:val="24"/>
              </w:rPr>
              <w:t>0,001</w:t>
            </w:r>
          </w:p>
        </w:tc>
      </w:tr>
      <w:tr w:rsidR="00774303" w:rsidRPr="0010287D" w:rsidTr="00774303">
        <w:tc>
          <w:tcPr>
            <w:tcW w:w="3510" w:type="dxa"/>
            <w:tcBorders>
              <w:top w:val="nil"/>
              <w:left w:val="nil"/>
              <w:right w:val="nil"/>
            </w:tcBorders>
          </w:tcPr>
          <w:p w:rsidR="00774303" w:rsidRPr="0010287D" w:rsidRDefault="00774303" w:rsidP="002F2793">
            <w:pPr>
              <w:spacing w:line="360" w:lineRule="auto"/>
              <w:contextualSpacing/>
              <w:jc w:val="both"/>
              <w:rPr>
                <w:rFonts w:ascii="Times New Roman" w:hAnsi="Times New Roman" w:cs="Times New Roman"/>
                <w:sz w:val="24"/>
                <w:szCs w:val="24"/>
              </w:rPr>
            </w:pPr>
            <w:r w:rsidRPr="0010287D">
              <w:rPr>
                <w:rFonts w:ascii="Times New Roman" w:hAnsi="Times New Roman" w:cs="Times New Roman"/>
                <w:sz w:val="24"/>
                <w:szCs w:val="24"/>
              </w:rPr>
              <w:t>Raumenų jėga (kilogramai)</w:t>
            </w:r>
          </w:p>
        </w:tc>
        <w:tc>
          <w:tcPr>
            <w:tcW w:w="2127" w:type="dxa"/>
            <w:tcBorders>
              <w:top w:val="nil"/>
              <w:left w:val="nil"/>
              <w:right w:val="nil"/>
            </w:tcBorders>
          </w:tcPr>
          <w:p w:rsidR="00774303" w:rsidRPr="0010287D" w:rsidRDefault="00E00CE3" w:rsidP="002F2793">
            <w:pPr>
              <w:spacing w:line="360" w:lineRule="auto"/>
              <w:contextualSpacing/>
              <w:jc w:val="both"/>
              <w:rPr>
                <w:rFonts w:ascii="Times New Roman" w:hAnsi="Times New Roman" w:cs="Times New Roman"/>
                <w:sz w:val="24"/>
                <w:szCs w:val="24"/>
              </w:rPr>
            </w:pPr>
            <w:r w:rsidRPr="0010287D">
              <w:rPr>
                <w:rFonts w:ascii="Times New Roman" w:hAnsi="Times New Roman" w:cs="Times New Roman"/>
                <w:sz w:val="24"/>
                <w:szCs w:val="24"/>
              </w:rPr>
              <w:t>5,13±1,2</w:t>
            </w:r>
          </w:p>
        </w:tc>
        <w:tc>
          <w:tcPr>
            <w:tcW w:w="2409" w:type="dxa"/>
            <w:tcBorders>
              <w:top w:val="nil"/>
              <w:left w:val="nil"/>
              <w:right w:val="nil"/>
            </w:tcBorders>
          </w:tcPr>
          <w:p w:rsidR="00774303" w:rsidRPr="0010287D" w:rsidRDefault="00E00CE3" w:rsidP="002F2793">
            <w:pPr>
              <w:spacing w:line="360" w:lineRule="auto"/>
              <w:contextualSpacing/>
              <w:jc w:val="both"/>
              <w:rPr>
                <w:rFonts w:ascii="Times New Roman" w:hAnsi="Times New Roman" w:cs="Times New Roman"/>
                <w:sz w:val="24"/>
                <w:szCs w:val="24"/>
              </w:rPr>
            </w:pPr>
            <w:r w:rsidRPr="0010287D">
              <w:rPr>
                <w:rFonts w:ascii="Times New Roman" w:hAnsi="Times New Roman" w:cs="Times New Roman"/>
                <w:sz w:val="24"/>
                <w:szCs w:val="24"/>
              </w:rPr>
              <w:t>2,63±1,9</w:t>
            </w:r>
          </w:p>
        </w:tc>
        <w:tc>
          <w:tcPr>
            <w:tcW w:w="1808" w:type="dxa"/>
            <w:tcBorders>
              <w:top w:val="nil"/>
              <w:left w:val="nil"/>
              <w:right w:val="nil"/>
            </w:tcBorders>
          </w:tcPr>
          <w:p w:rsidR="00774303" w:rsidRPr="0010287D" w:rsidRDefault="00774303" w:rsidP="002F2793">
            <w:pPr>
              <w:spacing w:line="360" w:lineRule="auto"/>
              <w:contextualSpacing/>
              <w:jc w:val="both"/>
              <w:rPr>
                <w:rFonts w:ascii="Times New Roman" w:hAnsi="Times New Roman" w:cs="Times New Roman"/>
                <w:b/>
                <w:sz w:val="24"/>
                <w:szCs w:val="24"/>
              </w:rPr>
            </w:pPr>
            <w:r w:rsidRPr="0010287D">
              <w:rPr>
                <w:rFonts w:ascii="Times New Roman" w:hAnsi="Times New Roman" w:cs="Times New Roman"/>
                <w:b/>
                <w:sz w:val="24"/>
                <w:szCs w:val="24"/>
              </w:rPr>
              <w:t>0,010</w:t>
            </w:r>
          </w:p>
        </w:tc>
      </w:tr>
      <w:tr w:rsidR="00774303" w:rsidRPr="0010287D" w:rsidTr="00774303">
        <w:tc>
          <w:tcPr>
            <w:tcW w:w="3510" w:type="dxa"/>
            <w:tcBorders>
              <w:left w:val="nil"/>
              <w:right w:val="nil"/>
            </w:tcBorders>
          </w:tcPr>
          <w:p w:rsidR="00774303" w:rsidRPr="0010287D" w:rsidRDefault="00774303" w:rsidP="002F2793">
            <w:pPr>
              <w:spacing w:line="360" w:lineRule="auto"/>
              <w:contextualSpacing/>
              <w:jc w:val="both"/>
              <w:rPr>
                <w:rFonts w:ascii="Times New Roman" w:hAnsi="Times New Roman" w:cs="Times New Roman"/>
                <w:sz w:val="24"/>
                <w:szCs w:val="24"/>
              </w:rPr>
            </w:pPr>
            <w:r w:rsidRPr="0010287D">
              <w:rPr>
                <w:rFonts w:ascii="Times New Roman" w:hAnsi="Times New Roman" w:cs="Times New Roman"/>
                <w:sz w:val="24"/>
                <w:szCs w:val="24"/>
              </w:rPr>
              <w:t>Plaštakos fleksija (laipsniai)</w:t>
            </w:r>
          </w:p>
        </w:tc>
        <w:tc>
          <w:tcPr>
            <w:tcW w:w="2127" w:type="dxa"/>
            <w:tcBorders>
              <w:left w:val="nil"/>
              <w:right w:val="nil"/>
            </w:tcBorders>
          </w:tcPr>
          <w:p w:rsidR="00774303" w:rsidRPr="0010287D" w:rsidRDefault="00E00CE3" w:rsidP="002F2793">
            <w:pPr>
              <w:spacing w:line="360" w:lineRule="auto"/>
              <w:contextualSpacing/>
              <w:jc w:val="both"/>
              <w:rPr>
                <w:rFonts w:ascii="Times New Roman" w:hAnsi="Times New Roman" w:cs="Times New Roman"/>
                <w:sz w:val="24"/>
                <w:szCs w:val="24"/>
              </w:rPr>
            </w:pPr>
            <w:r w:rsidRPr="0010287D">
              <w:rPr>
                <w:rFonts w:ascii="Times New Roman" w:hAnsi="Times New Roman" w:cs="Times New Roman"/>
                <w:sz w:val="24"/>
                <w:szCs w:val="24"/>
              </w:rPr>
              <w:t>12,81±5,7</w:t>
            </w:r>
          </w:p>
        </w:tc>
        <w:tc>
          <w:tcPr>
            <w:tcW w:w="2409" w:type="dxa"/>
            <w:tcBorders>
              <w:left w:val="nil"/>
              <w:right w:val="nil"/>
            </w:tcBorders>
          </w:tcPr>
          <w:p w:rsidR="00774303" w:rsidRPr="0010287D" w:rsidRDefault="00E00CE3" w:rsidP="002F2793">
            <w:pPr>
              <w:spacing w:line="360" w:lineRule="auto"/>
              <w:contextualSpacing/>
              <w:jc w:val="both"/>
              <w:rPr>
                <w:rFonts w:ascii="Times New Roman" w:hAnsi="Times New Roman" w:cs="Times New Roman"/>
                <w:sz w:val="24"/>
                <w:szCs w:val="24"/>
              </w:rPr>
            </w:pPr>
            <w:r w:rsidRPr="0010287D">
              <w:rPr>
                <w:rFonts w:ascii="Times New Roman" w:hAnsi="Times New Roman" w:cs="Times New Roman"/>
                <w:sz w:val="24"/>
                <w:szCs w:val="24"/>
              </w:rPr>
              <w:t>5,25±2,4</w:t>
            </w:r>
          </w:p>
        </w:tc>
        <w:tc>
          <w:tcPr>
            <w:tcW w:w="1808" w:type="dxa"/>
            <w:tcBorders>
              <w:left w:val="nil"/>
              <w:right w:val="nil"/>
            </w:tcBorders>
          </w:tcPr>
          <w:p w:rsidR="00774303" w:rsidRPr="0010287D" w:rsidRDefault="00774303" w:rsidP="002F2793">
            <w:pPr>
              <w:spacing w:line="360" w:lineRule="auto"/>
              <w:contextualSpacing/>
              <w:jc w:val="both"/>
              <w:rPr>
                <w:rFonts w:ascii="Times New Roman" w:hAnsi="Times New Roman" w:cs="Times New Roman"/>
                <w:b/>
                <w:sz w:val="24"/>
                <w:szCs w:val="24"/>
              </w:rPr>
            </w:pPr>
            <w:r w:rsidRPr="0010287D">
              <w:rPr>
                <w:rFonts w:ascii="Times New Roman" w:hAnsi="Times New Roman" w:cs="Times New Roman"/>
                <w:b/>
                <w:sz w:val="24"/>
                <w:szCs w:val="24"/>
              </w:rPr>
              <w:t>0,002</w:t>
            </w:r>
          </w:p>
        </w:tc>
      </w:tr>
      <w:tr w:rsidR="00774303" w:rsidRPr="0010287D" w:rsidTr="00774303">
        <w:tc>
          <w:tcPr>
            <w:tcW w:w="3510" w:type="dxa"/>
            <w:tcBorders>
              <w:left w:val="nil"/>
              <w:right w:val="nil"/>
            </w:tcBorders>
          </w:tcPr>
          <w:p w:rsidR="00774303" w:rsidRPr="0010287D" w:rsidRDefault="00774303" w:rsidP="002F2793">
            <w:pPr>
              <w:spacing w:line="360" w:lineRule="auto"/>
              <w:contextualSpacing/>
              <w:jc w:val="both"/>
              <w:rPr>
                <w:rFonts w:ascii="Times New Roman" w:hAnsi="Times New Roman" w:cs="Times New Roman"/>
                <w:sz w:val="24"/>
                <w:szCs w:val="24"/>
              </w:rPr>
            </w:pPr>
            <w:r w:rsidRPr="0010287D">
              <w:rPr>
                <w:rFonts w:ascii="Times New Roman" w:hAnsi="Times New Roman" w:cs="Times New Roman"/>
                <w:sz w:val="24"/>
                <w:szCs w:val="24"/>
              </w:rPr>
              <w:t>Plaštakos ekstenzija (laipsniai)</w:t>
            </w:r>
          </w:p>
        </w:tc>
        <w:tc>
          <w:tcPr>
            <w:tcW w:w="2127" w:type="dxa"/>
            <w:tcBorders>
              <w:left w:val="nil"/>
              <w:right w:val="nil"/>
            </w:tcBorders>
          </w:tcPr>
          <w:p w:rsidR="00774303" w:rsidRPr="0010287D" w:rsidRDefault="00E00CE3" w:rsidP="002F2793">
            <w:pPr>
              <w:spacing w:line="360" w:lineRule="auto"/>
              <w:contextualSpacing/>
              <w:jc w:val="both"/>
              <w:rPr>
                <w:rFonts w:ascii="Times New Roman" w:hAnsi="Times New Roman" w:cs="Times New Roman"/>
                <w:sz w:val="24"/>
                <w:szCs w:val="24"/>
              </w:rPr>
            </w:pPr>
            <w:r w:rsidRPr="0010287D">
              <w:rPr>
                <w:rFonts w:ascii="Times New Roman" w:hAnsi="Times New Roman" w:cs="Times New Roman"/>
                <w:sz w:val="24"/>
                <w:szCs w:val="24"/>
              </w:rPr>
              <w:t>10,38±4,8</w:t>
            </w:r>
          </w:p>
        </w:tc>
        <w:tc>
          <w:tcPr>
            <w:tcW w:w="2409" w:type="dxa"/>
            <w:tcBorders>
              <w:left w:val="nil"/>
              <w:right w:val="nil"/>
            </w:tcBorders>
          </w:tcPr>
          <w:p w:rsidR="00774303" w:rsidRPr="0010287D" w:rsidRDefault="00E00CE3" w:rsidP="002F2793">
            <w:pPr>
              <w:spacing w:line="360" w:lineRule="auto"/>
              <w:contextualSpacing/>
              <w:jc w:val="both"/>
              <w:rPr>
                <w:rFonts w:ascii="Times New Roman" w:hAnsi="Times New Roman" w:cs="Times New Roman"/>
                <w:sz w:val="24"/>
                <w:szCs w:val="24"/>
              </w:rPr>
            </w:pPr>
            <w:r w:rsidRPr="0010287D">
              <w:rPr>
                <w:rFonts w:ascii="Times New Roman" w:hAnsi="Times New Roman" w:cs="Times New Roman"/>
                <w:sz w:val="24"/>
                <w:szCs w:val="24"/>
              </w:rPr>
              <w:t>5,13±1,7</w:t>
            </w:r>
          </w:p>
        </w:tc>
        <w:tc>
          <w:tcPr>
            <w:tcW w:w="1808" w:type="dxa"/>
            <w:tcBorders>
              <w:left w:val="nil"/>
              <w:right w:val="nil"/>
            </w:tcBorders>
          </w:tcPr>
          <w:p w:rsidR="00774303" w:rsidRPr="0010287D" w:rsidRDefault="00774303" w:rsidP="002F2793">
            <w:pPr>
              <w:spacing w:line="360" w:lineRule="auto"/>
              <w:contextualSpacing/>
              <w:jc w:val="both"/>
              <w:rPr>
                <w:rFonts w:ascii="Times New Roman" w:hAnsi="Times New Roman" w:cs="Times New Roman"/>
                <w:b/>
                <w:sz w:val="24"/>
                <w:szCs w:val="24"/>
              </w:rPr>
            </w:pPr>
            <w:r w:rsidRPr="0010287D">
              <w:rPr>
                <w:rFonts w:ascii="Times New Roman" w:hAnsi="Times New Roman" w:cs="Times New Roman"/>
                <w:b/>
                <w:sz w:val="24"/>
                <w:szCs w:val="24"/>
              </w:rPr>
              <w:t>0,001</w:t>
            </w:r>
          </w:p>
        </w:tc>
      </w:tr>
      <w:tr w:rsidR="00774303" w:rsidRPr="0010287D" w:rsidTr="00774303">
        <w:tc>
          <w:tcPr>
            <w:tcW w:w="3510" w:type="dxa"/>
            <w:tcBorders>
              <w:left w:val="nil"/>
              <w:right w:val="nil"/>
            </w:tcBorders>
          </w:tcPr>
          <w:p w:rsidR="00774303" w:rsidRPr="0010287D" w:rsidRDefault="00774303" w:rsidP="002F2793">
            <w:pPr>
              <w:spacing w:line="360" w:lineRule="auto"/>
              <w:contextualSpacing/>
              <w:jc w:val="both"/>
              <w:rPr>
                <w:rFonts w:ascii="Times New Roman" w:hAnsi="Times New Roman" w:cs="Times New Roman"/>
                <w:sz w:val="24"/>
                <w:szCs w:val="24"/>
              </w:rPr>
            </w:pPr>
            <w:r w:rsidRPr="0010287D">
              <w:rPr>
                <w:rFonts w:ascii="Times New Roman" w:hAnsi="Times New Roman" w:cs="Times New Roman"/>
                <w:sz w:val="24"/>
                <w:szCs w:val="24"/>
              </w:rPr>
              <w:t>Ulnarinė deviacija (laipsniai)</w:t>
            </w:r>
          </w:p>
        </w:tc>
        <w:tc>
          <w:tcPr>
            <w:tcW w:w="2127" w:type="dxa"/>
            <w:tcBorders>
              <w:left w:val="nil"/>
              <w:right w:val="nil"/>
            </w:tcBorders>
          </w:tcPr>
          <w:p w:rsidR="00774303" w:rsidRPr="0010287D" w:rsidRDefault="00E00CE3" w:rsidP="002F2793">
            <w:pPr>
              <w:spacing w:line="360" w:lineRule="auto"/>
              <w:contextualSpacing/>
              <w:jc w:val="both"/>
              <w:rPr>
                <w:rFonts w:ascii="Times New Roman" w:hAnsi="Times New Roman" w:cs="Times New Roman"/>
                <w:sz w:val="24"/>
                <w:szCs w:val="24"/>
              </w:rPr>
            </w:pPr>
            <w:r w:rsidRPr="0010287D">
              <w:rPr>
                <w:rFonts w:ascii="Times New Roman" w:hAnsi="Times New Roman" w:cs="Times New Roman"/>
                <w:sz w:val="24"/>
                <w:szCs w:val="24"/>
              </w:rPr>
              <w:t>3,94±1,8</w:t>
            </w:r>
          </w:p>
        </w:tc>
        <w:tc>
          <w:tcPr>
            <w:tcW w:w="2409" w:type="dxa"/>
            <w:tcBorders>
              <w:left w:val="nil"/>
              <w:right w:val="nil"/>
            </w:tcBorders>
          </w:tcPr>
          <w:p w:rsidR="00774303" w:rsidRPr="0010287D" w:rsidRDefault="00E00CE3" w:rsidP="002F2793">
            <w:pPr>
              <w:spacing w:line="360" w:lineRule="auto"/>
              <w:contextualSpacing/>
              <w:jc w:val="both"/>
              <w:rPr>
                <w:rFonts w:ascii="Times New Roman" w:hAnsi="Times New Roman" w:cs="Times New Roman"/>
                <w:sz w:val="24"/>
                <w:szCs w:val="24"/>
              </w:rPr>
            </w:pPr>
            <w:r w:rsidRPr="0010287D">
              <w:rPr>
                <w:rFonts w:ascii="Times New Roman" w:hAnsi="Times New Roman" w:cs="Times New Roman"/>
                <w:sz w:val="24"/>
                <w:szCs w:val="24"/>
              </w:rPr>
              <w:t>3,50±1,4</w:t>
            </w:r>
          </w:p>
        </w:tc>
        <w:tc>
          <w:tcPr>
            <w:tcW w:w="1808" w:type="dxa"/>
            <w:tcBorders>
              <w:left w:val="nil"/>
              <w:right w:val="nil"/>
            </w:tcBorders>
          </w:tcPr>
          <w:p w:rsidR="00774303" w:rsidRPr="0010287D" w:rsidRDefault="00E00CE3" w:rsidP="002F2793">
            <w:pPr>
              <w:spacing w:line="360" w:lineRule="auto"/>
              <w:contextualSpacing/>
              <w:jc w:val="both"/>
              <w:rPr>
                <w:rFonts w:ascii="Times New Roman" w:hAnsi="Times New Roman" w:cs="Times New Roman"/>
                <w:sz w:val="24"/>
                <w:szCs w:val="24"/>
              </w:rPr>
            </w:pPr>
            <w:r w:rsidRPr="0010287D">
              <w:rPr>
                <w:rFonts w:ascii="Times New Roman" w:hAnsi="Times New Roman" w:cs="Times New Roman"/>
                <w:sz w:val="24"/>
                <w:szCs w:val="24"/>
              </w:rPr>
              <w:t>0,239</w:t>
            </w:r>
          </w:p>
        </w:tc>
      </w:tr>
      <w:tr w:rsidR="00774303" w:rsidRPr="0010287D" w:rsidTr="00774303">
        <w:tc>
          <w:tcPr>
            <w:tcW w:w="3510" w:type="dxa"/>
            <w:tcBorders>
              <w:left w:val="nil"/>
              <w:right w:val="nil"/>
            </w:tcBorders>
          </w:tcPr>
          <w:p w:rsidR="00774303" w:rsidRPr="0010287D" w:rsidRDefault="00774303" w:rsidP="002F2793">
            <w:pPr>
              <w:spacing w:line="360" w:lineRule="auto"/>
              <w:contextualSpacing/>
              <w:jc w:val="both"/>
              <w:rPr>
                <w:rFonts w:ascii="Times New Roman" w:hAnsi="Times New Roman" w:cs="Times New Roman"/>
                <w:sz w:val="24"/>
                <w:szCs w:val="24"/>
              </w:rPr>
            </w:pPr>
            <w:r w:rsidRPr="0010287D">
              <w:rPr>
                <w:rFonts w:ascii="Times New Roman" w:hAnsi="Times New Roman" w:cs="Times New Roman"/>
                <w:sz w:val="24"/>
                <w:szCs w:val="24"/>
              </w:rPr>
              <w:t>Radialinė deviacija (laipsniai)</w:t>
            </w:r>
          </w:p>
        </w:tc>
        <w:tc>
          <w:tcPr>
            <w:tcW w:w="2127" w:type="dxa"/>
            <w:tcBorders>
              <w:left w:val="nil"/>
              <w:right w:val="nil"/>
            </w:tcBorders>
          </w:tcPr>
          <w:p w:rsidR="00774303" w:rsidRPr="0010287D" w:rsidRDefault="00E00CE3" w:rsidP="002F2793">
            <w:pPr>
              <w:spacing w:line="360" w:lineRule="auto"/>
              <w:contextualSpacing/>
              <w:jc w:val="both"/>
              <w:rPr>
                <w:rFonts w:ascii="Times New Roman" w:hAnsi="Times New Roman" w:cs="Times New Roman"/>
                <w:sz w:val="24"/>
                <w:szCs w:val="24"/>
              </w:rPr>
            </w:pPr>
            <w:r w:rsidRPr="0010287D">
              <w:rPr>
                <w:rFonts w:ascii="Times New Roman" w:hAnsi="Times New Roman" w:cs="Times New Roman"/>
                <w:sz w:val="24"/>
                <w:szCs w:val="24"/>
              </w:rPr>
              <w:t>5,50±2,3</w:t>
            </w:r>
          </w:p>
        </w:tc>
        <w:tc>
          <w:tcPr>
            <w:tcW w:w="2409" w:type="dxa"/>
            <w:tcBorders>
              <w:left w:val="nil"/>
              <w:right w:val="nil"/>
            </w:tcBorders>
          </w:tcPr>
          <w:p w:rsidR="00774303" w:rsidRPr="0010287D" w:rsidRDefault="00E00CE3" w:rsidP="002F2793">
            <w:pPr>
              <w:spacing w:line="360" w:lineRule="auto"/>
              <w:contextualSpacing/>
              <w:jc w:val="both"/>
              <w:rPr>
                <w:rFonts w:ascii="Times New Roman" w:hAnsi="Times New Roman" w:cs="Times New Roman"/>
                <w:sz w:val="24"/>
                <w:szCs w:val="24"/>
              </w:rPr>
            </w:pPr>
            <w:r w:rsidRPr="0010287D">
              <w:rPr>
                <w:rFonts w:ascii="Times New Roman" w:hAnsi="Times New Roman" w:cs="Times New Roman"/>
                <w:sz w:val="24"/>
                <w:szCs w:val="24"/>
              </w:rPr>
              <w:t>2,81±0,9</w:t>
            </w:r>
          </w:p>
        </w:tc>
        <w:tc>
          <w:tcPr>
            <w:tcW w:w="1808" w:type="dxa"/>
            <w:tcBorders>
              <w:left w:val="nil"/>
              <w:right w:val="nil"/>
            </w:tcBorders>
          </w:tcPr>
          <w:p w:rsidR="00774303" w:rsidRPr="0010287D" w:rsidRDefault="00E00CE3" w:rsidP="002F2793">
            <w:pPr>
              <w:spacing w:line="360" w:lineRule="auto"/>
              <w:contextualSpacing/>
              <w:jc w:val="both"/>
              <w:rPr>
                <w:rFonts w:ascii="Times New Roman" w:hAnsi="Times New Roman" w:cs="Times New Roman"/>
                <w:b/>
                <w:sz w:val="24"/>
                <w:szCs w:val="24"/>
              </w:rPr>
            </w:pPr>
            <w:r w:rsidRPr="0010287D">
              <w:rPr>
                <w:rFonts w:ascii="Times New Roman" w:hAnsi="Times New Roman" w:cs="Times New Roman"/>
                <w:b/>
                <w:sz w:val="24"/>
                <w:szCs w:val="24"/>
              </w:rPr>
              <w:t>0,017</w:t>
            </w:r>
          </w:p>
        </w:tc>
      </w:tr>
      <w:tr w:rsidR="00774303" w:rsidTr="00774303">
        <w:tc>
          <w:tcPr>
            <w:tcW w:w="3510" w:type="dxa"/>
            <w:tcBorders>
              <w:left w:val="nil"/>
              <w:right w:val="nil"/>
            </w:tcBorders>
          </w:tcPr>
          <w:p w:rsidR="00774303" w:rsidRPr="0010287D" w:rsidRDefault="00774303" w:rsidP="002F2793">
            <w:pPr>
              <w:spacing w:line="360" w:lineRule="auto"/>
              <w:contextualSpacing/>
              <w:jc w:val="both"/>
              <w:rPr>
                <w:rFonts w:ascii="Times New Roman" w:hAnsi="Times New Roman" w:cs="Times New Roman"/>
                <w:sz w:val="24"/>
                <w:szCs w:val="24"/>
              </w:rPr>
            </w:pPr>
            <w:r w:rsidRPr="0010287D">
              <w:rPr>
                <w:rFonts w:ascii="Times New Roman" w:hAnsi="Times New Roman" w:cs="Times New Roman"/>
                <w:sz w:val="24"/>
                <w:szCs w:val="24"/>
              </w:rPr>
              <w:t>Keitelio indeksas (balai)</w:t>
            </w:r>
          </w:p>
        </w:tc>
        <w:tc>
          <w:tcPr>
            <w:tcW w:w="2127" w:type="dxa"/>
            <w:tcBorders>
              <w:left w:val="nil"/>
              <w:right w:val="nil"/>
            </w:tcBorders>
          </w:tcPr>
          <w:p w:rsidR="00774303" w:rsidRPr="0010287D" w:rsidRDefault="00E00CE3" w:rsidP="002F2793">
            <w:pPr>
              <w:spacing w:line="360" w:lineRule="auto"/>
              <w:contextualSpacing/>
              <w:jc w:val="both"/>
              <w:rPr>
                <w:rFonts w:ascii="Times New Roman" w:hAnsi="Times New Roman" w:cs="Times New Roman"/>
                <w:sz w:val="24"/>
                <w:szCs w:val="24"/>
              </w:rPr>
            </w:pPr>
            <w:r w:rsidRPr="0010287D">
              <w:rPr>
                <w:rFonts w:ascii="Times New Roman" w:hAnsi="Times New Roman" w:cs="Times New Roman"/>
                <w:sz w:val="24"/>
                <w:szCs w:val="24"/>
              </w:rPr>
              <w:t>4,25±1,3</w:t>
            </w:r>
          </w:p>
        </w:tc>
        <w:tc>
          <w:tcPr>
            <w:tcW w:w="2409" w:type="dxa"/>
            <w:tcBorders>
              <w:left w:val="nil"/>
              <w:right w:val="nil"/>
            </w:tcBorders>
          </w:tcPr>
          <w:p w:rsidR="00774303" w:rsidRPr="0010287D" w:rsidRDefault="00E00CE3" w:rsidP="002F2793">
            <w:pPr>
              <w:spacing w:line="360" w:lineRule="auto"/>
              <w:contextualSpacing/>
              <w:jc w:val="both"/>
              <w:rPr>
                <w:rFonts w:ascii="Times New Roman" w:hAnsi="Times New Roman" w:cs="Times New Roman"/>
                <w:sz w:val="24"/>
                <w:szCs w:val="24"/>
              </w:rPr>
            </w:pPr>
            <w:r w:rsidRPr="0010287D">
              <w:rPr>
                <w:rFonts w:ascii="Times New Roman" w:hAnsi="Times New Roman" w:cs="Times New Roman"/>
                <w:sz w:val="24"/>
                <w:szCs w:val="24"/>
              </w:rPr>
              <w:t>2,81±1,2</w:t>
            </w:r>
          </w:p>
        </w:tc>
        <w:tc>
          <w:tcPr>
            <w:tcW w:w="1808" w:type="dxa"/>
            <w:tcBorders>
              <w:left w:val="nil"/>
              <w:right w:val="nil"/>
            </w:tcBorders>
          </w:tcPr>
          <w:p w:rsidR="00774303" w:rsidRPr="00E00CE3" w:rsidRDefault="00E00CE3" w:rsidP="002F2793">
            <w:pPr>
              <w:spacing w:line="360" w:lineRule="auto"/>
              <w:contextualSpacing/>
              <w:jc w:val="both"/>
              <w:rPr>
                <w:rFonts w:ascii="Times New Roman" w:hAnsi="Times New Roman" w:cs="Times New Roman"/>
                <w:b/>
                <w:sz w:val="24"/>
                <w:szCs w:val="24"/>
              </w:rPr>
            </w:pPr>
            <w:r w:rsidRPr="0010287D">
              <w:rPr>
                <w:rFonts w:ascii="Times New Roman" w:hAnsi="Times New Roman" w:cs="Times New Roman"/>
                <w:b/>
                <w:sz w:val="24"/>
                <w:szCs w:val="24"/>
              </w:rPr>
              <w:t>0,008</w:t>
            </w:r>
          </w:p>
        </w:tc>
      </w:tr>
    </w:tbl>
    <w:p w:rsidR="00774303" w:rsidRDefault="00774303" w:rsidP="002F2793">
      <w:pPr>
        <w:spacing w:after="0" w:line="360" w:lineRule="auto"/>
        <w:contextualSpacing/>
        <w:jc w:val="both"/>
        <w:rPr>
          <w:rFonts w:ascii="Times New Roman" w:hAnsi="Times New Roman" w:cs="Times New Roman"/>
          <w:b/>
          <w:sz w:val="24"/>
          <w:szCs w:val="24"/>
        </w:rPr>
      </w:pPr>
    </w:p>
    <w:p w:rsidR="006760DE" w:rsidRDefault="0002182D" w:rsidP="002847B6">
      <w:pPr>
        <w:spacing w:after="0" w:line="360" w:lineRule="auto"/>
        <w:ind w:firstLine="851"/>
        <w:contextualSpacing/>
        <w:jc w:val="both"/>
        <w:rPr>
          <w:rFonts w:ascii="Times New Roman" w:hAnsi="Times New Roman" w:cs="Times New Roman"/>
          <w:sz w:val="24"/>
          <w:szCs w:val="24"/>
        </w:rPr>
      </w:pPr>
      <w:r w:rsidRPr="0002182D">
        <w:rPr>
          <w:rFonts w:ascii="Times New Roman" w:hAnsi="Times New Roman" w:cs="Times New Roman"/>
          <w:sz w:val="24"/>
          <w:szCs w:val="24"/>
        </w:rPr>
        <w:t xml:space="preserve">Pacientų amžius </w:t>
      </w:r>
      <w:r>
        <w:rPr>
          <w:rFonts w:ascii="Times New Roman" w:hAnsi="Times New Roman" w:cs="Times New Roman"/>
          <w:sz w:val="24"/>
          <w:szCs w:val="24"/>
        </w:rPr>
        <w:t>yra svarbus veiksnys ergoterapijos bei visos reabilitacijos efektyvumui. Savo tyrimu vertinome pacientų amžiaus ir mūsų vertintų parametrų pokyčių sąsajas. Buvo gautas statistiškai reikšmingas vidutinio stiprumo neigiamas ryšys tarp kontrolinės grupės pacientų amžiaus ir jų raumenų jėgos pokyčio po ergoterapijos procedūrų (r= -0,691, p&lt;0,05). Tai reiškia, kad vyresniems kontrolinės grupės pacientams po ergoterapijos procedūrų gautas mažesnis raumenų jėgos pokytis (</w:t>
      </w:r>
      <w:r w:rsidR="00B74856">
        <w:rPr>
          <w:rFonts w:ascii="Times New Roman" w:hAnsi="Times New Roman" w:cs="Times New Roman"/>
          <w:sz w:val="24"/>
          <w:szCs w:val="24"/>
        </w:rPr>
        <w:t>3</w:t>
      </w:r>
      <w:r>
        <w:rPr>
          <w:rFonts w:ascii="Times New Roman" w:hAnsi="Times New Roman" w:cs="Times New Roman"/>
          <w:sz w:val="24"/>
          <w:szCs w:val="24"/>
        </w:rPr>
        <w:t xml:space="preserve"> lentelė).</w:t>
      </w:r>
    </w:p>
    <w:p w:rsidR="00D402E9" w:rsidRPr="0002182D" w:rsidRDefault="00D402E9" w:rsidP="002F2793">
      <w:pPr>
        <w:spacing w:after="0" w:line="360" w:lineRule="auto"/>
        <w:contextualSpacing/>
        <w:jc w:val="both"/>
        <w:rPr>
          <w:rFonts w:ascii="Times New Roman" w:hAnsi="Times New Roman" w:cs="Times New Roman"/>
          <w:sz w:val="24"/>
          <w:szCs w:val="24"/>
        </w:rPr>
      </w:pPr>
    </w:p>
    <w:p w:rsidR="00774303" w:rsidRPr="0002182D" w:rsidRDefault="00B74856" w:rsidP="002F2793">
      <w:pPr>
        <w:spacing w:after="0" w:line="360" w:lineRule="auto"/>
        <w:contextualSpacing/>
        <w:jc w:val="center"/>
        <w:rPr>
          <w:rFonts w:ascii="Times New Roman" w:hAnsi="Times New Roman" w:cs="Times New Roman"/>
          <w:b/>
          <w:i/>
          <w:sz w:val="24"/>
          <w:szCs w:val="24"/>
        </w:rPr>
      </w:pPr>
      <w:r>
        <w:rPr>
          <w:rFonts w:ascii="Times New Roman" w:hAnsi="Times New Roman" w:cs="Times New Roman"/>
          <w:b/>
          <w:i/>
          <w:sz w:val="24"/>
          <w:szCs w:val="24"/>
        </w:rPr>
        <w:t>3</w:t>
      </w:r>
      <w:r w:rsidR="0002182D" w:rsidRPr="0002182D">
        <w:rPr>
          <w:rFonts w:ascii="Times New Roman" w:hAnsi="Times New Roman" w:cs="Times New Roman"/>
          <w:b/>
          <w:i/>
          <w:sz w:val="24"/>
          <w:szCs w:val="24"/>
        </w:rPr>
        <w:t xml:space="preserve"> lentelė. Tiriamosios ir kontrolinės grupės tiriamųjų rankos funkcijos ir savarankiškumo parametrų pokyčiių po ergoterapijos procedūrų ir jų amžiaus sąsajos</w:t>
      </w:r>
    </w:p>
    <w:tbl>
      <w:tblPr>
        <w:tblStyle w:val="Lentelstinklelis"/>
        <w:tblW w:w="5000" w:type="pct"/>
        <w:tblLook w:val="04A0" w:firstRow="1" w:lastRow="0" w:firstColumn="1" w:lastColumn="0" w:noHBand="0" w:noVBand="1"/>
      </w:tblPr>
      <w:tblGrid>
        <w:gridCol w:w="3379"/>
        <w:gridCol w:w="3380"/>
        <w:gridCol w:w="3378"/>
      </w:tblGrid>
      <w:tr w:rsidR="00D21746" w:rsidTr="00927C4A">
        <w:tc>
          <w:tcPr>
            <w:tcW w:w="1667" w:type="pct"/>
            <w:vMerge w:val="restart"/>
            <w:tcBorders>
              <w:left w:val="nil"/>
              <w:right w:val="nil"/>
            </w:tcBorders>
            <w:shd w:val="clear" w:color="auto" w:fill="E6E6E6" w:themeFill="background1" w:themeFillShade="E6"/>
          </w:tcPr>
          <w:p w:rsidR="00D21746" w:rsidRDefault="00D21746" w:rsidP="002F279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Vertinimo pokyčiai</w:t>
            </w:r>
          </w:p>
        </w:tc>
        <w:tc>
          <w:tcPr>
            <w:tcW w:w="3333" w:type="pct"/>
            <w:gridSpan w:val="2"/>
            <w:tcBorders>
              <w:left w:val="nil"/>
              <w:right w:val="nil"/>
            </w:tcBorders>
            <w:shd w:val="clear" w:color="auto" w:fill="E6E6E6" w:themeFill="background1" w:themeFillShade="E6"/>
          </w:tcPr>
          <w:p w:rsidR="00D21746" w:rsidRDefault="00D21746" w:rsidP="002F279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Tyrimo dalyvių amžius</w:t>
            </w:r>
          </w:p>
        </w:tc>
      </w:tr>
      <w:tr w:rsidR="00D21746" w:rsidTr="00927C4A">
        <w:tc>
          <w:tcPr>
            <w:tcW w:w="1667" w:type="pct"/>
            <w:vMerge/>
            <w:tcBorders>
              <w:left w:val="nil"/>
              <w:right w:val="nil"/>
            </w:tcBorders>
            <w:shd w:val="clear" w:color="auto" w:fill="E6E6E6" w:themeFill="background1" w:themeFillShade="E6"/>
          </w:tcPr>
          <w:p w:rsidR="00D21746" w:rsidRDefault="00D21746" w:rsidP="002F2793">
            <w:pPr>
              <w:spacing w:line="360" w:lineRule="auto"/>
              <w:contextualSpacing/>
              <w:jc w:val="both"/>
              <w:rPr>
                <w:rFonts w:ascii="Times New Roman" w:hAnsi="Times New Roman" w:cs="Times New Roman"/>
                <w:b/>
                <w:sz w:val="24"/>
                <w:szCs w:val="24"/>
              </w:rPr>
            </w:pPr>
          </w:p>
        </w:tc>
        <w:tc>
          <w:tcPr>
            <w:tcW w:w="1667" w:type="pct"/>
            <w:tcBorders>
              <w:left w:val="nil"/>
              <w:right w:val="nil"/>
            </w:tcBorders>
            <w:shd w:val="clear" w:color="auto" w:fill="E6E6E6" w:themeFill="background1" w:themeFillShade="E6"/>
          </w:tcPr>
          <w:p w:rsidR="00D21746" w:rsidRDefault="00D21746" w:rsidP="002F279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Tiriamoji grupė (r / p)</w:t>
            </w:r>
          </w:p>
        </w:tc>
        <w:tc>
          <w:tcPr>
            <w:tcW w:w="1666" w:type="pct"/>
            <w:tcBorders>
              <w:left w:val="nil"/>
              <w:right w:val="nil"/>
            </w:tcBorders>
            <w:shd w:val="clear" w:color="auto" w:fill="E6E6E6" w:themeFill="background1" w:themeFillShade="E6"/>
          </w:tcPr>
          <w:p w:rsidR="00D21746" w:rsidRDefault="00D21746" w:rsidP="002F279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Kontrolinė grupė (r / p)</w:t>
            </w:r>
          </w:p>
        </w:tc>
      </w:tr>
      <w:tr w:rsidR="00D21746" w:rsidTr="00927C4A">
        <w:tc>
          <w:tcPr>
            <w:tcW w:w="1667" w:type="pct"/>
            <w:tcBorders>
              <w:left w:val="nil"/>
              <w:right w:val="nil"/>
            </w:tcBorders>
          </w:tcPr>
          <w:p w:rsidR="00D21746" w:rsidRPr="002B27EF" w:rsidRDefault="00D21746" w:rsidP="002F2793">
            <w:pPr>
              <w:spacing w:line="360" w:lineRule="auto"/>
              <w:contextualSpacing/>
              <w:jc w:val="both"/>
              <w:rPr>
                <w:rFonts w:ascii="Times New Roman" w:hAnsi="Times New Roman" w:cs="Times New Roman"/>
                <w:sz w:val="24"/>
                <w:szCs w:val="24"/>
              </w:rPr>
            </w:pPr>
            <w:r w:rsidRPr="002B27EF">
              <w:rPr>
                <w:rFonts w:ascii="Times New Roman" w:hAnsi="Times New Roman" w:cs="Times New Roman"/>
                <w:sz w:val="24"/>
                <w:szCs w:val="24"/>
              </w:rPr>
              <w:t xml:space="preserve">Skausmas </w:t>
            </w:r>
            <w:r>
              <w:rPr>
                <w:rFonts w:ascii="Times New Roman" w:hAnsi="Times New Roman" w:cs="Times New Roman"/>
                <w:sz w:val="24"/>
                <w:szCs w:val="24"/>
              </w:rPr>
              <w:t>(balai)</w:t>
            </w:r>
          </w:p>
        </w:tc>
        <w:tc>
          <w:tcPr>
            <w:tcW w:w="1667" w:type="pct"/>
            <w:tcBorders>
              <w:left w:val="nil"/>
              <w:right w:val="nil"/>
            </w:tcBorders>
          </w:tcPr>
          <w:p w:rsidR="00D21746" w:rsidRPr="00360DA0" w:rsidRDefault="00D21746"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-0,092 / 0,736</w:t>
            </w:r>
          </w:p>
        </w:tc>
        <w:tc>
          <w:tcPr>
            <w:tcW w:w="1666" w:type="pct"/>
            <w:tcBorders>
              <w:left w:val="nil"/>
              <w:right w:val="nil"/>
            </w:tcBorders>
          </w:tcPr>
          <w:p w:rsidR="00D21746" w:rsidRPr="00360DA0" w:rsidRDefault="00D21746"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-0,301 / 0,258</w:t>
            </w:r>
          </w:p>
        </w:tc>
      </w:tr>
      <w:tr w:rsidR="00D21746" w:rsidTr="00927C4A">
        <w:tc>
          <w:tcPr>
            <w:tcW w:w="1667" w:type="pct"/>
            <w:tcBorders>
              <w:left w:val="nil"/>
              <w:right w:val="nil"/>
            </w:tcBorders>
          </w:tcPr>
          <w:p w:rsidR="00D21746" w:rsidRPr="002B27EF" w:rsidRDefault="00D21746" w:rsidP="002F2793">
            <w:pPr>
              <w:spacing w:line="360" w:lineRule="auto"/>
              <w:contextualSpacing/>
              <w:jc w:val="both"/>
              <w:rPr>
                <w:rFonts w:ascii="Times New Roman" w:hAnsi="Times New Roman" w:cs="Times New Roman"/>
                <w:sz w:val="24"/>
                <w:szCs w:val="24"/>
              </w:rPr>
            </w:pPr>
            <w:r w:rsidRPr="002B27EF">
              <w:rPr>
                <w:rFonts w:ascii="Times New Roman" w:hAnsi="Times New Roman" w:cs="Times New Roman"/>
                <w:sz w:val="24"/>
                <w:szCs w:val="24"/>
              </w:rPr>
              <w:t xml:space="preserve">Sustingimas </w:t>
            </w:r>
          </w:p>
        </w:tc>
        <w:tc>
          <w:tcPr>
            <w:tcW w:w="1667" w:type="pct"/>
            <w:tcBorders>
              <w:left w:val="nil"/>
              <w:right w:val="nil"/>
            </w:tcBorders>
          </w:tcPr>
          <w:p w:rsidR="00D21746" w:rsidRPr="00360DA0" w:rsidRDefault="00D21746"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0,017 / 0,952</w:t>
            </w:r>
          </w:p>
        </w:tc>
        <w:tc>
          <w:tcPr>
            <w:tcW w:w="1666" w:type="pct"/>
            <w:tcBorders>
              <w:left w:val="nil"/>
              <w:right w:val="nil"/>
            </w:tcBorders>
          </w:tcPr>
          <w:p w:rsidR="00D21746" w:rsidRPr="00360DA0" w:rsidRDefault="00D21746"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-0,131 / 0,630</w:t>
            </w:r>
          </w:p>
        </w:tc>
      </w:tr>
      <w:tr w:rsidR="00D21746" w:rsidTr="00927C4A">
        <w:tc>
          <w:tcPr>
            <w:tcW w:w="1667" w:type="pct"/>
            <w:tcBorders>
              <w:left w:val="nil"/>
              <w:right w:val="nil"/>
            </w:tcBorders>
          </w:tcPr>
          <w:p w:rsidR="00D21746" w:rsidRPr="002B27EF" w:rsidRDefault="00927C4A"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Plaštakos r</w:t>
            </w:r>
            <w:r w:rsidR="00D21746" w:rsidRPr="002B27EF">
              <w:rPr>
                <w:rFonts w:ascii="Times New Roman" w:hAnsi="Times New Roman" w:cs="Times New Roman"/>
                <w:sz w:val="24"/>
                <w:szCs w:val="24"/>
              </w:rPr>
              <w:t>aumenų jėga</w:t>
            </w:r>
          </w:p>
        </w:tc>
        <w:tc>
          <w:tcPr>
            <w:tcW w:w="1667" w:type="pct"/>
            <w:tcBorders>
              <w:left w:val="nil"/>
              <w:right w:val="nil"/>
            </w:tcBorders>
          </w:tcPr>
          <w:p w:rsidR="00D21746" w:rsidRPr="00360DA0" w:rsidRDefault="00D21746"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-0,419 / 0,106</w:t>
            </w:r>
          </w:p>
        </w:tc>
        <w:tc>
          <w:tcPr>
            <w:tcW w:w="1666" w:type="pct"/>
            <w:tcBorders>
              <w:left w:val="nil"/>
              <w:right w:val="nil"/>
            </w:tcBorders>
          </w:tcPr>
          <w:p w:rsidR="00D21746" w:rsidRPr="00360DA0" w:rsidRDefault="00D21746" w:rsidP="002F2793">
            <w:pPr>
              <w:spacing w:line="360" w:lineRule="auto"/>
              <w:contextualSpacing/>
              <w:jc w:val="both"/>
              <w:rPr>
                <w:rFonts w:ascii="Times New Roman" w:hAnsi="Times New Roman" w:cs="Times New Roman"/>
                <w:b/>
                <w:sz w:val="24"/>
                <w:szCs w:val="24"/>
              </w:rPr>
            </w:pPr>
            <w:r w:rsidRPr="00360DA0">
              <w:rPr>
                <w:rFonts w:ascii="Times New Roman" w:hAnsi="Times New Roman" w:cs="Times New Roman"/>
                <w:b/>
                <w:sz w:val="24"/>
                <w:szCs w:val="24"/>
              </w:rPr>
              <w:t>-0,691 / 0,003</w:t>
            </w:r>
          </w:p>
        </w:tc>
      </w:tr>
      <w:tr w:rsidR="00D21746" w:rsidTr="00927C4A">
        <w:tc>
          <w:tcPr>
            <w:tcW w:w="1667" w:type="pct"/>
            <w:tcBorders>
              <w:left w:val="nil"/>
              <w:right w:val="nil"/>
            </w:tcBorders>
          </w:tcPr>
          <w:p w:rsidR="00D21746" w:rsidRPr="002B27EF" w:rsidRDefault="00927C4A"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Plaštakos</w:t>
            </w:r>
            <w:r w:rsidR="00D21746" w:rsidRPr="002B27EF">
              <w:rPr>
                <w:rFonts w:ascii="Times New Roman" w:hAnsi="Times New Roman" w:cs="Times New Roman"/>
                <w:sz w:val="24"/>
                <w:szCs w:val="24"/>
              </w:rPr>
              <w:t xml:space="preserve"> fleksija</w:t>
            </w:r>
          </w:p>
        </w:tc>
        <w:tc>
          <w:tcPr>
            <w:tcW w:w="1667" w:type="pct"/>
            <w:tcBorders>
              <w:left w:val="nil"/>
              <w:right w:val="nil"/>
            </w:tcBorders>
          </w:tcPr>
          <w:p w:rsidR="00D21746" w:rsidRPr="00360DA0" w:rsidRDefault="00D21746"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-0,173 / 0,522</w:t>
            </w:r>
          </w:p>
        </w:tc>
        <w:tc>
          <w:tcPr>
            <w:tcW w:w="1666" w:type="pct"/>
            <w:tcBorders>
              <w:left w:val="nil"/>
              <w:right w:val="nil"/>
            </w:tcBorders>
          </w:tcPr>
          <w:p w:rsidR="00D21746" w:rsidRPr="00360DA0" w:rsidRDefault="00D21746"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-0,063 / 0,816</w:t>
            </w:r>
          </w:p>
        </w:tc>
      </w:tr>
      <w:tr w:rsidR="00D21746" w:rsidTr="00927C4A">
        <w:tc>
          <w:tcPr>
            <w:tcW w:w="1667" w:type="pct"/>
            <w:tcBorders>
              <w:left w:val="nil"/>
              <w:right w:val="nil"/>
            </w:tcBorders>
          </w:tcPr>
          <w:p w:rsidR="00D21746" w:rsidRPr="002B27EF" w:rsidRDefault="00927C4A"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Plaštakos</w:t>
            </w:r>
            <w:r w:rsidR="00D21746" w:rsidRPr="002B27EF">
              <w:rPr>
                <w:rFonts w:ascii="Times New Roman" w:hAnsi="Times New Roman" w:cs="Times New Roman"/>
                <w:sz w:val="24"/>
                <w:szCs w:val="24"/>
              </w:rPr>
              <w:t xml:space="preserve"> ekstenzija</w:t>
            </w:r>
          </w:p>
        </w:tc>
        <w:tc>
          <w:tcPr>
            <w:tcW w:w="1667" w:type="pct"/>
            <w:tcBorders>
              <w:left w:val="nil"/>
              <w:right w:val="nil"/>
            </w:tcBorders>
          </w:tcPr>
          <w:p w:rsidR="00D21746" w:rsidRPr="00360DA0" w:rsidRDefault="00D21746"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-0,164 / 0,543</w:t>
            </w:r>
          </w:p>
        </w:tc>
        <w:tc>
          <w:tcPr>
            <w:tcW w:w="1666" w:type="pct"/>
            <w:tcBorders>
              <w:left w:val="nil"/>
              <w:right w:val="nil"/>
            </w:tcBorders>
          </w:tcPr>
          <w:p w:rsidR="00D21746" w:rsidRPr="00360DA0" w:rsidRDefault="00D21746"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-0,088 / 0,745</w:t>
            </w:r>
          </w:p>
        </w:tc>
      </w:tr>
      <w:tr w:rsidR="00D21746" w:rsidTr="00927C4A">
        <w:tc>
          <w:tcPr>
            <w:tcW w:w="1667" w:type="pct"/>
            <w:tcBorders>
              <w:left w:val="nil"/>
              <w:right w:val="nil"/>
            </w:tcBorders>
          </w:tcPr>
          <w:p w:rsidR="00D21746" w:rsidRPr="002B27EF" w:rsidRDefault="00D21746" w:rsidP="002F2793">
            <w:pPr>
              <w:spacing w:line="360" w:lineRule="auto"/>
              <w:contextualSpacing/>
              <w:jc w:val="both"/>
              <w:rPr>
                <w:rFonts w:ascii="Times New Roman" w:hAnsi="Times New Roman" w:cs="Times New Roman"/>
                <w:sz w:val="24"/>
                <w:szCs w:val="24"/>
              </w:rPr>
            </w:pPr>
            <w:r w:rsidRPr="002B27EF">
              <w:rPr>
                <w:rFonts w:ascii="Times New Roman" w:hAnsi="Times New Roman" w:cs="Times New Roman"/>
                <w:sz w:val="24"/>
                <w:szCs w:val="24"/>
              </w:rPr>
              <w:t>Ulnarinė deviacija</w:t>
            </w:r>
          </w:p>
        </w:tc>
        <w:tc>
          <w:tcPr>
            <w:tcW w:w="1667" w:type="pct"/>
            <w:tcBorders>
              <w:left w:val="nil"/>
              <w:right w:val="nil"/>
            </w:tcBorders>
          </w:tcPr>
          <w:p w:rsidR="00D21746" w:rsidRPr="00360DA0" w:rsidRDefault="00D21746"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0,284 / 0,284</w:t>
            </w:r>
          </w:p>
        </w:tc>
        <w:tc>
          <w:tcPr>
            <w:tcW w:w="1666" w:type="pct"/>
            <w:tcBorders>
              <w:left w:val="nil"/>
              <w:right w:val="nil"/>
            </w:tcBorders>
          </w:tcPr>
          <w:p w:rsidR="00D21746" w:rsidRPr="00360DA0" w:rsidRDefault="00D21746"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-0,453 / 0,078</w:t>
            </w:r>
          </w:p>
        </w:tc>
      </w:tr>
      <w:tr w:rsidR="00D21746" w:rsidTr="00927C4A">
        <w:tc>
          <w:tcPr>
            <w:tcW w:w="1667" w:type="pct"/>
            <w:tcBorders>
              <w:left w:val="nil"/>
              <w:right w:val="nil"/>
            </w:tcBorders>
          </w:tcPr>
          <w:p w:rsidR="00D21746" w:rsidRPr="002B27EF" w:rsidRDefault="00D21746" w:rsidP="002F2793">
            <w:pPr>
              <w:spacing w:line="360" w:lineRule="auto"/>
              <w:contextualSpacing/>
              <w:jc w:val="both"/>
              <w:rPr>
                <w:rFonts w:ascii="Times New Roman" w:hAnsi="Times New Roman" w:cs="Times New Roman"/>
                <w:sz w:val="24"/>
                <w:szCs w:val="24"/>
              </w:rPr>
            </w:pPr>
            <w:r w:rsidRPr="002B27EF">
              <w:rPr>
                <w:rFonts w:ascii="Times New Roman" w:hAnsi="Times New Roman" w:cs="Times New Roman"/>
                <w:sz w:val="24"/>
                <w:szCs w:val="24"/>
              </w:rPr>
              <w:t>Radialinė deviacija</w:t>
            </w:r>
          </w:p>
        </w:tc>
        <w:tc>
          <w:tcPr>
            <w:tcW w:w="1667" w:type="pct"/>
            <w:tcBorders>
              <w:left w:val="nil"/>
              <w:right w:val="nil"/>
            </w:tcBorders>
          </w:tcPr>
          <w:p w:rsidR="00D21746" w:rsidRPr="00360DA0" w:rsidRDefault="00D21746"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0,473 / 0,065</w:t>
            </w:r>
          </w:p>
        </w:tc>
        <w:tc>
          <w:tcPr>
            <w:tcW w:w="1666" w:type="pct"/>
            <w:tcBorders>
              <w:left w:val="nil"/>
              <w:right w:val="nil"/>
            </w:tcBorders>
          </w:tcPr>
          <w:p w:rsidR="00D21746" w:rsidRPr="00360DA0" w:rsidRDefault="00D21746"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-0,384 / 0,142</w:t>
            </w:r>
          </w:p>
        </w:tc>
      </w:tr>
      <w:tr w:rsidR="00D21746" w:rsidTr="00927C4A">
        <w:tc>
          <w:tcPr>
            <w:tcW w:w="1667" w:type="pct"/>
            <w:tcBorders>
              <w:left w:val="nil"/>
              <w:right w:val="nil"/>
            </w:tcBorders>
          </w:tcPr>
          <w:p w:rsidR="00D21746" w:rsidRPr="002B27EF" w:rsidRDefault="00D21746" w:rsidP="002F2793">
            <w:pPr>
              <w:spacing w:line="360" w:lineRule="auto"/>
              <w:contextualSpacing/>
              <w:jc w:val="both"/>
              <w:rPr>
                <w:rFonts w:ascii="Times New Roman" w:hAnsi="Times New Roman" w:cs="Times New Roman"/>
                <w:sz w:val="24"/>
                <w:szCs w:val="24"/>
              </w:rPr>
            </w:pPr>
            <w:r w:rsidRPr="002B27EF">
              <w:rPr>
                <w:rFonts w:ascii="Times New Roman" w:hAnsi="Times New Roman" w:cs="Times New Roman"/>
                <w:sz w:val="24"/>
                <w:szCs w:val="24"/>
              </w:rPr>
              <w:t xml:space="preserve">Keitelio indeksas </w:t>
            </w:r>
          </w:p>
        </w:tc>
        <w:tc>
          <w:tcPr>
            <w:tcW w:w="1667" w:type="pct"/>
            <w:tcBorders>
              <w:left w:val="nil"/>
              <w:right w:val="nil"/>
            </w:tcBorders>
          </w:tcPr>
          <w:p w:rsidR="00D21746" w:rsidRPr="00360DA0" w:rsidRDefault="00D21746"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-0,158 / 0,558</w:t>
            </w:r>
          </w:p>
        </w:tc>
        <w:tc>
          <w:tcPr>
            <w:tcW w:w="1666" w:type="pct"/>
            <w:tcBorders>
              <w:left w:val="nil"/>
              <w:right w:val="nil"/>
            </w:tcBorders>
          </w:tcPr>
          <w:p w:rsidR="00D21746" w:rsidRPr="00360DA0" w:rsidRDefault="00D21746"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-0,134 / 0,619</w:t>
            </w:r>
          </w:p>
        </w:tc>
      </w:tr>
    </w:tbl>
    <w:p w:rsidR="00273953" w:rsidRDefault="00273953" w:rsidP="002F2793">
      <w:pPr>
        <w:spacing w:after="0" w:line="360" w:lineRule="auto"/>
        <w:contextualSpacing/>
        <w:jc w:val="both"/>
        <w:rPr>
          <w:rFonts w:ascii="Times New Roman" w:hAnsi="Times New Roman" w:cs="Times New Roman"/>
          <w:b/>
          <w:sz w:val="24"/>
          <w:szCs w:val="24"/>
        </w:rPr>
      </w:pPr>
    </w:p>
    <w:p w:rsidR="00A4688A" w:rsidRDefault="00A4688A" w:rsidP="002847B6">
      <w:pPr>
        <w:spacing w:after="0" w:line="360" w:lineRule="auto"/>
        <w:ind w:firstLine="851"/>
        <w:contextualSpacing/>
        <w:jc w:val="both"/>
        <w:rPr>
          <w:rFonts w:ascii="Times New Roman" w:hAnsi="Times New Roman" w:cs="Times New Roman"/>
          <w:sz w:val="24"/>
          <w:szCs w:val="24"/>
        </w:rPr>
      </w:pPr>
      <w:r w:rsidRPr="00A4688A">
        <w:rPr>
          <w:rFonts w:ascii="Times New Roman" w:hAnsi="Times New Roman" w:cs="Times New Roman"/>
          <w:sz w:val="24"/>
          <w:szCs w:val="24"/>
        </w:rPr>
        <w:t xml:space="preserve">Tyrimo dalyviams </w:t>
      </w:r>
      <w:r>
        <w:rPr>
          <w:rFonts w:ascii="Times New Roman" w:hAnsi="Times New Roman" w:cs="Times New Roman"/>
          <w:sz w:val="24"/>
          <w:szCs w:val="24"/>
        </w:rPr>
        <w:t>be ergoterapijos buvo taikytas reabilitacijos priemonių kompleksas. Vienam asmeniui m</w:t>
      </w:r>
      <w:r w:rsidRPr="00A4688A">
        <w:rPr>
          <w:rFonts w:ascii="Times New Roman" w:hAnsi="Times New Roman" w:cs="Times New Roman"/>
          <w:sz w:val="24"/>
          <w:szCs w:val="24"/>
        </w:rPr>
        <w:t xml:space="preserve">ažiausiai </w:t>
      </w:r>
      <w:r>
        <w:rPr>
          <w:rFonts w:ascii="Times New Roman" w:hAnsi="Times New Roman" w:cs="Times New Roman"/>
          <w:sz w:val="24"/>
          <w:szCs w:val="24"/>
        </w:rPr>
        <w:t xml:space="preserve">taikyta </w:t>
      </w:r>
      <w:r w:rsidRPr="00A4688A">
        <w:rPr>
          <w:rFonts w:ascii="Times New Roman" w:hAnsi="Times New Roman" w:cs="Times New Roman"/>
          <w:sz w:val="24"/>
          <w:szCs w:val="24"/>
        </w:rPr>
        <w:t xml:space="preserve">3 rūšių procedūros, daugiausiai </w:t>
      </w:r>
      <w:r>
        <w:rPr>
          <w:rFonts w:ascii="Times New Roman" w:hAnsi="Times New Roman" w:cs="Times New Roman"/>
          <w:sz w:val="24"/>
          <w:szCs w:val="24"/>
        </w:rPr>
        <w:t xml:space="preserve">- </w:t>
      </w:r>
      <w:r w:rsidRPr="00A4688A">
        <w:rPr>
          <w:rFonts w:ascii="Times New Roman" w:hAnsi="Times New Roman" w:cs="Times New Roman"/>
          <w:sz w:val="24"/>
          <w:szCs w:val="24"/>
        </w:rPr>
        <w:t xml:space="preserve">5 rūšių procedūros. </w:t>
      </w:r>
      <w:r>
        <w:rPr>
          <w:rFonts w:ascii="Times New Roman" w:hAnsi="Times New Roman" w:cs="Times New Roman"/>
          <w:sz w:val="24"/>
          <w:szCs w:val="24"/>
        </w:rPr>
        <w:t xml:space="preserve">Visų taikytų </w:t>
      </w:r>
      <w:r>
        <w:rPr>
          <w:rFonts w:ascii="Times New Roman" w:hAnsi="Times New Roman" w:cs="Times New Roman"/>
          <w:sz w:val="24"/>
          <w:szCs w:val="24"/>
        </w:rPr>
        <w:lastRenderedPageBreak/>
        <w:t xml:space="preserve">reabilitacijos procedūrų pasiskirstymas pateiktas </w:t>
      </w:r>
      <w:r w:rsidR="00F37C1F">
        <w:rPr>
          <w:rFonts w:ascii="Times New Roman" w:hAnsi="Times New Roman" w:cs="Times New Roman"/>
          <w:sz w:val="24"/>
          <w:szCs w:val="24"/>
        </w:rPr>
        <w:t>22</w:t>
      </w:r>
      <w:r>
        <w:rPr>
          <w:rFonts w:ascii="Times New Roman" w:hAnsi="Times New Roman" w:cs="Times New Roman"/>
          <w:sz w:val="24"/>
          <w:szCs w:val="24"/>
        </w:rPr>
        <w:t xml:space="preserve"> paveiksle. 62,5 proc. pacientų gavo masažą, 46,9 proc. </w:t>
      </w:r>
      <w:r w:rsidR="00BC2173">
        <w:rPr>
          <w:rFonts w:ascii="Times New Roman" w:hAnsi="Times New Roman" w:cs="Times New Roman"/>
          <w:sz w:val="24"/>
          <w:szCs w:val="24"/>
        </w:rPr>
        <w:t>buvo taikoma kineziterapija. Mažiausiai pacientų buvo taikyta lazerio terapija (28,1 proc.).</w:t>
      </w:r>
    </w:p>
    <w:p w:rsidR="00D402E9" w:rsidRPr="00BC2173" w:rsidRDefault="00D402E9" w:rsidP="002F2793">
      <w:pPr>
        <w:spacing w:after="0" w:line="360" w:lineRule="auto"/>
        <w:ind w:firstLine="1296"/>
        <w:contextualSpacing/>
        <w:jc w:val="both"/>
        <w:rPr>
          <w:rFonts w:ascii="Times New Roman" w:hAnsi="Times New Roman" w:cs="Times New Roman"/>
          <w:sz w:val="24"/>
          <w:szCs w:val="24"/>
        </w:rPr>
      </w:pPr>
    </w:p>
    <w:p w:rsidR="00273953" w:rsidRDefault="006567FF" w:rsidP="002F2793">
      <w:pPr>
        <w:spacing w:after="0" w:line="360" w:lineRule="auto"/>
        <w:contextualSpacing/>
        <w:jc w:val="center"/>
        <w:rPr>
          <w:rFonts w:ascii="Times New Roman" w:hAnsi="Times New Roman" w:cs="Times New Roman"/>
          <w:b/>
          <w:sz w:val="24"/>
          <w:szCs w:val="24"/>
        </w:rPr>
      </w:pPr>
      <w:r>
        <w:rPr>
          <w:noProof/>
          <w:lang w:eastAsia="lt-LT"/>
        </w:rPr>
        <w:drawing>
          <wp:inline distT="0" distB="0" distL="0" distR="0" wp14:anchorId="1CAFC818" wp14:editId="1E9BF68F">
            <wp:extent cx="5086350" cy="3562350"/>
            <wp:effectExtent l="0" t="0" r="19050" b="19050"/>
            <wp:docPr id="5"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76281" w:rsidRDefault="00F37C1F" w:rsidP="002F2793">
      <w:pPr>
        <w:spacing w:after="0" w:line="360" w:lineRule="auto"/>
        <w:contextualSpacing/>
        <w:jc w:val="center"/>
        <w:rPr>
          <w:rFonts w:ascii="Times New Roman" w:hAnsi="Times New Roman" w:cs="Times New Roman"/>
          <w:b/>
          <w:i/>
          <w:sz w:val="24"/>
          <w:szCs w:val="24"/>
        </w:rPr>
      </w:pPr>
      <w:r>
        <w:rPr>
          <w:rFonts w:ascii="Times New Roman" w:hAnsi="Times New Roman" w:cs="Times New Roman"/>
          <w:b/>
          <w:i/>
          <w:sz w:val="24"/>
          <w:szCs w:val="24"/>
        </w:rPr>
        <w:t>22</w:t>
      </w:r>
      <w:r w:rsidR="00BC2173" w:rsidRPr="00BC2173">
        <w:rPr>
          <w:rFonts w:ascii="Times New Roman" w:hAnsi="Times New Roman" w:cs="Times New Roman"/>
          <w:b/>
          <w:i/>
          <w:sz w:val="24"/>
          <w:szCs w:val="24"/>
        </w:rPr>
        <w:t xml:space="preserve"> pav. Papildomai taikytų reabilitacijos procedūrų pasiskirstymas</w:t>
      </w:r>
    </w:p>
    <w:p w:rsidR="00D402E9" w:rsidRPr="00BC2173" w:rsidRDefault="00D402E9" w:rsidP="002F2793">
      <w:pPr>
        <w:spacing w:after="0" w:line="360" w:lineRule="auto"/>
        <w:contextualSpacing/>
        <w:jc w:val="center"/>
        <w:rPr>
          <w:rFonts w:ascii="Times New Roman" w:hAnsi="Times New Roman" w:cs="Times New Roman"/>
          <w:b/>
          <w:i/>
          <w:sz w:val="24"/>
          <w:szCs w:val="24"/>
        </w:rPr>
      </w:pPr>
    </w:p>
    <w:p w:rsidR="00B12910" w:rsidRDefault="00B12910"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Norėdami palyginti kaip papildomos reabilitacijos procedūros kartu su ergoterapija pagerino rankos funkciją ir padidino savarankiškumą, įvertinome, ar tiriamosios ir kontrolinės grupės pacientai gavo šias procedūras proporcingai. Procedūrų pobūdis ir skaičius vienam pacientui statistiškai reikšmingai nesiskyrė, palyginus tiriamąją ir kontrolinę grupes (p&gt;0,05)(5 lentelė). </w:t>
      </w:r>
    </w:p>
    <w:p w:rsidR="00D402E9" w:rsidRDefault="00D402E9" w:rsidP="002F2793">
      <w:pPr>
        <w:spacing w:after="0" w:line="360" w:lineRule="auto"/>
        <w:ind w:firstLine="1296"/>
        <w:contextualSpacing/>
        <w:jc w:val="both"/>
        <w:rPr>
          <w:rFonts w:ascii="Times New Roman" w:hAnsi="Times New Roman" w:cs="Times New Roman"/>
          <w:sz w:val="24"/>
          <w:szCs w:val="24"/>
        </w:rPr>
      </w:pPr>
      <w:r>
        <w:rPr>
          <w:rFonts w:ascii="Times New Roman" w:hAnsi="Times New Roman" w:cs="Times New Roman"/>
          <w:sz w:val="24"/>
          <w:szCs w:val="24"/>
        </w:rPr>
        <w:br w:type="page"/>
      </w:r>
    </w:p>
    <w:p w:rsidR="00B12910" w:rsidRDefault="00B12910" w:rsidP="002F2793">
      <w:pPr>
        <w:spacing w:after="0" w:line="360" w:lineRule="auto"/>
        <w:contextualSpacing/>
        <w:jc w:val="center"/>
        <w:rPr>
          <w:rFonts w:ascii="Times New Roman" w:hAnsi="Times New Roman" w:cs="Times New Roman"/>
          <w:b/>
          <w:sz w:val="24"/>
          <w:szCs w:val="24"/>
        </w:rPr>
      </w:pPr>
      <w:r>
        <w:rPr>
          <w:rFonts w:ascii="Times New Roman" w:hAnsi="Times New Roman" w:cs="Times New Roman"/>
          <w:b/>
          <w:i/>
          <w:sz w:val="24"/>
          <w:szCs w:val="24"/>
        </w:rPr>
        <w:lastRenderedPageBreak/>
        <w:t xml:space="preserve">5 lentelė. </w:t>
      </w:r>
      <w:r w:rsidRPr="00BC2173">
        <w:rPr>
          <w:rFonts w:ascii="Times New Roman" w:hAnsi="Times New Roman" w:cs="Times New Roman"/>
          <w:b/>
          <w:i/>
          <w:sz w:val="24"/>
          <w:szCs w:val="24"/>
        </w:rPr>
        <w:t>Papildomai taikytų reabilitacijos procedūrų pasiskirstymas</w:t>
      </w:r>
      <w:r>
        <w:rPr>
          <w:rFonts w:ascii="Times New Roman" w:hAnsi="Times New Roman" w:cs="Times New Roman"/>
          <w:b/>
          <w:i/>
          <w:sz w:val="24"/>
          <w:szCs w:val="24"/>
        </w:rPr>
        <w:t xml:space="preserve"> tiriamojoje ir kontrolinėje</w:t>
      </w:r>
      <w:r w:rsidRPr="0002182D">
        <w:rPr>
          <w:rFonts w:ascii="Times New Roman" w:hAnsi="Times New Roman" w:cs="Times New Roman"/>
          <w:b/>
          <w:i/>
          <w:sz w:val="24"/>
          <w:szCs w:val="24"/>
        </w:rPr>
        <w:t xml:space="preserve"> grupės</w:t>
      </w:r>
      <w:r>
        <w:rPr>
          <w:rFonts w:ascii="Times New Roman" w:hAnsi="Times New Roman" w:cs="Times New Roman"/>
          <w:b/>
          <w:i/>
          <w:sz w:val="24"/>
          <w:szCs w:val="24"/>
        </w:rPr>
        <w:t>e</w:t>
      </w:r>
    </w:p>
    <w:tbl>
      <w:tblPr>
        <w:tblStyle w:val="Lentelstinklelis"/>
        <w:tblW w:w="0" w:type="auto"/>
        <w:tblLook w:val="04A0" w:firstRow="1" w:lastRow="0" w:firstColumn="1" w:lastColumn="0" w:noHBand="0" w:noVBand="1"/>
      </w:tblPr>
      <w:tblGrid>
        <w:gridCol w:w="3510"/>
        <w:gridCol w:w="2127"/>
        <w:gridCol w:w="2409"/>
        <w:gridCol w:w="1808"/>
      </w:tblGrid>
      <w:tr w:rsidR="00D87C47" w:rsidTr="00742D9D">
        <w:tc>
          <w:tcPr>
            <w:tcW w:w="3510" w:type="dxa"/>
            <w:tcBorders>
              <w:left w:val="nil"/>
              <w:right w:val="nil"/>
            </w:tcBorders>
            <w:shd w:val="clear" w:color="auto" w:fill="E6E6E6" w:themeFill="background1" w:themeFillShade="E6"/>
          </w:tcPr>
          <w:p w:rsidR="00D87C47" w:rsidRDefault="00D87C47" w:rsidP="002F279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Reabilitacijos procedūros</w:t>
            </w:r>
          </w:p>
          <w:p w:rsidR="00D87C47" w:rsidRPr="007328FD" w:rsidRDefault="00D87C47" w:rsidP="002F279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(n / proc.)</w:t>
            </w:r>
          </w:p>
        </w:tc>
        <w:tc>
          <w:tcPr>
            <w:tcW w:w="2127" w:type="dxa"/>
            <w:tcBorders>
              <w:left w:val="nil"/>
              <w:right w:val="nil"/>
            </w:tcBorders>
            <w:shd w:val="clear" w:color="auto" w:fill="E6E6E6" w:themeFill="background1" w:themeFillShade="E6"/>
          </w:tcPr>
          <w:p w:rsidR="00D87C47" w:rsidRPr="007328FD" w:rsidRDefault="00D87C47" w:rsidP="002F2793">
            <w:pPr>
              <w:spacing w:line="360" w:lineRule="auto"/>
              <w:contextualSpacing/>
              <w:jc w:val="both"/>
              <w:rPr>
                <w:rFonts w:ascii="Times New Roman" w:hAnsi="Times New Roman" w:cs="Times New Roman"/>
                <w:b/>
                <w:sz w:val="24"/>
                <w:szCs w:val="24"/>
              </w:rPr>
            </w:pPr>
            <w:r w:rsidRPr="007328FD">
              <w:rPr>
                <w:rFonts w:ascii="Times New Roman" w:hAnsi="Times New Roman" w:cs="Times New Roman"/>
                <w:b/>
                <w:sz w:val="24"/>
                <w:szCs w:val="24"/>
              </w:rPr>
              <w:t>Tiriamoji grupė (n=</w:t>
            </w:r>
            <w:r>
              <w:rPr>
                <w:rFonts w:ascii="Times New Roman" w:hAnsi="Times New Roman" w:cs="Times New Roman"/>
                <w:b/>
                <w:sz w:val="24"/>
                <w:szCs w:val="24"/>
              </w:rPr>
              <w:t>16</w:t>
            </w:r>
            <w:r w:rsidRPr="007328FD">
              <w:rPr>
                <w:rFonts w:ascii="Times New Roman" w:hAnsi="Times New Roman" w:cs="Times New Roman"/>
                <w:b/>
                <w:sz w:val="24"/>
                <w:szCs w:val="24"/>
              </w:rPr>
              <w:t>)</w:t>
            </w:r>
          </w:p>
        </w:tc>
        <w:tc>
          <w:tcPr>
            <w:tcW w:w="2409" w:type="dxa"/>
            <w:tcBorders>
              <w:left w:val="nil"/>
              <w:right w:val="nil"/>
            </w:tcBorders>
            <w:shd w:val="clear" w:color="auto" w:fill="E6E6E6" w:themeFill="background1" w:themeFillShade="E6"/>
          </w:tcPr>
          <w:p w:rsidR="00D87C47" w:rsidRDefault="00D87C47" w:rsidP="002F279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Kontrolinė grupė (n=16</w:t>
            </w:r>
            <w:r w:rsidRPr="007328FD">
              <w:rPr>
                <w:rFonts w:ascii="Times New Roman" w:hAnsi="Times New Roman" w:cs="Times New Roman"/>
                <w:b/>
                <w:sz w:val="24"/>
                <w:szCs w:val="24"/>
              </w:rPr>
              <w:t>)</w:t>
            </w:r>
          </w:p>
        </w:tc>
        <w:tc>
          <w:tcPr>
            <w:tcW w:w="1808" w:type="dxa"/>
            <w:tcBorders>
              <w:left w:val="nil"/>
              <w:right w:val="nil"/>
            </w:tcBorders>
            <w:shd w:val="clear" w:color="auto" w:fill="E6E6E6" w:themeFill="background1" w:themeFillShade="E6"/>
          </w:tcPr>
          <w:p w:rsidR="00D87C47" w:rsidRPr="007328FD" w:rsidRDefault="00D87C47" w:rsidP="002F279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p</w:t>
            </w:r>
          </w:p>
        </w:tc>
      </w:tr>
      <w:tr w:rsidR="00D87C47" w:rsidTr="00742D9D">
        <w:tc>
          <w:tcPr>
            <w:tcW w:w="3510" w:type="dxa"/>
            <w:tcBorders>
              <w:top w:val="nil"/>
              <w:left w:val="nil"/>
              <w:right w:val="nil"/>
            </w:tcBorders>
          </w:tcPr>
          <w:p w:rsidR="00D87C47" w:rsidRDefault="00D87C47"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Masažas</w:t>
            </w:r>
          </w:p>
        </w:tc>
        <w:tc>
          <w:tcPr>
            <w:tcW w:w="2127" w:type="dxa"/>
            <w:tcBorders>
              <w:top w:val="nil"/>
              <w:left w:val="nil"/>
              <w:right w:val="nil"/>
            </w:tcBorders>
          </w:tcPr>
          <w:p w:rsidR="00D87C47" w:rsidRDefault="00D87C47"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9 / 56,3</w:t>
            </w:r>
          </w:p>
        </w:tc>
        <w:tc>
          <w:tcPr>
            <w:tcW w:w="2409" w:type="dxa"/>
            <w:tcBorders>
              <w:top w:val="nil"/>
              <w:left w:val="nil"/>
              <w:right w:val="nil"/>
            </w:tcBorders>
          </w:tcPr>
          <w:p w:rsidR="00D87C47" w:rsidRDefault="00D87C47"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11 / 68,8</w:t>
            </w:r>
          </w:p>
        </w:tc>
        <w:tc>
          <w:tcPr>
            <w:tcW w:w="1808" w:type="dxa"/>
            <w:tcBorders>
              <w:top w:val="nil"/>
              <w:left w:val="nil"/>
              <w:right w:val="nil"/>
            </w:tcBorders>
          </w:tcPr>
          <w:p w:rsidR="00D87C47" w:rsidRPr="00D87C47" w:rsidRDefault="00D87C47" w:rsidP="002F2793">
            <w:pPr>
              <w:spacing w:line="360" w:lineRule="auto"/>
              <w:contextualSpacing/>
              <w:jc w:val="both"/>
              <w:rPr>
                <w:rFonts w:ascii="Times New Roman" w:hAnsi="Times New Roman" w:cs="Times New Roman"/>
                <w:sz w:val="24"/>
                <w:szCs w:val="24"/>
              </w:rPr>
            </w:pPr>
            <w:r w:rsidRPr="00D87C47">
              <w:rPr>
                <w:rFonts w:ascii="Times New Roman" w:hAnsi="Times New Roman" w:cs="Times New Roman"/>
                <w:sz w:val="24"/>
                <w:szCs w:val="24"/>
              </w:rPr>
              <w:t>0,467</w:t>
            </w:r>
          </w:p>
        </w:tc>
      </w:tr>
      <w:tr w:rsidR="00D87C47" w:rsidTr="00742D9D">
        <w:tc>
          <w:tcPr>
            <w:tcW w:w="3510" w:type="dxa"/>
            <w:tcBorders>
              <w:left w:val="nil"/>
              <w:right w:val="nil"/>
            </w:tcBorders>
          </w:tcPr>
          <w:p w:rsidR="00D87C47" w:rsidRDefault="00D87C47"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Kineziterapija</w:t>
            </w:r>
          </w:p>
        </w:tc>
        <w:tc>
          <w:tcPr>
            <w:tcW w:w="2127" w:type="dxa"/>
            <w:tcBorders>
              <w:left w:val="nil"/>
              <w:right w:val="nil"/>
            </w:tcBorders>
          </w:tcPr>
          <w:p w:rsidR="00D87C47" w:rsidRDefault="00D87C47"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10 / 62,5</w:t>
            </w:r>
          </w:p>
        </w:tc>
        <w:tc>
          <w:tcPr>
            <w:tcW w:w="2409" w:type="dxa"/>
            <w:tcBorders>
              <w:left w:val="nil"/>
              <w:right w:val="nil"/>
            </w:tcBorders>
          </w:tcPr>
          <w:p w:rsidR="00D87C47" w:rsidRDefault="00D87C47"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5 / 31,3</w:t>
            </w:r>
          </w:p>
        </w:tc>
        <w:tc>
          <w:tcPr>
            <w:tcW w:w="1808" w:type="dxa"/>
            <w:tcBorders>
              <w:left w:val="nil"/>
              <w:right w:val="nil"/>
            </w:tcBorders>
          </w:tcPr>
          <w:p w:rsidR="00D87C47" w:rsidRPr="00D87C47" w:rsidRDefault="00D87C47" w:rsidP="002F2793">
            <w:pPr>
              <w:spacing w:line="360" w:lineRule="auto"/>
              <w:contextualSpacing/>
              <w:jc w:val="both"/>
              <w:rPr>
                <w:rFonts w:ascii="Times New Roman" w:hAnsi="Times New Roman" w:cs="Times New Roman"/>
                <w:sz w:val="24"/>
                <w:szCs w:val="24"/>
              </w:rPr>
            </w:pPr>
            <w:r w:rsidRPr="00D87C47">
              <w:rPr>
                <w:rFonts w:ascii="Times New Roman" w:hAnsi="Times New Roman" w:cs="Times New Roman"/>
                <w:sz w:val="24"/>
                <w:szCs w:val="24"/>
              </w:rPr>
              <w:t>0,073</w:t>
            </w:r>
          </w:p>
        </w:tc>
      </w:tr>
      <w:tr w:rsidR="00D87C47" w:rsidTr="00742D9D">
        <w:tc>
          <w:tcPr>
            <w:tcW w:w="3510" w:type="dxa"/>
            <w:tcBorders>
              <w:top w:val="nil"/>
              <w:left w:val="nil"/>
              <w:right w:val="nil"/>
            </w:tcBorders>
          </w:tcPr>
          <w:p w:rsidR="00D87C47" w:rsidRDefault="00D87C47"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Kitos procedūros</w:t>
            </w:r>
          </w:p>
        </w:tc>
        <w:tc>
          <w:tcPr>
            <w:tcW w:w="2127" w:type="dxa"/>
            <w:tcBorders>
              <w:top w:val="nil"/>
              <w:left w:val="nil"/>
              <w:right w:val="nil"/>
            </w:tcBorders>
          </w:tcPr>
          <w:p w:rsidR="00D87C47" w:rsidRDefault="00D87C47"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6 / 37,5</w:t>
            </w:r>
          </w:p>
        </w:tc>
        <w:tc>
          <w:tcPr>
            <w:tcW w:w="2409" w:type="dxa"/>
            <w:tcBorders>
              <w:top w:val="nil"/>
              <w:left w:val="nil"/>
              <w:right w:val="nil"/>
            </w:tcBorders>
          </w:tcPr>
          <w:p w:rsidR="00D87C47" w:rsidRDefault="00D87C47"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8 / 50,0</w:t>
            </w:r>
          </w:p>
        </w:tc>
        <w:tc>
          <w:tcPr>
            <w:tcW w:w="1808" w:type="dxa"/>
            <w:tcBorders>
              <w:top w:val="nil"/>
              <w:left w:val="nil"/>
              <w:right w:val="nil"/>
            </w:tcBorders>
          </w:tcPr>
          <w:p w:rsidR="00D87C47" w:rsidRPr="00D87C47" w:rsidRDefault="00D87C47" w:rsidP="002F2793">
            <w:pPr>
              <w:spacing w:line="360" w:lineRule="auto"/>
              <w:contextualSpacing/>
              <w:jc w:val="both"/>
              <w:rPr>
                <w:rFonts w:ascii="Times New Roman" w:hAnsi="Times New Roman" w:cs="Times New Roman"/>
                <w:sz w:val="24"/>
                <w:szCs w:val="24"/>
              </w:rPr>
            </w:pPr>
            <w:r w:rsidRPr="00D87C47">
              <w:rPr>
                <w:rFonts w:ascii="Times New Roman" w:hAnsi="Times New Roman" w:cs="Times New Roman"/>
                <w:sz w:val="24"/>
                <w:szCs w:val="24"/>
              </w:rPr>
              <w:t>0,478</w:t>
            </w:r>
          </w:p>
        </w:tc>
      </w:tr>
      <w:tr w:rsidR="00D87C47" w:rsidTr="00742D9D">
        <w:tc>
          <w:tcPr>
            <w:tcW w:w="3510" w:type="dxa"/>
            <w:tcBorders>
              <w:left w:val="nil"/>
              <w:right w:val="nil"/>
            </w:tcBorders>
          </w:tcPr>
          <w:p w:rsidR="00D87C47" w:rsidRDefault="00D87C47"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Parafino aplikacijos</w:t>
            </w:r>
          </w:p>
        </w:tc>
        <w:tc>
          <w:tcPr>
            <w:tcW w:w="2127" w:type="dxa"/>
            <w:tcBorders>
              <w:left w:val="nil"/>
              <w:right w:val="nil"/>
            </w:tcBorders>
          </w:tcPr>
          <w:p w:rsidR="00D87C47" w:rsidRDefault="00D87C47"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7 / 43,8</w:t>
            </w:r>
          </w:p>
        </w:tc>
        <w:tc>
          <w:tcPr>
            <w:tcW w:w="2409" w:type="dxa"/>
            <w:tcBorders>
              <w:left w:val="nil"/>
              <w:right w:val="nil"/>
            </w:tcBorders>
          </w:tcPr>
          <w:p w:rsidR="00D87C47" w:rsidRDefault="00D87C47"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6 / 37,5</w:t>
            </w:r>
          </w:p>
        </w:tc>
        <w:tc>
          <w:tcPr>
            <w:tcW w:w="1808" w:type="dxa"/>
            <w:tcBorders>
              <w:left w:val="nil"/>
              <w:right w:val="nil"/>
            </w:tcBorders>
          </w:tcPr>
          <w:p w:rsidR="00D87C47" w:rsidRPr="00D87C47" w:rsidRDefault="00D87C47" w:rsidP="002F2793">
            <w:pPr>
              <w:spacing w:line="360" w:lineRule="auto"/>
              <w:contextualSpacing/>
              <w:jc w:val="both"/>
              <w:rPr>
                <w:rFonts w:ascii="Times New Roman" w:hAnsi="Times New Roman" w:cs="Times New Roman"/>
                <w:sz w:val="24"/>
                <w:szCs w:val="24"/>
              </w:rPr>
            </w:pPr>
            <w:r w:rsidRPr="00D87C47">
              <w:rPr>
                <w:rFonts w:ascii="Times New Roman" w:hAnsi="Times New Roman" w:cs="Times New Roman"/>
                <w:sz w:val="24"/>
                <w:szCs w:val="24"/>
              </w:rPr>
              <w:t>0,719</w:t>
            </w:r>
          </w:p>
        </w:tc>
      </w:tr>
      <w:tr w:rsidR="00D87C47" w:rsidTr="00742D9D">
        <w:tc>
          <w:tcPr>
            <w:tcW w:w="3510" w:type="dxa"/>
            <w:tcBorders>
              <w:left w:val="nil"/>
              <w:right w:val="nil"/>
            </w:tcBorders>
          </w:tcPr>
          <w:p w:rsidR="00D87C47" w:rsidRDefault="00D87C47"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Magnetoterapija</w:t>
            </w:r>
          </w:p>
        </w:tc>
        <w:tc>
          <w:tcPr>
            <w:tcW w:w="2127" w:type="dxa"/>
            <w:tcBorders>
              <w:left w:val="nil"/>
              <w:right w:val="nil"/>
            </w:tcBorders>
          </w:tcPr>
          <w:p w:rsidR="00D87C47" w:rsidRDefault="00D87C47"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7 / 43,8</w:t>
            </w:r>
          </w:p>
        </w:tc>
        <w:tc>
          <w:tcPr>
            <w:tcW w:w="2409" w:type="dxa"/>
            <w:tcBorders>
              <w:left w:val="nil"/>
              <w:right w:val="nil"/>
            </w:tcBorders>
          </w:tcPr>
          <w:p w:rsidR="00D87C47" w:rsidRDefault="00D87C47"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6 / 37,5</w:t>
            </w:r>
          </w:p>
        </w:tc>
        <w:tc>
          <w:tcPr>
            <w:tcW w:w="1808" w:type="dxa"/>
            <w:tcBorders>
              <w:left w:val="nil"/>
              <w:right w:val="nil"/>
            </w:tcBorders>
          </w:tcPr>
          <w:p w:rsidR="00D87C47" w:rsidRPr="00A747EA" w:rsidRDefault="00D87C47"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0,</w:t>
            </w:r>
            <w:r w:rsidRPr="00A747EA">
              <w:rPr>
                <w:rFonts w:ascii="Times New Roman" w:hAnsi="Times New Roman" w:cs="Times New Roman"/>
                <w:sz w:val="24"/>
                <w:szCs w:val="24"/>
              </w:rPr>
              <w:t>7</w:t>
            </w:r>
            <w:r>
              <w:rPr>
                <w:rFonts w:ascii="Times New Roman" w:hAnsi="Times New Roman" w:cs="Times New Roman"/>
                <w:sz w:val="24"/>
                <w:szCs w:val="24"/>
              </w:rPr>
              <w:t>19</w:t>
            </w:r>
          </w:p>
        </w:tc>
      </w:tr>
      <w:tr w:rsidR="00D87C47" w:rsidTr="00742D9D">
        <w:tc>
          <w:tcPr>
            <w:tcW w:w="3510" w:type="dxa"/>
            <w:tcBorders>
              <w:left w:val="nil"/>
              <w:right w:val="nil"/>
            </w:tcBorders>
          </w:tcPr>
          <w:p w:rsidR="00D87C47" w:rsidRDefault="00D87C47"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Elektrostimuliacija</w:t>
            </w:r>
          </w:p>
        </w:tc>
        <w:tc>
          <w:tcPr>
            <w:tcW w:w="2127" w:type="dxa"/>
            <w:tcBorders>
              <w:left w:val="nil"/>
              <w:right w:val="nil"/>
            </w:tcBorders>
          </w:tcPr>
          <w:p w:rsidR="00D87C47" w:rsidRDefault="00D87C47"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5 / 31,3</w:t>
            </w:r>
          </w:p>
        </w:tc>
        <w:tc>
          <w:tcPr>
            <w:tcW w:w="2409" w:type="dxa"/>
            <w:tcBorders>
              <w:left w:val="nil"/>
              <w:right w:val="nil"/>
            </w:tcBorders>
          </w:tcPr>
          <w:p w:rsidR="00D87C47" w:rsidRDefault="00D87C47"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7 / 43,8</w:t>
            </w:r>
          </w:p>
        </w:tc>
        <w:tc>
          <w:tcPr>
            <w:tcW w:w="1808" w:type="dxa"/>
            <w:tcBorders>
              <w:left w:val="nil"/>
              <w:right w:val="nil"/>
            </w:tcBorders>
          </w:tcPr>
          <w:p w:rsidR="00D87C47" w:rsidRPr="00A747EA" w:rsidRDefault="00D87C47" w:rsidP="002F2793">
            <w:pPr>
              <w:spacing w:line="360" w:lineRule="auto"/>
              <w:contextualSpacing/>
              <w:jc w:val="both"/>
              <w:rPr>
                <w:rFonts w:ascii="Times New Roman" w:hAnsi="Times New Roman" w:cs="Times New Roman"/>
                <w:sz w:val="24"/>
                <w:szCs w:val="24"/>
              </w:rPr>
            </w:pPr>
            <w:r w:rsidRPr="00A747EA">
              <w:rPr>
                <w:rFonts w:ascii="Times New Roman" w:hAnsi="Times New Roman" w:cs="Times New Roman"/>
                <w:sz w:val="24"/>
                <w:szCs w:val="24"/>
              </w:rPr>
              <w:t>0</w:t>
            </w:r>
            <w:r>
              <w:rPr>
                <w:rFonts w:ascii="Times New Roman" w:hAnsi="Times New Roman" w:cs="Times New Roman"/>
                <w:sz w:val="24"/>
                <w:szCs w:val="24"/>
              </w:rPr>
              <w:t>,467</w:t>
            </w:r>
          </w:p>
        </w:tc>
      </w:tr>
      <w:tr w:rsidR="00D87C47" w:rsidTr="00742D9D">
        <w:tc>
          <w:tcPr>
            <w:tcW w:w="3510" w:type="dxa"/>
            <w:tcBorders>
              <w:left w:val="nil"/>
              <w:right w:val="nil"/>
            </w:tcBorders>
          </w:tcPr>
          <w:p w:rsidR="00D87C47" w:rsidRDefault="00D87C47"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Lazerioterapija </w:t>
            </w:r>
          </w:p>
        </w:tc>
        <w:tc>
          <w:tcPr>
            <w:tcW w:w="2127" w:type="dxa"/>
            <w:tcBorders>
              <w:left w:val="nil"/>
              <w:right w:val="nil"/>
            </w:tcBorders>
          </w:tcPr>
          <w:p w:rsidR="00D87C47" w:rsidRDefault="00D87C47"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6 / 37,5</w:t>
            </w:r>
          </w:p>
        </w:tc>
        <w:tc>
          <w:tcPr>
            <w:tcW w:w="2409" w:type="dxa"/>
            <w:tcBorders>
              <w:left w:val="nil"/>
              <w:right w:val="nil"/>
            </w:tcBorders>
          </w:tcPr>
          <w:p w:rsidR="00D87C47" w:rsidRDefault="00D87C47"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3 / 18,8</w:t>
            </w:r>
          </w:p>
        </w:tc>
        <w:tc>
          <w:tcPr>
            <w:tcW w:w="1808" w:type="dxa"/>
            <w:tcBorders>
              <w:left w:val="nil"/>
              <w:right w:val="nil"/>
            </w:tcBorders>
          </w:tcPr>
          <w:p w:rsidR="00D87C47" w:rsidRPr="00A747EA" w:rsidRDefault="00D87C47"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0,239</w:t>
            </w:r>
          </w:p>
        </w:tc>
      </w:tr>
    </w:tbl>
    <w:p w:rsidR="00A747EA" w:rsidRDefault="00A747EA" w:rsidP="002F2793">
      <w:pPr>
        <w:spacing w:after="0" w:line="360" w:lineRule="auto"/>
        <w:contextualSpacing/>
        <w:jc w:val="both"/>
        <w:rPr>
          <w:rFonts w:ascii="Times New Roman" w:hAnsi="Times New Roman" w:cs="Times New Roman"/>
          <w:b/>
          <w:sz w:val="24"/>
          <w:szCs w:val="24"/>
        </w:rPr>
      </w:pPr>
    </w:p>
    <w:p w:rsidR="00B12910" w:rsidRDefault="00B12910"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Daugiau kaip pusei abiejų grupių tyrimo dalyvių buvo atliekamas masažas. Tyrimo metu vertinome kaip pakito pacientų rankos funkcijos ir savarankiškumo rodikliai kartu su ergoterapija ir atliekant masažo procedūras. Nustatėme, kad kartu su šiomis procedūromis taikant teipavimą skausmo, raumenų sustingimo, jėgos ir plaštakos fleksijos rodiklių pokytis statistiškai reikšmingai didesnis, nei netaikius teipavimo (p&lt;0,05)(6 lentelė).</w:t>
      </w:r>
    </w:p>
    <w:p w:rsidR="00B12910" w:rsidRDefault="00B12910" w:rsidP="002F2793">
      <w:pPr>
        <w:spacing w:after="0" w:line="360" w:lineRule="auto"/>
        <w:contextualSpacing/>
        <w:jc w:val="both"/>
        <w:rPr>
          <w:rFonts w:ascii="Times New Roman" w:hAnsi="Times New Roman" w:cs="Times New Roman"/>
          <w:b/>
          <w:sz w:val="24"/>
          <w:szCs w:val="24"/>
        </w:rPr>
      </w:pPr>
    </w:p>
    <w:p w:rsidR="00B12910" w:rsidRPr="004413E7" w:rsidRDefault="00B12910" w:rsidP="002F2793">
      <w:pPr>
        <w:spacing w:after="0" w:line="360" w:lineRule="auto"/>
        <w:contextualSpacing/>
        <w:jc w:val="center"/>
        <w:rPr>
          <w:rFonts w:ascii="Times New Roman" w:hAnsi="Times New Roman" w:cs="Times New Roman"/>
          <w:sz w:val="24"/>
          <w:szCs w:val="24"/>
        </w:rPr>
      </w:pPr>
      <w:r w:rsidRPr="004413E7">
        <w:rPr>
          <w:rFonts w:ascii="Times New Roman" w:hAnsi="Times New Roman" w:cs="Times New Roman"/>
          <w:b/>
          <w:i/>
          <w:sz w:val="24"/>
          <w:szCs w:val="24"/>
        </w:rPr>
        <w:t xml:space="preserve">6 lentelė. </w:t>
      </w:r>
      <w:r w:rsidRPr="0002182D">
        <w:rPr>
          <w:rFonts w:ascii="Times New Roman" w:hAnsi="Times New Roman" w:cs="Times New Roman"/>
          <w:b/>
          <w:i/>
          <w:sz w:val="24"/>
          <w:szCs w:val="24"/>
        </w:rPr>
        <w:t>Rankos funkcijos ir</w:t>
      </w:r>
      <w:r>
        <w:rPr>
          <w:rFonts w:ascii="Times New Roman" w:hAnsi="Times New Roman" w:cs="Times New Roman"/>
          <w:b/>
          <w:i/>
          <w:sz w:val="24"/>
          <w:szCs w:val="24"/>
        </w:rPr>
        <w:t xml:space="preserve"> savarankiškumo vertinimo parametrų pokyč</w:t>
      </w:r>
      <w:r w:rsidRPr="0002182D">
        <w:rPr>
          <w:rFonts w:ascii="Times New Roman" w:hAnsi="Times New Roman" w:cs="Times New Roman"/>
          <w:b/>
          <w:i/>
          <w:sz w:val="24"/>
          <w:szCs w:val="24"/>
        </w:rPr>
        <w:t xml:space="preserve">ių po ergoterapijos </w:t>
      </w:r>
      <w:r>
        <w:rPr>
          <w:rFonts w:ascii="Times New Roman" w:hAnsi="Times New Roman" w:cs="Times New Roman"/>
          <w:b/>
          <w:i/>
          <w:sz w:val="24"/>
          <w:szCs w:val="24"/>
        </w:rPr>
        <w:t xml:space="preserve">ir masažo </w:t>
      </w:r>
      <w:r w:rsidRPr="0002182D">
        <w:rPr>
          <w:rFonts w:ascii="Times New Roman" w:hAnsi="Times New Roman" w:cs="Times New Roman"/>
          <w:b/>
          <w:i/>
          <w:sz w:val="24"/>
          <w:szCs w:val="24"/>
        </w:rPr>
        <w:t>procedūrų</w:t>
      </w:r>
      <w:r>
        <w:rPr>
          <w:rFonts w:ascii="Times New Roman" w:hAnsi="Times New Roman" w:cs="Times New Roman"/>
          <w:b/>
          <w:i/>
          <w:sz w:val="24"/>
          <w:szCs w:val="24"/>
        </w:rPr>
        <w:t xml:space="preserve"> palyginimas</w:t>
      </w:r>
    </w:p>
    <w:tbl>
      <w:tblPr>
        <w:tblStyle w:val="Lentelstinklelis"/>
        <w:tblW w:w="0" w:type="auto"/>
        <w:tblLook w:val="04A0" w:firstRow="1" w:lastRow="0" w:firstColumn="1" w:lastColumn="0" w:noHBand="0" w:noVBand="1"/>
      </w:tblPr>
      <w:tblGrid>
        <w:gridCol w:w="3510"/>
        <w:gridCol w:w="2127"/>
        <w:gridCol w:w="2409"/>
        <w:gridCol w:w="1808"/>
      </w:tblGrid>
      <w:tr w:rsidR="006567FF" w:rsidTr="00742D9D">
        <w:tc>
          <w:tcPr>
            <w:tcW w:w="3510" w:type="dxa"/>
            <w:vMerge w:val="restart"/>
            <w:tcBorders>
              <w:left w:val="nil"/>
              <w:right w:val="nil"/>
            </w:tcBorders>
            <w:shd w:val="clear" w:color="auto" w:fill="E6E6E6" w:themeFill="background1" w:themeFillShade="E6"/>
          </w:tcPr>
          <w:p w:rsidR="006567FF" w:rsidRDefault="006567FF" w:rsidP="002F279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Vertinimo pokyčiai </w:t>
            </w:r>
          </w:p>
          <w:p w:rsidR="006567FF" w:rsidRDefault="006567FF" w:rsidP="002F279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m±sn</w:t>
            </w:r>
          </w:p>
        </w:tc>
        <w:tc>
          <w:tcPr>
            <w:tcW w:w="4536" w:type="dxa"/>
            <w:gridSpan w:val="2"/>
            <w:tcBorders>
              <w:left w:val="nil"/>
              <w:right w:val="nil"/>
            </w:tcBorders>
            <w:shd w:val="clear" w:color="auto" w:fill="E6E6E6" w:themeFill="background1" w:themeFillShade="E6"/>
          </w:tcPr>
          <w:p w:rsidR="006567FF" w:rsidRPr="007328FD" w:rsidRDefault="006567FF" w:rsidP="002F279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Taikytas masažas</w:t>
            </w:r>
            <w:r w:rsidR="00A747EA">
              <w:rPr>
                <w:rFonts w:ascii="Times New Roman" w:hAnsi="Times New Roman" w:cs="Times New Roman"/>
                <w:b/>
                <w:sz w:val="24"/>
                <w:szCs w:val="24"/>
              </w:rPr>
              <w:t xml:space="preserve"> </w:t>
            </w:r>
          </w:p>
        </w:tc>
        <w:tc>
          <w:tcPr>
            <w:tcW w:w="1808" w:type="dxa"/>
            <w:vMerge w:val="restart"/>
            <w:tcBorders>
              <w:left w:val="nil"/>
              <w:right w:val="nil"/>
            </w:tcBorders>
            <w:shd w:val="clear" w:color="auto" w:fill="E6E6E6" w:themeFill="background1" w:themeFillShade="E6"/>
          </w:tcPr>
          <w:p w:rsidR="006567FF" w:rsidRDefault="006567FF" w:rsidP="002F2793">
            <w:pPr>
              <w:spacing w:line="360" w:lineRule="auto"/>
              <w:contextualSpacing/>
              <w:jc w:val="both"/>
              <w:rPr>
                <w:rFonts w:ascii="Times New Roman" w:hAnsi="Times New Roman" w:cs="Times New Roman"/>
                <w:b/>
                <w:sz w:val="24"/>
                <w:szCs w:val="24"/>
              </w:rPr>
            </w:pPr>
          </w:p>
          <w:p w:rsidR="006567FF" w:rsidRDefault="006567FF" w:rsidP="002F279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p</w:t>
            </w:r>
          </w:p>
        </w:tc>
      </w:tr>
      <w:tr w:rsidR="006567FF" w:rsidTr="00742D9D">
        <w:tc>
          <w:tcPr>
            <w:tcW w:w="3510" w:type="dxa"/>
            <w:vMerge/>
            <w:tcBorders>
              <w:left w:val="nil"/>
              <w:right w:val="nil"/>
            </w:tcBorders>
            <w:shd w:val="clear" w:color="auto" w:fill="E6E6E6" w:themeFill="background1" w:themeFillShade="E6"/>
          </w:tcPr>
          <w:p w:rsidR="006567FF" w:rsidRPr="007328FD" w:rsidRDefault="006567FF" w:rsidP="002F2793">
            <w:pPr>
              <w:spacing w:line="360" w:lineRule="auto"/>
              <w:contextualSpacing/>
              <w:jc w:val="both"/>
              <w:rPr>
                <w:rFonts w:ascii="Times New Roman" w:hAnsi="Times New Roman" w:cs="Times New Roman"/>
                <w:b/>
                <w:sz w:val="24"/>
                <w:szCs w:val="24"/>
              </w:rPr>
            </w:pPr>
          </w:p>
        </w:tc>
        <w:tc>
          <w:tcPr>
            <w:tcW w:w="2127" w:type="dxa"/>
            <w:tcBorders>
              <w:left w:val="nil"/>
              <w:right w:val="nil"/>
            </w:tcBorders>
            <w:shd w:val="clear" w:color="auto" w:fill="E6E6E6" w:themeFill="background1" w:themeFillShade="E6"/>
          </w:tcPr>
          <w:p w:rsidR="006567FF" w:rsidRPr="007328FD" w:rsidRDefault="006567FF" w:rsidP="002F2793">
            <w:pPr>
              <w:spacing w:line="360" w:lineRule="auto"/>
              <w:contextualSpacing/>
              <w:jc w:val="both"/>
              <w:rPr>
                <w:rFonts w:ascii="Times New Roman" w:hAnsi="Times New Roman" w:cs="Times New Roman"/>
                <w:b/>
                <w:sz w:val="24"/>
                <w:szCs w:val="24"/>
              </w:rPr>
            </w:pPr>
            <w:r w:rsidRPr="007328FD">
              <w:rPr>
                <w:rFonts w:ascii="Times New Roman" w:hAnsi="Times New Roman" w:cs="Times New Roman"/>
                <w:b/>
                <w:sz w:val="24"/>
                <w:szCs w:val="24"/>
              </w:rPr>
              <w:t>Tiriamoji grupė (n=</w:t>
            </w:r>
            <w:r w:rsidR="00A747EA">
              <w:rPr>
                <w:rFonts w:ascii="Times New Roman" w:hAnsi="Times New Roman" w:cs="Times New Roman"/>
                <w:b/>
                <w:sz w:val="24"/>
                <w:szCs w:val="24"/>
              </w:rPr>
              <w:t>9</w:t>
            </w:r>
            <w:r w:rsidRPr="007328FD">
              <w:rPr>
                <w:rFonts w:ascii="Times New Roman" w:hAnsi="Times New Roman" w:cs="Times New Roman"/>
                <w:b/>
                <w:sz w:val="24"/>
                <w:szCs w:val="24"/>
              </w:rPr>
              <w:t>)</w:t>
            </w:r>
          </w:p>
        </w:tc>
        <w:tc>
          <w:tcPr>
            <w:tcW w:w="2409" w:type="dxa"/>
            <w:tcBorders>
              <w:left w:val="nil"/>
              <w:right w:val="nil"/>
            </w:tcBorders>
            <w:shd w:val="clear" w:color="auto" w:fill="E6E6E6" w:themeFill="background1" w:themeFillShade="E6"/>
          </w:tcPr>
          <w:p w:rsidR="006567FF" w:rsidRPr="007328FD" w:rsidRDefault="00A747EA" w:rsidP="002F279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Kontrolinė grupė (n=11</w:t>
            </w:r>
            <w:r w:rsidR="006567FF" w:rsidRPr="007328FD">
              <w:rPr>
                <w:rFonts w:ascii="Times New Roman" w:hAnsi="Times New Roman" w:cs="Times New Roman"/>
                <w:b/>
                <w:sz w:val="24"/>
                <w:szCs w:val="24"/>
              </w:rPr>
              <w:t>)</w:t>
            </w:r>
          </w:p>
        </w:tc>
        <w:tc>
          <w:tcPr>
            <w:tcW w:w="1808" w:type="dxa"/>
            <w:vMerge/>
            <w:tcBorders>
              <w:left w:val="nil"/>
              <w:right w:val="nil"/>
            </w:tcBorders>
            <w:shd w:val="clear" w:color="auto" w:fill="E6E6E6" w:themeFill="background1" w:themeFillShade="E6"/>
          </w:tcPr>
          <w:p w:rsidR="006567FF" w:rsidRPr="007328FD" w:rsidRDefault="006567FF" w:rsidP="002F2793">
            <w:pPr>
              <w:spacing w:line="360" w:lineRule="auto"/>
              <w:contextualSpacing/>
              <w:jc w:val="both"/>
              <w:rPr>
                <w:rFonts w:ascii="Times New Roman" w:hAnsi="Times New Roman" w:cs="Times New Roman"/>
                <w:b/>
                <w:sz w:val="24"/>
                <w:szCs w:val="24"/>
              </w:rPr>
            </w:pPr>
          </w:p>
        </w:tc>
      </w:tr>
      <w:tr w:rsidR="006567FF" w:rsidTr="00742D9D">
        <w:tc>
          <w:tcPr>
            <w:tcW w:w="3510" w:type="dxa"/>
            <w:tcBorders>
              <w:top w:val="nil"/>
              <w:left w:val="nil"/>
              <w:right w:val="nil"/>
            </w:tcBorders>
          </w:tcPr>
          <w:p w:rsidR="006567FF" w:rsidRDefault="006567FF"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Skausmas (balai)</w:t>
            </w:r>
          </w:p>
        </w:tc>
        <w:tc>
          <w:tcPr>
            <w:tcW w:w="2127" w:type="dxa"/>
            <w:tcBorders>
              <w:top w:val="nil"/>
              <w:left w:val="nil"/>
              <w:right w:val="nil"/>
            </w:tcBorders>
          </w:tcPr>
          <w:p w:rsidR="006567FF" w:rsidRDefault="00A747EA"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4,22</w:t>
            </w:r>
            <w:r w:rsidR="006567FF">
              <w:rPr>
                <w:rFonts w:ascii="Times New Roman" w:hAnsi="Times New Roman" w:cs="Times New Roman"/>
                <w:sz w:val="24"/>
                <w:szCs w:val="24"/>
              </w:rPr>
              <w:t>±</w:t>
            </w:r>
            <w:r>
              <w:rPr>
                <w:rFonts w:ascii="Times New Roman" w:hAnsi="Times New Roman" w:cs="Times New Roman"/>
                <w:sz w:val="24"/>
                <w:szCs w:val="24"/>
              </w:rPr>
              <w:t>1</w:t>
            </w:r>
            <w:r w:rsidR="006567FF">
              <w:rPr>
                <w:rFonts w:ascii="Times New Roman" w:hAnsi="Times New Roman" w:cs="Times New Roman"/>
                <w:sz w:val="24"/>
                <w:szCs w:val="24"/>
              </w:rPr>
              <w:t>,6</w:t>
            </w:r>
          </w:p>
        </w:tc>
        <w:tc>
          <w:tcPr>
            <w:tcW w:w="2409" w:type="dxa"/>
            <w:tcBorders>
              <w:top w:val="nil"/>
              <w:left w:val="nil"/>
              <w:right w:val="nil"/>
            </w:tcBorders>
          </w:tcPr>
          <w:p w:rsidR="006567FF" w:rsidRDefault="00A747EA"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0,91</w:t>
            </w:r>
            <w:r w:rsidR="006567FF">
              <w:rPr>
                <w:rFonts w:ascii="Times New Roman" w:hAnsi="Times New Roman" w:cs="Times New Roman"/>
                <w:sz w:val="24"/>
                <w:szCs w:val="24"/>
              </w:rPr>
              <w:t>±</w:t>
            </w:r>
            <w:r>
              <w:rPr>
                <w:rFonts w:ascii="Times New Roman" w:hAnsi="Times New Roman" w:cs="Times New Roman"/>
                <w:sz w:val="24"/>
                <w:szCs w:val="24"/>
              </w:rPr>
              <w:t>0,5</w:t>
            </w:r>
          </w:p>
        </w:tc>
        <w:tc>
          <w:tcPr>
            <w:tcW w:w="1808" w:type="dxa"/>
            <w:tcBorders>
              <w:top w:val="nil"/>
              <w:left w:val="nil"/>
              <w:right w:val="nil"/>
            </w:tcBorders>
          </w:tcPr>
          <w:p w:rsidR="006567FF" w:rsidRPr="00E00CE3" w:rsidRDefault="00A747EA" w:rsidP="002F279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0,001</w:t>
            </w:r>
          </w:p>
        </w:tc>
      </w:tr>
      <w:tr w:rsidR="006567FF" w:rsidTr="00742D9D">
        <w:tc>
          <w:tcPr>
            <w:tcW w:w="3510" w:type="dxa"/>
            <w:tcBorders>
              <w:left w:val="nil"/>
              <w:right w:val="nil"/>
            </w:tcBorders>
          </w:tcPr>
          <w:p w:rsidR="006567FF" w:rsidRDefault="006567FF"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Sustingimas (balai)</w:t>
            </w:r>
          </w:p>
        </w:tc>
        <w:tc>
          <w:tcPr>
            <w:tcW w:w="2127" w:type="dxa"/>
            <w:tcBorders>
              <w:left w:val="nil"/>
              <w:right w:val="nil"/>
            </w:tcBorders>
          </w:tcPr>
          <w:p w:rsidR="006567FF" w:rsidRDefault="00A747EA"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4,33</w:t>
            </w:r>
            <w:r w:rsidR="006567FF">
              <w:rPr>
                <w:rFonts w:ascii="Times New Roman" w:hAnsi="Times New Roman" w:cs="Times New Roman"/>
                <w:sz w:val="24"/>
                <w:szCs w:val="24"/>
              </w:rPr>
              <w:t>±</w:t>
            </w:r>
            <w:r>
              <w:rPr>
                <w:rFonts w:ascii="Times New Roman" w:hAnsi="Times New Roman" w:cs="Times New Roman"/>
                <w:sz w:val="24"/>
                <w:szCs w:val="24"/>
              </w:rPr>
              <w:t>1,5</w:t>
            </w:r>
          </w:p>
        </w:tc>
        <w:tc>
          <w:tcPr>
            <w:tcW w:w="2409" w:type="dxa"/>
            <w:tcBorders>
              <w:left w:val="nil"/>
              <w:right w:val="nil"/>
            </w:tcBorders>
          </w:tcPr>
          <w:p w:rsidR="006567FF" w:rsidRDefault="00A747EA"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1,18</w:t>
            </w:r>
            <w:r w:rsidR="006567FF">
              <w:rPr>
                <w:rFonts w:ascii="Times New Roman" w:hAnsi="Times New Roman" w:cs="Times New Roman"/>
                <w:sz w:val="24"/>
                <w:szCs w:val="24"/>
              </w:rPr>
              <w:t>±0,8</w:t>
            </w:r>
          </w:p>
        </w:tc>
        <w:tc>
          <w:tcPr>
            <w:tcW w:w="1808" w:type="dxa"/>
            <w:tcBorders>
              <w:left w:val="nil"/>
              <w:right w:val="nil"/>
            </w:tcBorders>
          </w:tcPr>
          <w:p w:rsidR="006567FF" w:rsidRPr="00E00CE3" w:rsidRDefault="00A747EA" w:rsidP="002F279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0,001</w:t>
            </w:r>
          </w:p>
        </w:tc>
      </w:tr>
      <w:tr w:rsidR="006567FF" w:rsidTr="00742D9D">
        <w:tc>
          <w:tcPr>
            <w:tcW w:w="3510" w:type="dxa"/>
            <w:tcBorders>
              <w:top w:val="nil"/>
              <w:left w:val="nil"/>
              <w:right w:val="nil"/>
            </w:tcBorders>
          </w:tcPr>
          <w:p w:rsidR="006567FF" w:rsidRDefault="006567FF"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Raumenų jėga (kilogramai)</w:t>
            </w:r>
          </w:p>
        </w:tc>
        <w:tc>
          <w:tcPr>
            <w:tcW w:w="2127" w:type="dxa"/>
            <w:tcBorders>
              <w:top w:val="nil"/>
              <w:left w:val="nil"/>
              <w:right w:val="nil"/>
            </w:tcBorders>
          </w:tcPr>
          <w:p w:rsidR="006567FF" w:rsidRDefault="00A747EA"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5,44</w:t>
            </w:r>
            <w:r w:rsidR="006567FF">
              <w:rPr>
                <w:rFonts w:ascii="Times New Roman" w:hAnsi="Times New Roman" w:cs="Times New Roman"/>
                <w:sz w:val="24"/>
                <w:szCs w:val="24"/>
              </w:rPr>
              <w:t>±</w:t>
            </w:r>
            <w:r>
              <w:rPr>
                <w:rFonts w:ascii="Times New Roman" w:hAnsi="Times New Roman" w:cs="Times New Roman"/>
                <w:sz w:val="24"/>
                <w:szCs w:val="24"/>
              </w:rPr>
              <w:t>1,4</w:t>
            </w:r>
          </w:p>
        </w:tc>
        <w:tc>
          <w:tcPr>
            <w:tcW w:w="2409" w:type="dxa"/>
            <w:tcBorders>
              <w:top w:val="nil"/>
              <w:left w:val="nil"/>
              <w:right w:val="nil"/>
            </w:tcBorders>
          </w:tcPr>
          <w:p w:rsidR="006567FF" w:rsidRDefault="006567FF"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w:t>
            </w:r>
            <w:r w:rsidR="00A747EA">
              <w:rPr>
                <w:rFonts w:ascii="Times New Roman" w:hAnsi="Times New Roman" w:cs="Times New Roman"/>
                <w:sz w:val="24"/>
                <w:szCs w:val="24"/>
              </w:rPr>
              <w:t>36±1,2</w:t>
            </w:r>
          </w:p>
        </w:tc>
        <w:tc>
          <w:tcPr>
            <w:tcW w:w="1808" w:type="dxa"/>
            <w:tcBorders>
              <w:top w:val="nil"/>
              <w:left w:val="nil"/>
              <w:right w:val="nil"/>
            </w:tcBorders>
          </w:tcPr>
          <w:p w:rsidR="006567FF" w:rsidRPr="00E00CE3" w:rsidRDefault="00A747EA" w:rsidP="002F279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0,020</w:t>
            </w:r>
          </w:p>
        </w:tc>
      </w:tr>
      <w:tr w:rsidR="006567FF" w:rsidTr="00742D9D">
        <w:tc>
          <w:tcPr>
            <w:tcW w:w="3510" w:type="dxa"/>
            <w:tcBorders>
              <w:left w:val="nil"/>
              <w:right w:val="nil"/>
            </w:tcBorders>
          </w:tcPr>
          <w:p w:rsidR="006567FF" w:rsidRDefault="006567FF"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Plaštakos fleksija (laipsniai)</w:t>
            </w:r>
          </w:p>
        </w:tc>
        <w:tc>
          <w:tcPr>
            <w:tcW w:w="2127" w:type="dxa"/>
            <w:tcBorders>
              <w:left w:val="nil"/>
              <w:right w:val="nil"/>
            </w:tcBorders>
          </w:tcPr>
          <w:p w:rsidR="006567FF" w:rsidRDefault="00A747EA"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13,67</w:t>
            </w:r>
            <w:r w:rsidR="006567FF">
              <w:rPr>
                <w:rFonts w:ascii="Times New Roman" w:hAnsi="Times New Roman" w:cs="Times New Roman"/>
                <w:sz w:val="24"/>
                <w:szCs w:val="24"/>
              </w:rPr>
              <w:t>±</w:t>
            </w:r>
            <w:r>
              <w:rPr>
                <w:rFonts w:ascii="Times New Roman" w:hAnsi="Times New Roman" w:cs="Times New Roman"/>
                <w:sz w:val="24"/>
                <w:szCs w:val="24"/>
              </w:rPr>
              <w:t>4</w:t>
            </w:r>
            <w:r w:rsidR="006567FF">
              <w:rPr>
                <w:rFonts w:ascii="Times New Roman" w:hAnsi="Times New Roman" w:cs="Times New Roman"/>
                <w:sz w:val="24"/>
                <w:szCs w:val="24"/>
              </w:rPr>
              <w:t>,7</w:t>
            </w:r>
          </w:p>
        </w:tc>
        <w:tc>
          <w:tcPr>
            <w:tcW w:w="2409" w:type="dxa"/>
            <w:tcBorders>
              <w:left w:val="nil"/>
              <w:right w:val="nil"/>
            </w:tcBorders>
          </w:tcPr>
          <w:p w:rsidR="006567FF" w:rsidRDefault="00A747EA"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6,18</w:t>
            </w:r>
            <w:r w:rsidR="006567FF">
              <w:rPr>
                <w:rFonts w:ascii="Times New Roman" w:hAnsi="Times New Roman" w:cs="Times New Roman"/>
                <w:sz w:val="24"/>
                <w:szCs w:val="24"/>
              </w:rPr>
              <w:t>±</w:t>
            </w:r>
            <w:r>
              <w:rPr>
                <w:rFonts w:ascii="Times New Roman" w:hAnsi="Times New Roman" w:cs="Times New Roman"/>
                <w:sz w:val="24"/>
                <w:szCs w:val="24"/>
              </w:rPr>
              <w:t>3,5</w:t>
            </w:r>
          </w:p>
        </w:tc>
        <w:tc>
          <w:tcPr>
            <w:tcW w:w="1808" w:type="dxa"/>
            <w:tcBorders>
              <w:left w:val="nil"/>
              <w:right w:val="nil"/>
            </w:tcBorders>
          </w:tcPr>
          <w:p w:rsidR="006567FF" w:rsidRPr="00E00CE3" w:rsidRDefault="00A747EA" w:rsidP="002F279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0,020</w:t>
            </w:r>
          </w:p>
        </w:tc>
      </w:tr>
      <w:tr w:rsidR="006567FF" w:rsidTr="00742D9D">
        <w:tc>
          <w:tcPr>
            <w:tcW w:w="3510" w:type="dxa"/>
            <w:tcBorders>
              <w:left w:val="nil"/>
              <w:right w:val="nil"/>
            </w:tcBorders>
          </w:tcPr>
          <w:p w:rsidR="006567FF" w:rsidRDefault="006567FF"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Plaštakos ekstenzija (laipsniai)</w:t>
            </w:r>
          </w:p>
        </w:tc>
        <w:tc>
          <w:tcPr>
            <w:tcW w:w="2127" w:type="dxa"/>
            <w:tcBorders>
              <w:left w:val="nil"/>
              <w:right w:val="nil"/>
            </w:tcBorders>
          </w:tcPr>
          <w:p w:rsidR="006567FF" w:rsidRDefault="00A747EA"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8,89</w:t>
            </w:r>
            <w:r w:rsidR="006567FF">
              <w:rPr>
                <w:rFonts w:ascii="Times New Roman" w:hAnsi="Times New Roman" w:cs="Times New Roman"/>
                <w:sz w:val="24"/>
                <w:szCs w:val="24"/>
              </w:rPr>
              <w:t>±</w:t>
            </w:r>
            <w:r>
              <w:rPr>
                <w:rFonts w:ascii="Times New Roman" w:hAnsi="Times New Roman" w:cs="Times New Roman"/>
                <w:sz w:val="24"/>
                <w:szCs w:val="24"/>
              </w:rPr>
              <w:t>3,3</w:t>
            </w:r>
          </w:p>
        </w:tc>
        <w:tc>
          <w:tcPr>
            <w:tcW w:w="2409" w:type="dxa"/>
            <w:tcBorders>
              <w:left w:val="nil"/>
              <w:right w:val="nil"/>
            </w:tcBorders>
          </w:tcPr>
          <w:p w:rsidR="006567FF" w:rsidRDefault="00A747EA"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6,27</w:t>
            </w:r>
            <w:r w:rsidR="006567FF">
              <w:rPr>
                <w:rFonts w:ascii="Times New Roman" w:hAnsi="Times New Roman" w:cs="Times New Roman"/>
                <w:sz w:val="24"/>
                <w:szCs w:val="24"/>
              </w:rPr>
              <w:t>±1,</w:t>
            </w:r>
            <w:r>
              <w:rPr>
                <w:rFonts w:ascii="Times New Roman" w:hAnsi="Times New Roman" w:cs="Times New Roman"/>
                <w:sz w:val="24"/>
                <w:szCs w:val="24"/>
              </w:rPr>
              <w:t>3</w:t>
            </w:r>
          </w:p>
        </w:tc>
        <w:tc>
          <w:tcPr>
            <w:tcW w:w="1808" w:type="dxa"/>
            <w:tcBorders>
              <w:left w:val="nil"/>
              <w:right w:val="nil"/>
            </w:tcBorders>
          </w:tcPr>
          <w:p w:rsidR="006567FF" w:rsidRPr="00A747EA" w:rsidRDefault="00A747EA" w:rsidP="002F2793">
            <w:pPr>
              <w:spacing w:line="360" w:lineRule="auto"/>
              <w:contextualSpacing/>
              <w:jc w:val="both"/>
              <w:rPr>
                <w:rFonts w:ascii="Times New Roman" w:hAnsi="Times New Roman" w:cs="Times New Roman"/>
                <w:sz w:val="24"/>
                <w:szCs w:val="24"/>
              </w:rPr>
            </w:pPr>
            <w:r w:rsidRPr="00A747EA">
              <w:rPr>
                <w:rFonts w:ascii="Times New Roman" w:hAnsi="Times New Roman" w:cs="Times New Roman"/>
                <w:sz w:val="24"/>
                <w:szCs w:val="24"/>
              </w:rPr>
              <w:t>0,067</w:t>
            </w:r>
          </w:p>
        </w:tc>
      </w:tr>
      <w:tr w:rsidR="006567FF" w:rsidTr="00742D9D">
        <w:tc>
          <w:tcPr>
            <w:tcW w:w="3510" w:type="dxa"/>
            <w:tcBorders>
              <w:left w:val="nil"/>
              <w:right w:val="nil"/>
            </w:tcBorders>
          </w:tcPr>
          <w:p w:rsidR="006567FF" w:rsidRDefault="006567FF"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Ulnarinė deviacija (laipsniai)</w:t>
            </w:r>
          </w:p>
        </w:tc>
        <w:tc>
          <w:tcPr>
            <w:tcW w:w="2127" w:type="dxa"/>
            <w:tcBorders>
              <w:left w:val="nil"/>
              <w:right w:val="nil"/>
            </w:tcBorders>
          </w:tcPr>
          <w:p w:rsidR="006567FF" w:rsidRDefault="006567FF"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3,</w:t>
            </w:r>
            <w:r w:rsidR="00A747EA">
              <w:rPr>
                <w:rFonts w:ascii="Times New Roman" w:hAnsi="Times New Roman" w:cs="Times New Roman"/>
                <w:sz w:val="24"/>
                <w:szCs w:val="24"/>
              </w:rPr>
              <w:t>89</w:t>
            </w:r>
            <w:r>
              <w:rPr>
                <w:rFonts w:ascii="Times New Roman" w:hAnsi="Times New Roman" w:cs="Times New Roman"/>
                <w:sz w:val="24"/>
                <w:szCs w:val="24"/>
              </w:rPr>
              <w:t>±</w:t>
            </w:r>
            <w:r w:rsidR="00A747EA">
              <w:rPr>
                <w:rFonts w:ascii="Times New Roman" w:hAnsi="Times New Roman" w:cs="Times New Roman"/>
                <w:sz w:val="24"/>
                <w:szCs w:val="24"/>
              </w:rPr>
              <w:t>2,3</w:t>
            </w:r>
          </w:p>
        </w:tc>
        <w:tc>
          <w:tcPr>
            <w:tcW w:w="2409" w:type="dxa"/>
            <w:tcBorders>
              <w:left w:val="nil"/>
              <w:right w:val="nil"/>
            </w:tcBorders>
          </w:tcPr>
          <w:p w:rsidR="006567FF" w:rsidRDefault="006567FF"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3,</w:t>
            </w:r>
            <w:r w:rsidR="00A747EA">
              <w:rPr>
                <w:rFonts w:ascii="Times New Roman" w:hAnsi="Times New Roman" w:cs="Times New Roman"/>
                <w:sz w:val="24"/>
                <w:szCs w:val="24"/>
              </w:rPr>
              <w:t>27</w:t>
            </w:r>
            <w:r>
              <w:rPr>
                <w:rFonts w:ascii="Times New Roman" w:hAnsi="Times New Roman" w:cs="Times New Roman"/>
                <w:sz w:val="24"/>
                <w:szCs w:val="24"/>
              </w:rPr>
              <w:t>±1,</w:t>
            </w:r>
            <w:r w:rsidR="00A747EA">
              <w:rPr>
                <w:rFonts w:ascii="Times New Roman" w:hAnsi="Times New Roman" w:cs="Times New Roman"/>
                <w:sz w:val="24"/>
                <w:szCs w:val="24"/>
              </w:rPr>
              <w:t>0</w:t>
            </w:r>
          </w:p>
        </w:tc>
        <w:tc>
          <w:tcPr>
            <w:tcW w:w="1808" w:type="dxa"/>
            <w:tcBorders>
              <w:left w:val="nil"/>
              <w:right w:val="nil"/>
            </w:tcBorders>
          </w:tcPr>
          <w:p w:rsidR="006567FF" w:rsidRPr="00A747EA" w:rsidRDefault="00A747EA" w:rsidP="002F2793">
            <w:pPr>
              <w:spacing w:line="360" w:lineRule="auto"/>
              <w:contextualSpacing/>
              <w:jc w:val="both"/>
              <w:rPr>
                <w:rFonts w:ascii="Times New Roman" w:hAnsi="Times New Roman" w:cs="Times New Roman"/>
                <w:sz w:val="24"/>
                <w:szCs w:val="24"/>
              </w:rPr>
            </w:pPr>
            <w:r w:rsidRPr="00A747EA">
              <w:rPr>
                <w:rFonts w:ascii="Times New Roman" w:hAnsi="Times New Roman" w:cs="Times New Roman"/>
                <w:sz w:val="24"/>
                <w:szCs w:val="24"/>
              </w:rPr>
              <w:t>0</w:t>
            </w:r>
            <w:r>
              <w:rPr>
                <w:rFonts w:ascii="Times New Roman" w:hAnsi="Times New Roman" w:cs="Times New Roman"/>
                <w:sz w:val="24"/>
                <w:szCs w:val="24"/>
              </w:rPr>
              <w:t>,</w:t>
            </w:r>
            <w:r w:rsidRPr="00A747EA">
              <w:rPr>
                <w:rFonts w:ascii="Times New Roman" w:hAnsi="Times New Roman" w:cs="Times New Roman"/>
                <w:sz w:val="24"/>
                <w:szCs w:val="24"/>
              </w:rPr>
              <w:t>331</w:t>
            </w:r>
          </w:p>
        </w:tc>
      </w:tr>
      <w:tr w:rsidR="006567FF" w:rsidTr="00742D9D">
        <w:tc>
          <w:tcPr>
            <w:tcW w:w="3510" w:type="dxa"/>
            <w:tcBorders>
              <w:left w:val="nil"/>
              <w:right w:val="nil"/>
            </w:tcBorders>
          </w:tcPr>
          <w:p w:rsidR="006567FF" w:rsidRDefault="006567FF"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Radialinė deviacija (laipsniai)</w:t>
            </w:r>
          </w:p>
        </w:tc>
        <w:tc>
          <w:tcPr>
            <w:tcW w:w="2127" w:type="dxa"/>
            <w:tcBorders>
              <w:left w:val="nil"/>
              <w:right w:val="nil"/>
            </w:tcBorders>
          </w:tcPr>
          <w:p w:rsidR="006567FF" w:rsidRDefault="006567FF"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5,</w:t>
            </w:r>
            <w:r w:rsidR="00A747EA">
              <w:rPr>
                <w:rFonts w:ascii="Times New Roman" w:hAnsi="Times New Roman" w:cs="Times New Roman"/>
                <w:sz w:val="24"/>
                <w:szCs w:val="24"/>
              </w:rPr>
              <w:t>33</w:t>
            </w:r>
            <w:r>
              <w:rPr>
                <w:rFonts w:ascii="Times New Roman" w:hAnsi="Times New Roman" w:cs="Times New Roman"/>
                <w:sz w:val="24"/>
                <w:szCs w:val="24"/>
              </w:rPr>
              <w:t>±2,</w:t>
            </w:r>
            <w:r w:rsidR="00A747EA">
              <w:rPr>
                <w:rFonts w:ascii="Times New Roman" w:hAnsi="Times New Roman" w:cs="Times New Roman"/>
                <w:sz w:val="24"/>
                <w:szCs w:val="24"/>
              </w:rPr>
              <w:t>2</w:t>
            </w:r>
          </w:p>
        </w:tc>
        <w:tc>
          <w:tcPr>
            <w:tcW w:w="2409" w:type="dxa"/>
            <w:tcBorders>
              <w:left w:val="nil"/>
              <w:right w:val="nil"/>
            </w:tcBorders>
          </w:tcPr>
          <w:p w:rsidR="006567FF" w:rsidRDefault="00A747EA"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3,55</w:t>
            </w:r>
            <w:r w:rsidR="006567FF">
              <w:rPr>
                <w:rFonts w:ascii="Times New Roman" w:hAnsi="Times New Roman" w:cs="Times New Roman"/>
                <w:sz w:val="24"/>
                <w:szCs w:val="24"/>
              </w:rPr>
              <w:t>±</w:t>
            </w:r>
            <w:r>
              <w:rPr>
                <w:rFonts w:ascii="Times New Roman" w:hAnsi="Times New Roman" w:cs="Times New Roman"/>
                <w:sz w:val="24"/>
                <w:szCs w:val="24"/>
              </w:rPr>
              <w:t>1,6</w:t>
            </w:r>
          </w:p>
        </w:tc>
        <w:tc>
          <w:tcPr>
            <w:tcW w:w="1808" w:type="dxa"/>
            <w:tcBorders>
              <w:left w:val="nil"/>
              <w:right w:val="nil"/>
            </w:tcBorders>
          </w:tcPr>
          <w:p w:rsidR="006567FF" w:rsidRPr="00A747EA" w:rsidRDefault="00A747EA" w:rsidP="002F2793">
            <w:pPr>
              <w:spacing w:line="360" w:lineRule="auto"/>
              <w:contextualSpacing/>
              <w:jc w:val="both"/>
              <w:rPr>
                <w:rFonts w:ascii="Times New Roman" w:hAnsi="Times New Roman" w:cs="Times New Roman"/>
                <w:sz w:val="24"/>
                <w:szCs w:val="24"/>
              </w:rPr>
            </w:pPr>
            <w:r w:rsidRPr="00A747EA">
              <w:rPr>
                <w:rFonts w:ascii="Times New Roman" w:hAnsi="Times New Roman" w:cs="Times New Roman"/>
                <w:sz w:val="24"/>
                <w:szCs w:val="24"/>
              </w:rPr>
              <w:t>0,201</w:t>
            </w:r>
          </w:p>
        </w:tc>
      </w:tr>
      <w:tr w:rsidR="006567FF" w:rsidTr="00742D9D">
        <w:tc>
          <w:tcPr>
            <w:tcW w:w="3510" w:type="dxa"/>
            <w:tcBorders>
              <w:left w:val="nil"/>
              <w:right w:val="nil"/>
            </w:tcBorders>
          </w:tcPr>
          <w:p w:rsidR="006567FF" w:rsidRDefault="006567FF"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Keitelio indeksas (balai)</w:t>
            </w:r>
          </w:p>
        </w:tc>
        <w:tc>
          <w:tcPr>
            <w:tcW w:w="2127" w:type="dxa"/>
            <w:tcBorders>
              <w:left w:val="nil"/>
              <w:right w:val="nil"/>
            </w:tcBorders>
          </w:tcPr>
          <w:p w:rsidR="006567FF" w:rsidRDefault="00A747EA"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3,78</w:t>
            </w:r>
            <w:r w:rsidR="006567FF">
              <w:rPr>
                <w:rFonts w:ascii="Times New Roman" w:hAnsi="Times New Roman" w:cs="Times New Roman"/>
                <w:sz w:val="24"/>
                <w:szCs w:val="24"/>
              </w:rPr>
              <w:t>±</w:t>
            </w:r>
            <w:r>
              <w:rPr>
                <w:rFonts w:ascii="Times New Roman" w:hAnsi="Times New Roman" w:cs="Times New Roman"/>
                <w:sz w:val="24"/>
                <w:szCs w:val="24"/>
              </w:rPr>
              <w:t>1,4</w:t>
            </w:r>
          </w:p>
        </w:tc>
        <w:tc>
          <w:tcPr>
            <w:tcW w:w="2409" w:type="dxa"/>
            <w:tcBorders>
              <w:left w:val="nil"/>
              <w:right w:val="nil"/>
            </w:tcBorders>
          </w:tcPr>
          <w:p w:rsidR="006567FF" w:rsidRDefault="006567FF"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w:t>
            </w:r>
            <w:r w:rsidR="00A747EA">
              <w:rPr>
                <w:rFonts w:ascii="Times New Roman" w:hAnsi="Times New Roman" w:cs="Times New Roman"/>
                <w:sz w:val="24"/>
                <w:szCs w:val="24"/>
              </w:rPr>
              <w:t>73±1,6</w:t>
            </w:r>
          </w:p>
        </w:tc>
        <w:tc>
          <w:tcPr>
            <w:tcW w:w="1808" w:type="dxa"/>
            <w:tcBorders>
              <w:left w:val="nil"/>
              <w:right w:val="nil"/>
            </w:tcBorders>
          </w:tcPr>
          <w:p w:rsidR="006567FF" w:rsidRPr="00A747EA" w:rsidRDefault="00A747EA" w:rsidP="002F2793">
            <w:pPr>
              <w:spacing w:line="360" w:lineRule="auto"/>
              <w:contextualSpacing/>
              <w:jc w:val="both"/>
              <w:rPr>
                <w:rFonts w:ascii="Times New Roman" w:hAnsi="Times New Roman" w:cs="Times New Roman"/>
                <w:sz w:val="24"/>
                <w:szCs w:val="24"/>
              </w:rPr>
            </w:pPr>
            <w:r w:rsidRPr="00A747EA">
              <w:rPr>
                <w:rFonts w:ascii="Times New Roman" w:hAnsi="Times New Roman" w:cs="Times New Roman"/>
                <w:sz w:val="24"/>
                <w:szCs w:val="24"/>
              </w:rPr>
              <w:t>0,131</w:t>
            </w:r>
          </w:p>
        </w:tc>
      </w:tr>
    </w:tbl>
    <w:p w:rsidR="003E5367" w:rsidRDefault="003E5367" w:rsidP="002F2793">
      <w:pPr>
        <w:spacing w:after="0" w:line="360" w:lineRule="auto"/>
        <w:contextualSpacing/>
        <w:jc w:val="both"/>
        <w:rPr>
          <w:rFonts w:ascii="Times New Roman" w:hAnsi="Times New Roman" w:cs="Times New Roman"/>
          <w:b/>
          <w:sz w:val="24"/>
          <w:szCs w:val="24"/>
        </w:rPr>
      </w:pPr>
    </w:p>
    <w:p w:rsidR="00D402E9" w:rsidRDefault="00B12910"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Ergoterapiją taikius kartu</w:t>
      </w:r>
      <w:r w:rsidRPr="00CD1290">
        <w:rPr>
          <w:rFonts w:ascii="Times New Roman" w:hAnsi="Times New Roman" w:cs="Times New Roman"/>
          <w:sz w:val="24"/>
          <w:szCs w:val="24"/>
        </w:rPr>
        <w:t xml:space="preserve"> </w:t>
      </w:r>
      <w:r>
        <w:rPr>
          <w:rFonts w:ascii="Times New Roman" w:hAnsi="Times New Roman" w:cs="Times New Roman"/>
          <w:sz w:val="24"/>
          <w:szCs w:val="24"/>
        </w:rPr>
        <w:t>su kineziterapiją  tiriamojoje grupėje pacientams statistiškai reikšmingai daugiau sumažėjo skausmas ir raumenų sustingimas bei labiau padidėjo radialinė deviacija (p&lt;0,05)(7 lentelė).</w:t>
      </w:r>
    </w:p>
    <w:p w:rsidR="00B12910" w:rsidRPr="00B9084D" w:rsidRDefault="00B12910" w:rsidP="002F2793">
      <w:pPr>
        <w:spacing w:after="0" w:line="360" w:lineRule="auto"/>
        <w:contextualSpacing/>
        <w:jc w:val="center"/>
        <w:rPr>
          <w:rFonts w:ascii="Times New Roman" w:hAnsi="Times New Roman" w:cs="Times New Roman"/>
          <w:sz w:val="24"/>
          <w:szCs w:val="24"/>
        </w:rPr>
      </w:pPr>
      <w:r>
        <w:rPr>
          <w:rFonts w:ascii="Times New Roman" w:hAnsi="Times New Roman" w:cs="Times New Roman"/>
          <w:b/>
          <w:i/>
          <w:sz w:val="24"/>
          <w:szCs w:val="24"/>
        </w:rPr>
        <w:lastRenderedPageBreak/>
        <w:t>7</w:t>
      </w:r>
      <w:r w:rsidRPr="004413E7">
        <w:rPr>
          <w:rFonts w:ascii="Times New Roman" w:hAnsi="Times New Roman" w:cs="Times New Roman"/>
          <w:b/>
          <w:i/>
          <w:sz w:val="24"/>
          <w:szCs w:val="24"/>
        </w:rPr>
        <w:t xml:space="preserve"> lentelė. </w:t>
      </w:r>
      <w:r w:rsidRPr="0002182D">
        <w:rPr>
          <w:rFonts w:ascii="Times New Roman" w:hAnsi="Times New Roman" w:cs="Times New Roman"/>
          <w:b/>
          <w:i/>
          <w:sz w:val="24"/>
          <w:szCs w:val="24"/>
        </w:rPr>
        <w:t>Rankos funkcijos ir</w:t>
      </w:r>
      <w:r>
        <w:rPr>
          <w:rFonts w:ascii="Times New Roman" w:hAnsi="Times New Roman" w:cs="Times New Roman"/>
          <w:b/>
          <w:i/>
          <w:sz w:val="24"/>
          <w:szCs w:val="24"/>
        </w:rPr>
        <w:t xml:space="preserve"> savarankiškumo vertinimo parametrų pokyč</w:t>
      </w:r>
      <w:r w:rsidRPr="0002182D">
        <w:rPr>
          <w:rFonts w:ascii="Times New Roman" w:hAnsi="Times New Roman" w:cs="Times New Roman"/>
          <w:b/>
          <w:i/>
          <w:sz w:val="24"/>
          <w:szCs w:val="24"/>
        </w:rPr>
        <w:t xml:space="preserve">ių po ergoterapijos </w:t>
      </w:r>
      <w:r>
        <w:rPr>
          <w:rFonts w:ascii="Times New Roman" w:hAnsi="Times New Roman" w:cs="Times New Roman"/>
          <w:b/>
          <w:i/>
          <w:sz w:val="24"/>
          <w:szCs w:val="24"/>
        </w:rPr>
        <w:t xml:space="preserve">ir kineziterapijos </w:t>
      </w:r>
      <w:r w:rsidRPr="0002182D">
        <w:rPr>
          <w:rFonts w:ascii="Times New Roman" w:hAnsi="Times New Roman" w:cs="Times New Roman"/>
          <w:b/>
          <w:i/>
          <w:sz w:val="24"/>
          <w:szCs w:val="24"/>
        </w:rPr>
        <w:t>procedūrų</w:t>
      </w:r>
      <w:r>
        <w:rPr>
          <w:rFonts w:ascii="Times New Roman" w:hAnsi="Times New Roman" w:cs="Times New Roman"/>
          <w:b/>
          <w:i/>
          <w:sz w:val="24"/>
          <w:szCs w:val="24"/>
        </w:rPr>
        <w:t xml:space="preserve"> palyginimas</w:t>
      </w:r>
    </w:p>
    <w:tbl>
      <w:tblPr>
        <w:tblStyle w:val="Lentelstinklelis"/>
        <w:tblW w:w="0" w:type="auto"/>
        <w:tblLook w:val="04A0" w:firstRow="1" w:lastRow="0" w:firstColumn="1" w:lastColumn="0" w:noHBand="0" w:noVBand="1"/>
      </w:tblPr>
      <w:tblGrid>
        <w:gridCol w:w="3510"/>
        <w:gridCol w:w="2127"/>
        <w:gridCol w:w="2409"/>
        <w:gridCol w:w="1808"/>
      </w:tblGrid>
      <w:tr w:rsidR="00A747EA" w:rsidTr="00742D9D">
        <w:tc>
          <w:tcPr>
            <w:tcW w:w="3510" w:type="dxa"/>
            <w:vMerge w:val="restart"/>
            <w:tcBorders>
              <w:left w:val="nil"/>
              <w:right w:val="nil"/>
            </w:tcBorders>
            <w:shd w:val="clear" w:color="auto" w:fill="E6E6E6" w:themeFill="background1" w:themeFillShade="E6"/>
          </w:tcPr>
          <w:p w:rsidR="00A747EA" w:rsidRDefault="00A747EA" w:rsidP="002F279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Vertinimo pokyčiai </w:t>
            </w:r>
          </w:p>
          <w:p w:rsidR="00A747EA" w:rsidRDefault="00A747EA" w:rsidP="002F279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m±sn</w:t>
            </w:r>
          </w:p>
        </w:tc>
        <w:tc>
          <w:tcPr>
            <w:tcW w:w="4536" w:type="dxa"/>
            <w:gridSpan w:val="2"/>
            <w:tcBorders>
              <w:left w:val="nil"/>
              <w:right w:val="nil"/>
            </w:tcBorders>
            <w:shd w:val="clear" w:color="auto" w:fill="E6E6E6" w:themeFill="background1" w:themeFillShade="E6"/>
          </w:tcPr>
          <w:p w:rsidR="00A747EA" w:rsidRPr="007328FD" w:rsidRDefault="00A747EA" w:rsidP="002F279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Taikyta kineziterapija</w:t>
            </w:r>
          </w:p>
        </w:tc>
        <w:tc>
          <w:tcPr>
            <w:tcW w:w="1808" w:type="dxa"/>
            <w:vMerge w:val="restart"/>
            <w:tcBorders>
              <w:left w:val="nil"/>
              <w:right w:val="nil"/>
            </w:tcBorders>
            <w:shd w:val="clear" w:color="auto" w:fill="E6E6E6" w:themeFill="background1" w:themeFillShade="E6"/>
          </w:tcPr>
          <w:p w:rsidR="00A747EA" w:rsidRDefault="00A747EA" w:rsidP="002F2793">
            <w:pPr>
              <w:spacing w:line="360" w:lineRule="auto"/>
              <w:contextualSpacing/>
              <w:jc w:val="both"/>
              <w:rPr>
                <w:rFonts w:ascii="Times New Roman" w:hAnsi="Times New Roman" w:cs="Times New Roman"/>
                <w:b/>
                <w:sz w:val="24"/>
                <w:szCs w:val="24"/>
              </w:rPr>
            </w:pPr>
          </w:p>
          <w:p w:rsidR="00A747EA" w:rsidRDefault="00A747EA" w:rsidP="002F279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p</w:t>
            </w:r>
          </w:p>
        </w:tc>
      </w:tr>
      <w:tr w:rsidR="00A747EA" w:rsidTr="00742D9D">
        <w:tc>
          <w:tcPr>
            <w:tcW w:w="3510" w:type="dxa"/>
            <w:vMerge/>
            <w:tcBorders>
              <w:left w:val="nil"/>
              <w:right w:val="nil"/>
            </w:tcBorders>
            <w:shd w:val="clear" w:color="auto" w:fill="E6E6E6" w:themeFill="background1" w:themeFillShade="E6"/>
          </w:tcPr>
          <w:p w:rsidR="00A747EA" w:rsidRPr="007328FD" w:rsidRDefault="00A747EA" w:rsidP="002F2793">
            <w:pPr>
              <w:spacing w:line="360" w:lineRule="auto"/>
              <w:contextualSpacing/>
              <w:jc w:val="both"/>
              <w:rPr>
                <w:rFonts w:ascii="Times New Roman" w:hAnsi="Times New Roman" w:cs="Times New Roman"/>
                <w:b/>
                <w:sz w:val="24"/>
                <w:szCs w:val="24"/>
              </w:rPr>
            </w:pPr>
          </w:p>
        </w:tc>
        <w:tc>
          <w:tcPr>
            <w:tcW w:w="2127" w:type="dxa"/>
            <w:tcBorders>
              <w:left w:val="nil"/>
              <w:right w:val="nil"/>
            </w:tcBorders>
            <w:shd w:val="clear" w:color="auto" w:fill="E6E6E6" w:themeFill="background1" w:themeFillShade="E6"/>
          </w:tcPr>
          <w:p w:rsidR="00A747EA" w:rsidRPr="007328FD" w:rsidRDefault="00A747EA" w:rsidP="002F2793">
            <w:pPr>
              <w:spacing w:line="360" w:lineRule="auto"/>
              <w:contextualSpacing/>
              <w:jc w:val="both"/>
              <w:rPr>
                <w:rFonts w:ascii="Times New Roman" w:hAnsi="Times New Roman" w:cs="Times New Roman"/>
                <w:b/>
                <w:sz w:val="24"/>
                <w:szCs w:val="24"/>
              </w:rPr>
            </w:pPr>
            <w:r w:rsidRPr="007328FD">
              <w:rPr>
                <w:rFonts w:ascii="Times New Roman" w:hAnsi="Times New Roman" w:cs="Times New Roman"/>
                <w:b/>
                <w:sz w:val="24"/>
                <w:szCs w:val="24"/>
              </w:rPr>
              <w:t>Tiriamoji grupė (n=</w:t>
            </w:r>
            <w:r w:rsidR="00B97951">
              <w:rPr>
                <w:rFonts w:ascii="Times New Roman" w:hAnsi="Times New Roman" w:cs="Times New Roman"/>
                <w:b/>
                <w:sz w:val="24"/>
                <w:szCs w:val="24"/>
              </w:rPr>
              <w:t>10</w:t>
            </w:r>
            <w:r w:rsidRPr="007328FD">
              <w:rPr>
                <w:rFonts w:ascii="Times New Roman" w:hAnsi="Times New Roman" w:cs="Times New Roman"/>
                <w:b/>
                <w:sz w:val="24"/>
                <w:szCs w:val="24"/>
              </w:rPr>
              <w:t>)</w:t>
            </w:r>
          </w:p>
        </w:tc>
        <w:tc>
          <w:tcPr>
            <w:tcW w:w="2409" w:type="dxa"/>
            <w:tcBorders>
              <w:left w:val="nil"/>
              <w:right w:val="nil"/>
            </w:tcBorders>
            <w:shd w:val="clear" w:color="auto" w:fill="E6E6E6" w:themeFill="background1" w:themeFillShade="E6"/>
          </w:tcPr>
          <w:p w:rsidR="00A747EA" w:rsidRPr="007328FD" w:rsidRDefault="00B97951" w:rsidP="002F279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Kontrolinė grupė (n=5</w:t>
            </w:r>
            <w:r w:rsidR="00A747EA" w:rsidRPr="007328FD">
              <w:rPr>
                <w:rFonts w:ascii="Times New Roman" w:hAnsi="Times New Roman" w:cs="Times New Roman"/>
                <w:b/>
                <w:sz w:val="24"/>
                <w:szCs w:val="24"/>
              </w:rPr>
              <w:t>)</w:t>
            </w:r>
          </w:p>
        </w:tc>
        <w:tc>
          <w:tcPr>
            <w:tcW w:w="1808" w:type="dxa"/>
            <w:vMerge/>
            <w:tcBorders>
              <w:left w:val="nil"/>
              <w:right w:val="nil"/>
            </w:tcBorders>
            <w:shd w:val="clear" w:color="auto" w:fill="E6E6E6" w:themeFill="background1" w:themeFillShade="E6"/>
          </w:tcPr>
          <w:p w:rsidR="00A747EA" w:rsidRPr="007328FD" w:rsidRDefault="00A747EA" w:rsidP="002F2793">
            <w:pPr>
              <w:spacing w:line="360" w:lineRule="auto"/>
              <w:contextualSpacing/>
              <w:jc w:val="both"/>
              <w:rPr>
                <w:rFonts w:ascii="Times New Roman" w:hAnsi="Times New Roman" w:cs="Times New Roman"/>
                <w:b/>
                <w:sz w:val="24"/>
                <w:szCs w:val="24"/>
              </w:rPr>
            </w:pPr>
          </w:p>
        </w:tc>
      </w:tr>
      <w:tr w:rsidR="00A747EA" w:rsidTr="00742D9D">
        <w:tc>
          <w:tcPr>
            <w:tcW w:w="3510" w:type="dxa"/>
            <w:tcBorders>
              <w:top w:val="nil"/>
              <w:left w:val="nil"/>
              <w:right w:val="nil"/>
            </w:tcBorders>
          </w:tcPr>
          <w:p w:rsidR="00A747EA" w:rsidRDefault="00A747EA"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Skausmas (balai)</w:t>
            </w:r>
          </w:p>
        </w:tc>
        <w:tc>
          <w:tcPr>
            <w:tcW w:w="2127" w:type="dxa"/>
            <w:tcBorders>
              <w:top w:val="nil"/>
              <w:left w:val="nil"/>
              <w:right w:val="nil"/>
            </w:tcBorders>
          </w:tcPr>
          <w:p w:rsidR="00A747EA" w:rsidRDefault="00A3315A"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3,70</w:t>
            </w:r>
            <w:r w:rsidR="00A747EA">
              <w:rPr>
                <w:rFonts w:ascii="Times New Roman" w:hAnsi="Times New Roman" w:cs="Times New Roman"/>
                <w:sz w:val="24"/>
                <w:szCs w:val="24"/>
              </w:rPr>
              <w:t>±1</w:t>
            </w:r>
            <w:r>
              <w:rPr>
                <w:rFonts w:ascii="Times New Roman" w:hAnsi="Times New Roman" w:cs="Times New Roman"/>
                <w:sz w:val="24"/>
                <w:szCs w:val="24"/>
              </w:rPr>
              <w:t>,8</w:t>
            </w:r>
          </w:p>
        </w:tc>
        <w:tc>
          <w:tcPr>
            <w:tcW w:w="2409" w:type="dxa"/>
            <w:tcBorders>
              <w:top w:val="nil"/>
              <w:left w:val="nil"/>
              <w:right w:val="nil"/>
            </w:tcBorders>
          </w:tcPr>
          <w:p w:rsidR="00A747EA" w:rsidRDefault="00A747EA"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0,</w:t>
            </w:r>
            <w:r w:rsidR="00A3315A">
              <w:rPr>
                <w:rFonts w:ascii="Times New Roman" w:hAnsi="Times New Roman" w:cs="Times New Roman"/>
                <w:sz w:val="24"/>
                <w:szCs w:val="24"/>
              </w:rPr>
              <w:t>40</w:t>
            </w:r>
            <w:r>
              <w:rPr>
                <w:rFonts w:ascii="Times New Roman" w:hAnsi="Times New Roman" w:cs="Times New Roman"/>
                <w:sz w:val="24"/>
                <w:szCs w:val="24"/>
              </w:rPr>
              <w:t>±0,</w:t>
            </w:r>
            <w:r w:rsidR="00A3315A">
              <w:rPr>
                <w:rFonts w:ascii="Times New Roman" w:hAnsi="Times New Roman" w:cs="Times New Roman"/>
                <w:sz w:val="24"/>
                <w:szCs w:val="24"/>
              </w:rPr>
              <w:t>3</w:t>
            </w:r>
          </w:p>
        </w:tc>
        <w:tc>
          <w:tcPr>
            <w:tcW w:w="1808" w:type="dxa"/>
            <w:tcBorders>
              <w:top w:val="nil"/>
              <w:left w:val="nil"/>
              <w:right w:val="nil"/>
            </w:tcBorders>
          </w:tcPr>
          <w:p w:rsidR="00A747EA" w:rsidRPr="00E00CE3" w:rsidRDefault="00A747EA" w:rsidP="002F279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0,001</w:t>
            </w:r>
          </w:p>
        </w:tc>
      </w:tr>
      <w:tr w:rsidR="00A747EA" w:rsidTr="00742D9D">
        <w:tc>
          <w:tcPr>
            <w:tcW w:w="3510" w:type="dxa"/>
            <w:tcBorders>
              <w:left w:val="nil"/>
              <w:right w:val="nil"/>
            </w:tcBorders>
          </w:tcPr>
          <w:p w:rsidR="00A747EA" w:rsidRDefault="00A747EA"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Sustingimas (balai)</w:t>
            </w:r>
          </w:p>
        </w:tc>
        <w:tc>
          <w:tcPr>
            <w:tcW w:w="2127" w:type="dxa"/>
            <w:tcBorders>
              <w:left w:val="nil"/>
              <w:right w:val="nil"/>
            </w:tcBorders>
          </w:tcPr>
          <w:p w:rsidR="00A747EA" w:rsidRDefault="00A3315A"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3,70</w:t>
            </w:r>
            <w:r w:rsidR="00A747EA">
              <w:rPr>
                <w:rFonts w:ascii="Times New Roman" w:hAnsi="Times New Roman" w:cs="Times New Roman"/>
                <w:sz w:val="24"/>
                <w:szCs w:val="24"/>
              </w:rPr>
              <w:t>±</w:t>
            </w:r>
            <w:r>
              <w:rPr>
                <w:rFonts w:ascii="Times New Roman" w:hAnsi="Times New Roman" w:cs="Times New Roman"/>
                <w:sz w:val="24"/>
                <w:szCs w:val="24"/>
              </w:rPr>
              <w:t>1,7</w:t>
            </w:r>
          </w:p>
        </w:tc>
        <w:tc>
          <w:tcPr>
            <w:tcW w:w="2409" w:type="dxa"/>
            <w:tcBorders>
              <w:left w:val="nil"/>
              <w:right w:val="nil"/>
            </w:tcBorders>
          </w:tcPr>
          <w:p w:rsidR="00A747EA" w:rsidRDefault="00A3315A"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0,60</w:t>
            </w:r>
            <w:r w:rsidR="00A747EA">
              <w:rPr>
                <w:rFonts w:ascii="Times New Roman" w:hAnsi="Times New Roman" w:cs="Times New Roman"/>
                <w:sz w:val="24"/>
                <w:szCs w:val="24"/>
              </w:rPr>
              <w:t>±</w:t>
            </w:r>
            <w:r>
              <w:rPr>
                <w:rFonts w:ascii="Times New Roman" w:hAnsi="Times New Roman" w:cs="Times New Roman"/>
                <w:sz w:val="24"/>
                <w:szCs w:val="24"/>
              </w:rPr>
              <w:t>0,4</w:t>
            </w:r>
          </w:p>
        </w:tc>
        <w:tc>
          <w:tcPr>
            <w:tcW w:w="1808" w:type="dxa"/>
            <w:tcBorders>
              <w:left w:val="nil"/>
              <w:right w:val="nil"/>
            </w:tcBorders>
          </w:tcPr>
          <w:p w:rsidR="00A747EA" w:rsidRPr="00E00CE3" w:rsidRDefault="00A747EA" w:rsidP="002F279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0,001</w:t>
            </w:r>
          </w:p>
        </w:tc>
      </w:tr>
      <w:tr w:rsidR="00A747EA" w:rsidTr="00742D9D">
        <w:tc>
          <w:tcPr>
            <w:tcW w:w="3510" w:type="dxa"/>
            <w:tcBorders>
              <w:top w:val="nil"/>
              <w:left w:val="nil"/>
              <w:right w:val="nil"/>
            </w:tcBorders>
          </w:tcPr>
          <w:p w:rsidR="00A747EA" w:rsidRDefault="00A747EA"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Raumenų jėga (kilogramai)</w:t>
            </w:r>
          </w:p>
        </w:tc>
        <w:tc>
          <w:tcPr>
            <w:tcW w:w="2127" w:type="dxa"/>
            <w:tcBorders>
              <w:top w:val="nil"/>
              <w:left w:val="nil"/>
              <w:right w:val="nil"/>
            </w:tcBorders>
          </w:tcPr>
          <w:p w:rsidR="00A747EA" w:rsidRDefault="00A3315A"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4,70</w:t>
            </w:r>
            <w:r w:rsidR="00A747EA">
              <w:rPr>
                <w:rFonts w:ascii="Times New Roman" w:hAnsi="Times New Roman" w:cs="Times New Roman"/>
                <w:sz w:val="24"/>
                <w:szCs w:val="24"/>
              </w:rPr>
              <w:t>±</w:t>
            </w:r>
            <w:r>
              <w:rPr>
                <w:rFonts w:ascii="Times New Roman" w:hAnsi="Times New Roman" w:cs="Times New Roman"/>
                <w:sz w:val="24"/>
                <w:szCs w:val="24"/>
              </w:rPr>
              <w:t>1,8</w:t>
            </w:r>
          </w:p>
        </w:tc>
        <w:tc>
          <w:tcPr>
            <w:tcW w:w="2409" w:type="dxa"/>
            <w:tcBorders>
              <w:top w:val="nil"/>
              <w:left w:val="nil"/>
              <w:right w:val="nil"/>
            </w:tcBorders>
          </w:tcPr>
          <w:p w:rsidR="00A747EA" w:rsidRDefault="00A3315A"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1,60</w:t>
            </w:r>
            <w:r w:rsidR="00A747EA">
              <w:rPr>
                <w:rFonts w:ascii="Times New Roman" w:hAnsi="Times New Roman" w:cs="Times New Roman"/>
                <w:sz w:val="24"/>
                <w:szCs w:val="24"/>
              </w:rPr>
              <w:t>±1,2</w:t>
            </w:r>
          </w:p>
        </w:tc>
        <w:tc>
          <w:tcPr>
            <w:tcW w:w="1808" w:type="dxa"/>
            <w:tcBorders>
              <w:top w:val="nil"/>
              <w:left w:val="nil"/>
              <w:right w:val="nil"/>
            </w:tcBorders>
          </w:tcPr>
          <w:p w:rsidR="00A747EA" w:rsidRPr="00A747EA" w:rsidRDefault="00A747EA" w:rsidP="002F2793">
            <w:pPr>
              <w:spacing w:line="360" w:lineRule="auto"/>
              <w:contextualSpacing/>
              <w:jc w:val="both"/>
              <w:rPr>
                <w:rFonts w:ascii="Times New Roman" w:hAnsi="Times New Roman" w:cs="Times New Roman"/>
                <w:sz w:val="24"/>
                <w:szCs w:val="24"/>
              </w:rPr>
            </w:pPr>
            <w:r w:rsidRPr="00A747EA">
              <w:rPr>
                <w:rFonts w:ascii="Times New Roman" w:hAnsi="Times New Roman" w:cs="Times New Roman"/>
                <w:sz w:val="24"/>
                <w:szCs w:val="24"/>
              </w:rPr>
              <w:t>0,075</w:t>
            </w:r>
          </w:p>
        </w:tc>
      </w:tr>
      <w:tr w:rsidR="00A747EA" w:rsidTr="00742D9D">
        <w:tc>
          <w:tcPr>
            <w:tcW w:w="3510" w:type="dxa"/>
            <w:tcBorders>
              <w:left w:val="nil"/>
              <w:right w:val="nil"/>
            </w:tcBorders>
          </w:tcPr>
          <w:p w:rsidR="00A747EA" w:rsidRDefault="00A747EA"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Plaštakos fleksija (laipsniai)</w:t>
            </w:r>
          </w:p>
        </w:tc>
        <w:tc>
          <w:tcPr>
            <w:tcW w:w="2127" w:type="dxa"/>
            <w:tcBorders>
              <w:left w:val="nil"/>
              <w:right w:val="nil"/>
            </w:tcBorders>
          </w:tcPr>
          <w:p w:rsidR="00A747EA" w:rsidRDefault="00A747EA"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13,</w:t>
            </w:r>
            <w:r w:rsidR="00A3315A">
              <w:rPr>
                <w:rFonts w:ascii="Times New Roman" w:hAnsi="Times New Roman" w:cs="Times New Roman"/>
                <w:sz w:val="24"/>
                <w:szCs w:val="24"/>
              </w:rPr>
              <w:t>50</w:t>
            </w:r>
            <w:r>
              <w:rPr>
                <w:rFonts w:ascii="Times New Roman" w:hAnsi="Times New Roman" w:cs="Times New Roman"/>
                <w:sz w:val="24"/>
                <w:szCs w:val="24"/>
              </w:rPr>
              <w:t>±</w:t>
            </w:r>
            <w:r w:rsidR="00A3315A">
              <w:rPr>
                <w:rFonts w:ascii="Times New Roman" w:hAnsi="Times New Roman" w:cs="Times New Roman"/>
                <w:sz w:val="24"/>
                <w:szCs w:val="24"/>
              </w:rPr>
              <w:t>7</w:t>
            </w:r>
            <w:r>
              <w:rPr>
                <w:rFonts w:ascii="Times New Roman" w:hAnsi="Times New Roman" w:cs="Times New Roman"/>
                <w:sz w:val="24"/>
                <w:szCs w:val="24"/>
              </w:rPr>
              <w:t>,7</w:t>
            </w:r>
          </w:p>
        </w:tc>
        <w:tc>
          <w:tcPr>
            <w:tcW w:w="2409" w:type="dxa"/>
            <w:tcBorders>
              <w:left w:val="nil"/>
              <w:right w:val="nil"/>
            </w:tcBorders>
          </w:tcPr>
          <w:p w:rsidR="00A747EA" w:rsidRDefault="00A3315A"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11,31</w:t>
            </w:r>
            <w:r w:rsidR="00A747EA">
              <w:rPr>
                <w:rFonts w:ascii="Times New Roman" w:hAnsi="Times New Roman" w:cs="Times New Roman"/>
                <w:sz w:val="24"/>
                <w:szCs w:val="24"/>
              </w:rPr>
              <w:t>±</w:t>
            </w:r>
            <w:r>
              <w:rPr>
                <w:rFonts w:ascii="Times New Roman" w:hAnsi="Times New Roman" w:cs="Times New Roman"/>
                <w:sz w:val="24"/>
                <w:szCs w:val="24"/>
              </w:rPr>
              <w:t>4</w:t>
            </w:r>
            <w:r w:rsidR="00A747EA">
              <w:rPr>
                <w:rFonts w:ascii="Times New Roman" w:hAnsi="Times New Roman" w:cs="Times New Roman"/>
                <w:sz w:val="24"/>
                <w:szCs w:val="24"/>
              </w:rPr>
              <w:t>,5</w:t>
            </w:r>
          </w:p>
        </w:tc>
        <w:tc>
          <w:tcPr>
            <w:tcW w:w="1808" w:type="dxa"/>
            <w:tcBorders>
              <w:left w:val="nil"/>
              <w:right w:val="nil"/>
            </w:tcBorders>
          </w:tcPr>
          <w:p w:rsidR="00A747EA" w:rsidRPr="00A747EA" w:rsidRDefault="00A747EA" w:rsidP="002F2793">
            <w:pPr>
              <w:spacing w:line="360" w:lineRule="auto"/>
              <w:contextualSpacing/>
              <w:jc w:val="both"/>
              <w:rPr>
                <w:rFonts w:ascii="Times New Roman" w:hAnsi="Times New Roman" w:cs="Times New Roman"/>
                <w:sz w:val="24"/>
                <w:szCs w:val="24"/>
              </w:rPr>
            </w:pPr>
            <w:r w:rsidRPr="00A747EA">
              <w:rPr>
                <w:rFonts w:ascii="Times New Roman" w:hAnsi="Times New Roman" w:cs="Times New Roman"/>
                <w:sz w:val="24"/>
                <w:szCs w:val="24"/>
              </w:rPr>
              <w:t>0,075</w:t>
            </w:r>
          </w:p>
        </w:tc>
      </w:tr>
      <w:tr w:rsidR="00A747EA" w:rsidTr="00742D9D">
        <w:tc>
          <w:tcPr>
            <w:tcW w:w="3510" w:type="dxa"/>
            <w:tcBorders>
              <w:left w:val="nil"/>
              <w:right w:val="nil"/>
            </w:tcBorders>
          </w:tcPr>
          <w:p w:rsidR="00A747EA" w:rsidRDefault="00A747EA"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Plaštakos ekstenzija (laipsniai)</w:t>
            </w:r>
          </w:p>
        </w:tc>
        <w:tc>
          <w:tcPr>
            <w:tcW w:w="2127" w:type="dxa"/>
            <w:tcBorders>
              <w:left w:val="nil"/>
              <w:right w:val="nil"/>
            </w:tcBorders>
          </w:tcPr>
          <w:p w:rsidR="00A747EA" w:rsidRDefault="00A3315A"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10,40</w:t>
            </w:r>
            <w:r w:rsidR="00A747EA">
              <w:rPr>
                <w:rFonts w:ascii="Times New Roman" w:hAnsi="Times New Roman" w:cs="Times New Roman"/>
                <w:sz w:val="24"/>
                <w:szCs w:val="24"/>
              </w:rPr>
              <w:t>±</w:t>
            </w:r>
            <w:r>
              <w:rPr>
                <w:rFonts w:ascii="Times New Roman" w:hAnsi="Times New Roman" w:cs="Times New Roman"/>
                <w:sz w:val="24"/>
                <w:szCs w:val="24"/>
              </w:rPr>
              <w:t>5,0</w:t>
            </w:r>
          </w:p>
        </w:tc>
        <w:tc>
          <w:tcPr>
            <w:tcW w:w="2409" w:type="dxa"/>
            <w:tcBorders>
              <w:left w:val="nil"/>
              <w:right w:val="nil"/>
            </w:tcBorders>
          </w:tcPr>
          <w:p w:rsidR="00A747EA" w:rsidRDefault="00A3315A"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7,60</w:t>
            </w:r>
            <w:r w:rsidR="00A747EA">
              <w:rPr>
                <w:rFonts w:ascii="Times New Roman" w:hAnsi="Times New Roman" w:cs="Times New Roman"/>
                <w:sz w:val="24"/>
                <w:szCs w:val="24"/>
              </w:rPr>
              <w:t>±1,</w:t>
            </w:r>
            <w:r>
              <w:rPr>
                <w:rFonts w:ascii="Times New Roman" w:hAnsi="Times New Roman" w:cs="Times New Roman"/>
                <w:sz w:val="24"/>
                <w:szCs w:val="24"/>
              </w:rPr>
              <w:t>7</w:t>
            </w:r>
          </w:p>
        </w:tc>
        <w:tc>
          <w:tcPr>
            <w:tcW w:w="1808" w:type="dxa"/>
            <w:tcBorders>
              <w:left w:val="nil"/>
              <w:right w:val="nil"/>
            </w:tcBorders>
          </w:tcPr>
          <w:p w:rsidR="00A747EA" w:rsidRPr="00A747EA" w:rsidRDefault="00A747EA" w:rsidP="002F2793">
            <w:pPr>
              <w:spacing w:line="360" w:lineRule="auto"/>
              <w:contextualSpacing/>
              <w:jc w:val="both"/>
              <w:rPr>
                <w:rFonts w:ascii="Times New Roman" w:hAnsi="Times New Roman" w:cs="Times New Roman"/>
                <w:sz w:val="24"/>
                <w:szCs w:val="24"/>
              </w:rPr>
            </w:pPr>
            <w:r w:rsidRPr="00A747EA">
              <w:rPr>
                <w:rFonts w:ascii="Times New Roman" w:hAnsi="Times New Roman" w:cs="Times New Roman"/>
                <w:sz w:val="24"/>
                <w:szCs w:val="24"/>
              </w:rPr>
              <w:t>0,0</w:t>
            </w:r>
            <w:r>
              <w:rPr>
                <w:rFonts w:ascii="Times New Roman" w:hAnsi="Times New Roman" w:cs="Times New Roman"/>
                <w:sz w:val="24"/>
                <w:szCs w:val="24"/>
              </w:rPr>
              <w:t>55</w:t>
            </w:r>
          </w:p>
        </w:tc>
      </w:tr>
      <w:tr w:rsidR="00A747EA" w:rsidTr="00742D9D">
        <w:tc>
          <w:tcPr>
            <w:tcW w:w="3510" w:type="dxa"/>
            <w:tcBorders>
              <w:left w:val="nil"/>
              <w:right w:val="nil"/>
            </w:tcBorders>
          </w:tcPr>
          <w:p w:rsidR="00A747EA" w:rsidRDefault="00A747EA"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Ulnarinė deviacija (laipsniai)</w:t>
            </w:r>
          </w:p>
        </w:tc>
        <w:tc>
          <w:tcPr>
            <w:tcW w:w="2127" w:type="dxa"/>
            <w:tcBorders>
              <w:left w:val="nil"/>
              <w:right w:val="nil"/>
            </w:tcBorders>
          </w:tcPr>
          <w:p w:rsidR="00A747EA" w:rsidRDefault="00A3315A"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4,30</w:t>
            </w:r>
            <w:r w:rsidR="00A747EA">
              <w:rPr>
                <w:rFonts w:ascii="Times New Roman" w:hAnsi="Times New Roman" w:cs="Times New Roman"/>
                <w:sz w:val="24"/>
                <w:szCs w:val="24"/>
              </w:rPr>
              <w:t>±</w:t>
            </w:r>
            <w:r>
              <w:rPr>
                <w:rFonts w:ascii="Times New Roman" w:hAnsi="Times New Roman" w:cs="Times New Roman"/>
                <w:sz w:val="24"/>
                <w:szCs w:val="24"/>
              </w:rPr>
              <w:t>2,2</w:t>
            </w:r>
          </w:p>
        </w:tc>
        <w:tc>
          <w:tcPr>
            <w:tcW w:w="2409" w:type="dxa"/>
            <w:tcBorders>
              <w:left w:val="nil"/>
              <w:right w:val="nil"/>
            </w:tcBorders>
          </w:tcPr>
          <w:p w:rsidR="00A747EA" w:rsidRDefault="00A3315A"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4,00</w:t>
            </w:r>
            <w:r w:rsidR="00A747EA">
              <w:rPr>
                <w:rFonts w:ascii="Times New Roman" w:hAnsi="Times New Roman" w:cs="Times New Roman"/>
                <w:sz w:val="24"/>
                <w:szCs w:val="24"/>
              </w:rPr>
              <w:t>±</w:t>
            </w:r>
            <w:r>
              <w:rPr>
                <w:rFonts w:ascii="Times New Roman" w:hAnsi="Times New Roman" w:cs="Times New Roman"/>
                <w:sz w:val="24"/>
                <w:szCs w:val="24"/>
              </w:rPr>
              <w:t>2,8</w:t>
            </w:r>
          </w:p>
        </w:tc>
        <w:tc>
          <w:tcPr>
            <w:tcW w:w="1808" w:type="dxa"/>
            <w:tcBorders>
              <w:left w:val="nil"/>
              <w:right w:val="nil"/>
            </w:tcBorders>
          </w:tcPr>
          <w:p w:rsidR="00A747EA" w:rsidRPr="00A747EA" w:rsidRDefault="00A747EA" w:rsidP="002F2793">
            <w:pPr>
              <w:spacing w:line="360" w:lineRule="auto"/>
              <w:contextualSpacing/>
              <w:jc w:val="both"/>
              <w:rPr>
                <w:rFonts w:ascii="Times New Roman" w:hAnsi="Times New Roman" w:cs="Times New Roman"/>
                <w:sz w:val="24"/>
                <w:szCs w:val="24"/>
              </w:rPr>
            </w:pPr>
            <w:r w:rsidRPr="00A747EA">
              <w:rPr>
                <w:rFonts w:ascii="Times New Roman" w:hAnsi="Times New Roman" w:cs="Times New Roman"/>
                <w:sz w:val="24"/>
                <w:szCs w:val="24"/>
              </w:rPr>
              <w:t>0</w:t>
            </w:r>
            <w:r>
              <w:rPr>
                <w:rFonts w:ascii="Times New Roman" w:hAnsi="Times New Roman" w:cs="Times New Roman"/>
                <w:sz w:val="24"/>
                <w:szCs w:val="24"/>
              </w:rPr>
              <w:t>,206</w:t>
            </w:r>
          </w:p>
        </w:tc>
      </w:tr>
      <w:tr w:rsidR="00A747EA" w:rsidTr="00742D9D">
        <w:tc>
          <w:tcPr>
            <w:tcW w:w="3510" w:type="dxa"/>
            <w:tcBorders>
              <w:left w:val="nil"/>
              <w:right w:val="nil"/>
            </w:tcBorders>
          </w:tcPr>
          <w:p w:rsidR="00A747EA" w:rsidRDefault="00A747EA"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Radialinė deviacija (laipsniai)</w:t>
            </w:r>
          </w:p>
        </w:tc>
        <w:tc>
          <w:tcPr>
            <w:tcW w:w="2127" w:type="dxa"/>
            <w:tcBorders>
              <w:left w:val="nil"/>
              <w:right w:val="nil"/>
            </w:tcBorders>
          </w:tcPr>
          <w:p w:rsidR="00A747EA" w:rsidRDefault="00A747EA"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5,</w:t>
            </w:r>
            <w:r w:rsidR="00A3315A">
              <w:rPr>
                <w:rFonts w:ascii="Times New Roman" w:hAnsi="Times New Roman" w:cs="Times New Roman"/>
                <w:sz w:val="24"/>
                <w:szCs w:val="24"/>
              </w:rPr>
              <w:t>00</w:t>
            </w:r>
            <w:r>
              <w:rPr>
                <w:rFonts w:ascii="Times New Roman" w:hAnsi="Times New Roman" w:cs="Times New Roman"/>
                <w:sz w:val="24"/>
                <w:szCs w:val="24"/>
              </w:rPr>
              <w:t>±2,</w:t>
            </w:r>
            <w:r w:rsidR="00A3315A">
              <w:rPr>
                <w:rFonts w:ascii="Times New Roman" w:hAnsi="Times New Roman" w:cs="Times New Roman"/>
                <w:sz w:val="24"/>
                <w:szCs w:val="24"/>
              </w:rPr>
              <w:t>9</w:t>
            </w:r>
          </w:p>
        </w:tc>
        <w:tc>
          <w:tcPr>
            <w:tcW w:w="2409" w:type="dxa"/>
            <w:tcBorders>
              <w:left w:val="nil"/>
              <w:right w:val="nil"/>
            </w:tcBorders>
          </w:tcPr>
          <w:p w:rsidR="00A747EA" w:rsidRDefault="00A3315A"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1,00</w:t>
            </w:r>
            <w:r w:rsidR="00A747EA">
              <w:rPr>
                <w:rFonts w:ascii="Times New Roman" w:hAnsi="Times New Roman" w:cs="Times New Roman"/>
                <w:sz w:val="24"/>
                <w:szCs w:val="24"/>
              </w:rPr>
              <w:t>±</w:t>
            </w:r>
            <w:r>
              <w:rPr>
                <w:rFonts w:ascii="Times New Roman" w:hAnsi="Times New Roman" w:cs="Times New Roman"/>
                <w:sz w:val="24"/>
                <w:szCs w:val="24"/>
              </w:rPr>
              <w:t>0,6</w:t>
            </w:r>
          </w:p>
        </w:tc>
        <w:tc>
          <w:tcPr>
            <w:tcW w:w="1808" w:type="dxa"/>
            <w:tcBorders>
              <w:left w:val="nil"/>
              <w:right w:val="nil"/>
            </w:tcBorders>
          </w:tcPr>
          <w:p w:rsidR="00A747EA" w:rsidRPr="00A747EA" w:rsidRDefault="00A747EA" w:rsidP="002F2793">
            <w:pPr>
              <w:spacing w:line="360" w:lineRule="auto"/>
              <w:contextualSpacing/>
              <w:jc w:val="both"/>
              <w:rPr>
                <w:rFonts w:ascii="Times New Roman" w:hAnsi="Times New Roman" w:cs="Times New Roman"/>
                <w:b/>
                <w:sz w:val="24"/>
                <w:szCs w:val="24"/>
              </w:rPr>
            </w:pPr>
            <w:r w:rsidRPr="00A747EA">
              <w:rPr>
                <w:rFonts w:ascii="Times New Roman" w:hAnsi="Times New Roman" w:cs="Times New Roman"/>
                <w:b/>
                <w:sz w:val="24"/>
                <w:szCs w:val="24"/>
              </w:rPr>
              <w:t>0,019</w:t>
            </w:r>
          </w:p>
        </w:tc>
      </w:tr>
      <w:tr w:rsidR="00A747EA" w:rsidTr="00742D9D">
        <w:tc>
          <w:tcPr>
            <w:tcW w:w="3510" w:type="dxa"/>
            <w:tcBorders>
              <w:left w:val="nil"/>
              <w:right w:val="nil"/>
            </w:tcBorders>
          </w:tcPr>
          <w:p w:rsidR="00A747EA" w:rsidRDefault="00A747EA"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Keitelio indeksas (balai)</w:t>
            </w:r>
          </w:p>
        </w:tc>
        <w:tc>
          <w:tcPr>
            <w:tcW w:w="2127" w:type="dxa"/>
            <w:tcBorders>
              <w:left w:val="nil"/>
              <w:right w:val="nil"/>
            </w:tcBorders>
          </w:tcPr>
          <w:p w:rsidR="00A747EA" w:rsidRDefault="00A3315A"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4,50</w:t>
            </w:r>
            <w:r w:rsidR="00A747EA">
              <w:rPr>
                <w:rFonts w:ascii="Times New Roman" w:hAnsi="Times New Roman" w:cs="Times New Roman"/>
                <w:sz w:val="24"/>
                <w:szCs w:val="24"/>
              </w:rPr>
              <w:t>±1,4</w:t>
            </w:r>
          </w:p>
        </w:tc>
        <w:tc>
          <w:tcPr>
            <w:tcW w:w="2409" w:type="dxa"/>
            <w:tcBorders>
              <w:left w:val="nil"/>
              <w:right w:val="nil"/>
            </w:tcBorders>
          </w:tcPr>
          <w:p w:rsidR="00A747EA" w:rsidRDefault="00A747EA"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w:t>
            </w:r>
            <w:r w:rsidR="00A3315A">
              <w:rPr>
                <w:rFonts w:ascii="Times New Roman" w:hAnsi="Times New Roman" w:cs="Times New Roman"/>
                <w:sz w:val="24"/>
                <w:szCs w:val="24"/>
              </w:rPr>
              <w:t>40±1,7</w:t>
            </w:r>
          </w:p>
        </w:tc>
        <w:tc>
          <w:tcPr>
            <w:tcW w:w="1808" w:type="dxa"/>
            <w:tcBorders>
              <w:left w:val="nil"/>
              <w:right w:val="nil"/>
            </w:tcBorders>
          </w:tcPr>
          <w:p w:rsidR="00A747EA" w:rsidRPr="00A747EA" w:rsidRDefault="00A747EA" w:rsidP="002F2793">
            <w:pPr>
              <w:spacing w:line="360" w:lineRule="auto"/>
              <w:contextualSpacing/>
              <w:jc w:val="both"/>
              <w:rPr>
                <w:rFonts w:ascii="Times New Roman" w:hAnsi="Times New Roman" w:cs="Times New Roman"/>
                <w:sz w:val="24"/>
                <w:szCs w:val="24"/>
              </w:rPr>
            </w:pPr>
            <w:r w:rsidRPr="00A747EA">
              <w:rPr>
                <w:rFonts w:ascii="Times New Roman" w:hAnsi="Times New Roman" w:cs="Times New Roman"/>
                <w:sz w:val="24"/>
                <w:szCs w:val="24"/>
              </w:rPr>
              <w:t>0,</w:t>
            </w:r>
            <w:r>
              <w:rPr>
                <w:rFonts w:ascii="Times New Roman" w:hAnsi="Times New Roman" w:cs="Times New Roman"/>
                <w:sz w:val="24"/>
                <w:szCs w:val="24"/>
              </w:rPr>
              <w:t>055</w:t>
            </w:r>
          </w:p>
        </w:tc>
      </w:tr>
    </w:tbl>
    <w:p w:rsidR="00273953" w:rsidRDefault="00273953" w:rsidP="002F2793">
      <w:pPr>
        <w:spacing w:after="0" w:line="360" w:lineRule="auto"/>
        <w:contextualSpacing/>
        <w:jc w:val="both"/>
        <w:rPr>
          <w:rFonts w:ascii="Times New Roman" w:hAnsi="Times New Roman" w:cs="Times New Roman"/>
          <w:b/>
          <w:sz w:val="24"/>
          <w:szCs w:val="24"/>
        </w:rPr>
      </w:pPr>
    </w:p>
    <w:p w:rsidR="00C62D46" w:rsidRDefault="00B12910"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t>Pacientams kartu su ergoterapija ir teipavimu taikant parafino aplikacijas, buvo gautas statistiškai reikšmingai didesnis skausmo, raumenų sustingimo ir jėgos vertinimo rodiklių pokytis (p&lt;0,05)(8 lentelė).</w:t>
      </w:r>
    </w:p>
    <w:p w:rsidR="00D402E9" w:rsidRDefault="00D402E9" w:rsidP="002F2793">
      <w:pPr>
        <w:spacing w:after="0" w:line="360" w:lineRule="auto"/>
        <w:contextualSpacing/>
        <w:jc w:val="both"/>
        <w:rPr>
          <w:rFonts w:ascii="Times New Roman" w:hAnsi="Times New Roman" w:cs="Times New Roman"/>
          <w:sz w:val="24"/>
          <w:szCs w:val="24"/>
        </w:rPr>
      </w:pPr>
    </w:p>
    <w:p w:rsidR="00B12910" w:rsidRPr="00E943A5" w:rsidRDefault="00B12910" w:rsidP="002F2793">
      <w:pPr>
        <w:spacing w:after="0" w:line="360" w:lineRule="auto"/>
        <w:contextualSpacing/>
        <w:jc w:val="center"/>
        <w:rPr>
          <w:rFonts w:ascii="Times New Roman" w:hAnsi="Times New Roman" w:cs="Times New Roman"/>
          <w:sz w:val="24"/>
          <w:szCs w:val="24"/>
        </w:rPr>
      </w:pPr>
      <w:r>
        <w:rPr>
          <w:rFonts w:ascii="Times New Roman" w:hAnsi="Times New Roman" w:cs="Times New Roman"/>
          <w:b/>
          <w:i/>
          <w:sz w:val="24"/>
          <w:szCs w:val="24"/>
        </w:rPr>
        <w:t>8</w:t>
      </w:r>
      <w:r w:rsidRPr="004413E7">
        <w:rPr>
          <w:rFonts w:ascii="Times New Roman" w:hAnsi="Times New Roman" w:cs="Times New Roman"/>
          <w:b/>
          <w:i/>
          <w:sz w:val="24"/>
          <w:szCs w:val="24"/>
        </w:rPr>
        <w:t xml:space="preserve"> lentelė. </w:t>
      </w:r>
      <w:r w:rsidRPr="0002182D">
        <w:rPr>
          <w:rFonts w:ascii="Times New Roman" w:hAnsi="Times New Roman" w:cs="Times New Roman"/>
          <w:b/>
          <w:i/>
          <w:sz w:val="24"/>
          <w:szCs w:val="24"/>
        </w:rPr>
        <w:t>Rankos funkcijos ir</w:t>
      </w:r>
      <w:r>
        <w:rPr>
          <w:rFonts w:ascii="Times New Roman" w:hAnsi="Times New Roman" w:cs="Times New Roman"/>
          <w:b/>
          <w:i/>
          <w:sz w:val="24"/>
          <w:szCs w:val="24"/>
        </w:rPr>
        <w:t xml:space="preserve"> savarankiškumo vertinimo parametrų pokyč</w:t>
      </w:r>
      <w:r w:rsidRPr="0002182D">
        <w:rPr>
          <w:rFonts w:ascii="Times New Roman" w:hAnsi="Times New Roman" w:cs="Times New Roman"/>
          <w:b/>
          <w:i/>
          <w:sz w:val="24"/>
          <w:szCs w:val="24"/>
        </w:rPr>
        <w:t xml:space="preserve">ių po ergoterapijos </w:t>
      </w:r>
      <w:r>
        <w:rPr>
          <w:rFonts w:ascii="Times New Roman" w:hAnsi="Times New Roman" w:cs="Times New Roman"/>
          <w:b/>
          <w:i/>
          <w:sz w:val="24"/>
          <w:szCs w:val="24"/>
        </w:rPr>
        <w:t>ir parafino aplikacijų palyginimas</w:t>
      </w:r>
    </w:p>
    <w:tbl>
      <w:tblPr>
        <w:tblStyle w:val="Lentelstinklelis"/>
        <w:tblW w:w="0" w:type="auto"/>
        <w:tblLook w:val="04A0" w:firstRow="1" w:lastRow="0" w:firstColumn="1" w:lastColumn="0" w:noHBand="0" w:noVBand="1"/>
      </w:tblPr>
      <w:tblGrid>
        <w:gridCol w:w="3510"/>
        <w:gridCol w:w="2127"/>
        <w:gridCol w:w="2409"/>
        <w:gridCol w:w="1808"/>
      </w:tblGrid>
      <w:tr w:rsidR="00EC29A8" w:rsidTr="000D0847">
        <w:tc>
          <w:tcPr>
            <w:tcW w:w="3510" w:type="dxa"/>
            <w:vMerge w:val="restart"/>
            <w:tcBorders>
              <w:left w:val="nil"/>
              <w:right w:val="nil"/>
            </w:tcBorders>
            <w:shd w:val="clear" w:color="auto" w:fill="E6E6E6" w:themeFill="background1" w:themeFillShade="E6"/>
          </w:tcPr>
          <w:p w:rsidR="00EC29A8" w:rsidRDefault="00EC29A8" w:rsidP="002F279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Vertinimo pokyčiai </w:t>
            </w:r>
          </w:p>
          <w:p w:rsidR="00EC29A8" w:rsidRDefault="00EC29A8" w:rsidP="002F279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m±sn</w:t>
            </w:r>
          </w:p>
        </w:tc>
        <w:tc>
          <w:tcPr>
            <w:tcW w:w="4536" w:type="dxa"/>
            <w:gridSpan w:val="2"/>
            <w:tcBorders>
              <w:left w:val="nil"/>
              <w:right w:val="nil"/>
            </w:tcBorders>
            <w:shd w:val="clear" w:color="auto" w:fill="E6E6E6" w:themeFill="background1" w:themeFillShade="E6"/>
          </w:tcPr>
          <w:p w:rsidR="00EC29A8" w:rsidRPr="007328FD" w:rsidRDefault="00EC29A8" w:rsidP="002F279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Taikytos parafino aplikacijos </w:t>
            </w:r>
          </w:p>
        </w:tc>
        <w:tc>
          <w:tcPr>
            <w:tcW w:w="1808" w:type="dxa"/>
            <w:vMerge w:val="restart"/>
            <w:tcBorders>
              <w:left w:val="nil"/>
              <w:right w:val="nil"/>
            </w:tcBorders>
            <w:shd w:val="clear" w:color="auto" w:fill="E6E6E6" w:themeFill="background1" w:themeFillShade="E6"/>
          </w:tcPr>
          <w:p w:rsidR="00EC29A8" w:rsidRDefault="00EC29A8" w:rsidP="002F2793">
            <w:pPr>
              <w:spacing w:line="360" w:lineRule="auto"/>
              <w:contextualSpacing/>
              <w:jc w:val="both"/>
              <w:rPr>
                <w:rFonts w:ascii="Times New Roman" w:hAnsi="Times New Roman" w:cs="Times New Roman"/>
                <w:b/>
                <w:sz w:val="24"/>
                <w:szCs w:val="24"/>
              </w:rPr>
            </w:pPr>
          </w:p>
          <w:p w:rsidR="00EC29A8" w:rsidRDefault="00EC29A8" w:rsidP="002F279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p</w:t>
            </w:r>
          </w:p>
        </w:tc>
      </w:tr>
      <w:tr w:rsidR="00EC29A8" w:rsidTr="000D0847">
        <w:tc>
          <w:tcPr>
            <w:tcW w:w="3510" w:type="dxa"/>
            <w:vMerge/>
            <w:tcBorders>
              <w:left w:val="nil"/>
              <w:right w:val="nil"/>
            </w:tcBorders>
            <w:shd w:val="clear" w:color="auto" w:fill="E6E6E6" w:themeFill="background1" w:themeFillShade="E6"/>
          </w:tcPr>
          <w:p w:rsidR="00EC29A8" w:rsidRPr="007328FD" w:rsidRDefault="00EC29A8" w:rsidP="002F2793">
            <w:pPr>
              <w:spacing w:line="360" w:lineRule="auto"/>
              <w:contextualSpacing/>
              <w:jc w:val="both"/>
              <w:rPr>
                <w:rFonts w:ascii="Times New Roman" w:hAnsi="Times New Roman" w:cs="Times New Roman"/>
                <w:b/>
                <w:sz w:val="24"/>
                <w:szCs w:val="24"/>
              </w:rPr>
            </w:pPr>
          </w:p>
        </w:tc>
        <w:tc>
          <w:tcPr>
            <w:tcW w:w="2127" w:type="dxa"/>
            <w:tcBorders>
              <w:left w:val="nil"/>
              <w:right w:val="nil"/>
            </w:tcBorders>
            <w:shd w:val="clear" w:color="auto" w:fill="E6E6E6" w:themeFill="background1" w:themeFillShade="E6"/>
          </w:tcPr>
          <w:p w:rsidR="00EC29A8" w:rsidRPr="007328FD" w:rsidRDefault="00EC29A8" w:rsidP="002F2793">
            <w:pPr>
              <w:spacing w:line="360" w:lineRule="auto"/>
              <w:contextualSpacing/>
              <w:jc w:val="both"/>
              <w:rPr>
                <w:rFonts w:ascii="Times New Roman" w:hAnsi="Times New Roman" w:cs="Times New Roman"/>
                <w:b/>
                <w:sz w:val="24"/>
                <w:szCs w:val="24"/>
              </w:rPr>
            </w:pPr>
            <w:r w:rsidRPr="007328FD">
              <w:rPr>
                <w:rFonts w:ascii="Times New Roman" w:hAnsi="Times New Roman" w:cs="Times New Roman"/>
                <w:b/>
                <w:sz w:val="24"/>
                <w:szCs w:val="24"/>
              </w:rPr>
              <w:t>Tiriamoji grupė (n=</w:t>
            </w:r>
            <w:r>
              <w:rPr>
                <w:rFonts w:ascii="Times New Roman" w:hAnsi="Times New Roman" w:cs="Times New Roman"/>
                <w:b/>
                <w:sz w:val="24"/>
                <w:szCs w:val="24"/>
              </w:rPr>
              <w:t>7</w:t>
            </w:r>
            <w:r w:rsidRPr="007328FD">
              <w:rPr>
                <w:rFonts w:ascii="Times New Roman" w:hAnsi="Times New Roman" w:cs="Times New Roman"/>
                <w:b/>
                <w:sz w:val="24"/>
                <w:szCs w:val="24"/>
              </w:rPr>
              <w:t>)</w:t>
            </w:r>
          </w:p>
        </w:tc>
        <w:tc>
          <w:tcPr>
            <w:tcW w:w="2409" w:type="dxa"/>
            <w:tcBorders>
              <w:left w:val="nil"/>
              <w:right w:val="nil"/>
            </w:tcBorders>
            <w:shd w:val="clear" w:color="auto" w:fill="E6E6E6" w:themeFill="background1" w:themeFillShade="E6"/>
          </w:tcPr>
          <w:p w:rsidR="00EC29A8" w:rsidRPr="007328FD" w:rsidRDefault="00EC29A8" w:rsidP="002F279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Kontrolinė grupė (n=6</w:t>
            </w:r>
            <w:r w:rsidRPr="007328FD">
              <w:rPr>
                <w:rFonts w:ascii="Times New Roman" w:hAnsi="Times New Roman" w:cs="Times New Roman"/>
                <w:b/>
                <w:sz w:val="24"/>
                <w:szCs w:val="24"/>
              </w:rPr>
              <w:t>)</w:t>
            </w:r>
          </w:p>
        </w:tc>
        <w:tc>
          <w:tcPr>
            <w:tcW w:w="1808" w:type="dxa"/>
            <w:vMerge/>
            <w:tcBorders>
              <w:left w:val="nil"/>
              <w:right w:val="nil"/>
            </w:tcBorders>
            <w:shd w:val="clear" w:color="auto" w:fill="E6E6E6" w:themeFill="background1" w:themeFillShade="E6"/>
          </w:tcPr>
          <w:p w:rsidR="00EC29A8" w:rsidRPr="007328FD" w:rsidRDefault="00EC29A8" w:rsidP="002F2793">
            <w:pPr>
              <w:spacing w:line="360" w:lineRule="auto"/>
              <w:contextualSpacing/>
              <w:jc w:val="both"/>
              <w:rPr>
                <w:rFonts w:ascii="Times New Roman" w:hAnsi="Times New Roman" w:cs="Times New Roman"/>
                <w:b/>
                <w:sz w:val="24"/>
                <w:szCs w:val="24"/>
              </w:rPr>
            </w:pPr>
          </w:p>
        </w:tc>
      </w:tr>
      <w:tr w:rsidR="00EC29A8" w:rsidTr="000D0847">
        <w:tc>
          <w:tcPr>
            <w:tcW w:w="3510" w:type="dxa"/>
            <w:tcBorders>
              <w:top w:val="nil"/>
              <w:left w:val="nil"/>
              <w:right w:val="nil"/>
            </w:tcBorders>
          </w:tcPr>
          <w:p w:rsidR="00EC29A8" w:rsidRDefault="00EC29A8"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Skausmas (balai)</w:t>
            </w:r>
          </w:p>
        </w:tc>
        <w:tc>
          <w:tcPr>
            <w:tcW w:w="2127" w:type="dxa"/>
            <w:tcBorders>
              <w:top w:val="nil"/>
              <w:left w:val="nil"/>
              <w:right w:val="nil"/>
            </w:tcBorders>
          </w:tcPr>
          <w:p w:rsidR="00EC29A8" w:rsidRDefault="00EC29A8"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2,86±1,6</w:t>
            </w:r>
          </w:p>
        </w:tc>
        <w:tc>
          <w:tcPr>
            <w:tcW w:w="2409" w:type="dxa"/>
            <w:tcBorders>
              <w:top w:val="nil"/>
              <w:left w:val="nil"/>
              <w:right w:val="nil"/>
            </w:tcBorders>
          </w:tcPr>
          <w:p w:rsidR="00EC29A8" w:rsidRDefault="00EC29A8"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0,83±0,3</w:t>
            </w:r>
          </w:p>
        </w:tc>
        <w:tc>
          <w:tcPr>
            <w:tcW w:w="1808" w:type="dxa"/>
            <w:tcBorders>
              <w:top w:val="nil"/>
              <w:left w:val="nil"/>
              <w:right w:val="nil"/>
            </w:tcBorders>
          </w:tcPr>
          <w:p w:rsidR="00EC29A8" w:rsidRPr="00E00CE3" w:rsidRDefault="00EC29A8" w:rsidP="002F279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0,014</w:t>
            </w:r>
          </w:p>
        </w:tc>
      </w:tr>
      <w:tr w:rsidR="00EC29A8" w:rsidTr="000D0847">
        <w:tc>
          <w:tcPr>
            <w:tcW w:w="3510" w:type="dxa"/>
            <w:tcBorders>
              <w:left w:val="nil"/>
              <w:right w:val="nil"/>
            </w:tcBorders>
          </w:tcPr>
          <w:p w:rsidR="00EC29A8" w:rsidRDefault="00EC29A8"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Sustingimas (balai)</w:t>
            </w:r>
          </w:p>
        </w:tc>
        <w:tc>
          <w:tcPr>
            <w:tcW w:w="2127" w:type="dxa"/>
            <w:tcBorders>
              <w:left w:val="nil"/>
              <w:right w:val="nil"/>
            </w:tcBorders>
          </w:tcPr>
          <w:p w:rsidR="00EC29A8" w:rsidRDefault="00EC29A8"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3,29±1,5</w:t>
            </w:r>
          </w:p>
        </w:tc>
        <w:tc>
          <w:tcPr>
            <w:tcW w:w="2409" w:type="dxa"/>
            <w:tcBorders>
              <w:left w:val="nil"/>
              <w:right w:val="nil"/>
            </w:tcBorders>
          </w:tcPr>
          <w:p w:rsidR="00EC29A8" w:rsidRDefault="00EC29A8"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1,00±0,4</w:t>
            </w:r>
          </w:p>
        </w:tc>
        <w:tc>
          <w:tcPr>
            <w:tcW w:w="1808" w:type="dxa"/>
            <w:tcBorders>
              <w:left w:val="nil"/>
              <w:right w:val="nil"/>
            </w:tcBorders>
          </w:tcPr>
          <w:p w:rsidR="00EC29A8" w:rsidRPr="00E00CE3" w:rsidRDefault="00EC29A8" w:rsidP="002F279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0,014</w:t>
            </w:r>
          </w:p>
        </w:tc>
      </w:tr>
      <w:tr w:rsidR="00EC29A8" w:rsidTr="000D0847">
        <w:tc>
          <w:tcPr>
            <w:tcW w:w="3510" w:type="dxa"/>
            <w:tcBorders>
              <w:top w:val="nil"/>
              <w:left w:val="nil"/>
              <w:right w:val="nil"/>
            </w:tcBorders>
          </w:tcPr>
          <w:p w:rsidR="00EC29A8" w:rsidRDefault="00EC29A8"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Raumenų jėga (kilogramai)</w:t>
            </w:r>
          </w:p>
        </w:tc>
        <w:tc>
          <w:tcPr>
            <w:tcW w:w="2127" w:type="dxa"/>
            <w:tcBorders>
              <w:top w:val="nil"/>
              <w:left w:val="nil"/>
              <w:right w:val="nil"/>
            </w:tcBorders>
          </w:tcPr>
          <w:p w:rsidR="00EC29A8" w:rsidRDefault="00EC29A8"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5,29±2,5</w:t>
            </w:r>
          </w:p>
        </w:tc>
        <w:tc>
          <w:tcPr>
            <w:tcW w:w="2409" w:type="dxa"/>
            <w:tcBorders>
              <w:top w:val="nil"/>
              <w:left w:val="nil"/>
              <w:right w:val="nil"/>
            </w:tcBorders>
          </w:tcPr>
          <w:p w:rsidR="00EC29A8" w:rsidRDefault="00EC29A8"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1,00±0,9</w:t>
            </w:r>
          </w:p>
        </w:tc>
        <w:tc>
          <w:tcPr>
            <w:tcW w:w="1808" w:type="dxa"/>
            <w:tcBorders>
              <w:top w:val="nil"/>
              <w:left w:val="nil"/>
              <w:right w:val="nil"/>
            </w:tcBorders>
          </w:tcPr>
          <w:p w:rsidR="00EC29A8" w:rsidRPr="00EC29A8" w:rsidRDefault="00EC29A8" w:rsidP="002F2793">
            <w:pPr>
              <w:spacing w:line="360" w:lineRule="auto"/>
              <w:contextualSpacing/>
              <w:jc w:val="both"/>
              <w:rPr>
                <w:rFonts w:ascii="Times New Roman" w:hAnsi="Times New Roman" w:cs="Times New Roman"/>
                <w:b/>
                <w:sz w:val="24"/>
                <w:szCs w:val="24"/>
              </w:rPr>
            </w:pPr>
            <w:r w:rsidRPr="00EC29A8">
              <w:rPr>
                <w:rFonts w:ascii="Times New Roman" w:hAnsi="Times New Roman" w:cs="Times New Roman"/>
                <w:b/>
                <w:sz w:val="24"/>
                <w:szCs w:val="24"/>
              </w:rPr>
              <w:t>0,008</w:t>
            </w:r>
          </w:p>
        </w:tc>
      </w:tr>
      <w:tr w:rsidR="00EC29A8" w:rsidTr="000D0847">
        <w:tc>
          <w:tcPr>
            <w:tcW w:w="3510" w:type="dxa"/>
            <w:tcBorders>
              <w:left w:val="nil"/>
              <w:right w:val="nil"/>
            </w:tcBorders>
          </w:tcPr>
          <w:p w:rsidR="00EC29A8" w:rsidRDefault="00EC29A8"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Plaštakos fleksija (laipsniai)</w:t>
            </w:r>
          </w:p>
        </w:tc>
        <w:tc>
          <w:tcPr>
            <w:tcW w:w="2127" w:type="dxa"/>
            <w:tcBorders>
              <w:left w:val="nil"/>
              <w:right w:val="nil"/>
            </w:tcBorders>
          </w:tcPr>
          <w:p w:rsidR="00EC29A8" w:rsidRDefault="00EC29A8"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12,57±9,2</w:t>
            </w:r>
          </w:p>
        </w:tc>
        <w:tc>
          <w:tcPr>
            <w:tcW w:w="2409" w:type="dxa"/>
            <w:tcBorders>
              <w:left w:val="nil"/>
              <w:right w:val="nil"/>
            </w:tcBorders>
          </w:tcPr>
          <w:p w:rsidR="00EC29A8" w:rsidRDefault="00EC29A8"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4,83±1,8</w:t>
            </w:r>
          </w:p>
        </w:tc>
        <w:tc>
          <w:tcPr>
            <w:tcW w:w="1808" w:type="dxa"/>
            <w:tcBorders>
              <w:left w:val="nil"/>
              <w:right w:val="nil"/>
            </w:tcBorders>
          </w:tcPr>
          <w:p w:rsidR="00EC29A8" w:rsidRPr="00EC29A8" w:rsidRDefault="00EC29A8" w:rsidP="002F2793">
            <w:pPr>
              <w:spacing w:line="360" w:lineRule="auto"/>
              <w:contextualSpacing/>
              <w:jc w:val="both"/>
              <w:rPr>
                <w:rFonts w:ascii="Times New Roman" w:hAnsi="Times New Roman" w:cs="Times New Roman"/>
                <w:sz w:val="24"/>
                <w:szCs w:val="24"/>
              </w:rPr>
            </w:pPr>
            <w:r w:rsidRPr="00EC29A8">
              <w:rPr>
                <w:rFonts w:ascii="Times New Roman" w:hAnsi="Times New Roman" w:cs="Times New Roman"/>
                <w:sz w:val="24"/>
                <w:szCs w:val="24"/>
              </w:rPr>
              <w:t>0,534</w:t>
            </w:r>
          </w:p>
        </w:tc>
      </w:tr>
      <w:tr w:rsidR="00EC29A8" w:rsidTr="000D0847">
        <w:tc>
          <w:tcPr>
            <w:tcW w:w="3510" w:type="dxa"/>
            <w:tcBorders>
              <w:left w:val="nil"/>
              <w:right w:val="nil"/>
            </w:tcBorders>
          </w:tcPr>
          <w:p w:rsidR="00EC29A8" w:rsidRDefault="00EC29A8"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Plaštakos ekstenzija (laipsniai)</w:t>
            </w:r>
          </w:p>
        </w:tc>
        <w:tc>
          <w:tcPr>
            <w:tcW w:w="2127" w:type="dxa"/>
            <w:tcBorders>
              <w:left w:val="nil"/>
              <w:right w:val="nil"/>
            </w:tcBorders>
          </w:tcPr>
          <w:p w:rsidR="00EC29A8" w:rsidRDefault="00EC29A8"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8,43±4,4</w:t>
            </w:r>
          </w:p>
        </w:tc>
        <w:tc>
          <w:tcPr>
            <w:tcW w:w="2409" w:type="dxa"/>
            <w:tcBorders>
              <w:left w:val="nil"/>
              <w:right w:val="nil"/>
            </w:tcBorders>
          </w:tcPr>
          <w:p w:rsidR="00EC29A8" w:rsidRDefault="00EC29A8"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6,50±2,7</w:t>
            </w:r>
          </w:p>
        </w:tc>
        <w:tc>
          <w:tcPr>
            <w:tcW w:w="1808" w:type="dxa"/>
            <w:tcBorders>
              <w:left w:val="nil"/>
              <w:right w:val="nil"/>
            </w:tcBorders>
          </w:tcPr>
          <w:p w:rsidR="00EC29A8" w:rsidRPr="00EC29A8" w:rsidRDefault="00EC29A8" w:rsidP="002F2793">
            <w:pPr>
              <w:spacing w:line="360" w:lineRule="auto"/>
              <w:contextualSpacing/>
              <w:jc w:val="both"/>
              <w:rPr>
                <w:rFonts w:ascii="Times New Roman" w:hAnsi="Times New Roman" w:cs="Times New Roman"/>
                <w:sz w:val="24"/>
                <w:szCs w:val="24"/>
              </w:rPr>
            </w:pPr>
            <w:r w:rsidRPr="00EC29A8">
              <w:rPr>
                <w:rFonts w:ascii="Times New Roman" w:hAnsi="Times New Roman" w:cs="Times New Roman"/>
                <w:sz w:val="24"/>
                <w:szCs w:val="24"/>
              </w:rPr>
              <w:t>0,295</w:t>
            </w:r>
          </w:p>
        </w:tc>
      </w:tr>
      <w:tr w:rsidR="00EC29A8" w:rsidTr="000D0847">
        <w:tc>
          <w:tcPr>
            <w:tcW w:w="3510" w:type="dxa"/>
            <w:tcBorders>
              <w:left w:val="nil"/>
              <w:right w:val="nil"/>
            </w:tcBorders>
          </w:tcPr>
          <w:p w:rsidR="00EC29A8" w:rsidRDefault="00EC29A8"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Ulnarinė deviacija (laipsniai)</w:t>
            </w:r>
          </w:p>
        </w:tc>
        <w:tc>
          <w:tcPr>
            <w:tcW w:w="2127" w:type="dxa"/>
            <w:tcBorders>
              <w:left w:val="nil"/>
              <w:right w:val="nil"/>
            </w:tcBorders>
          </w:tcPr>
          <w:p w:rsidR="00EC29A8" w:rsidRDefault="00EC29A8"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4,29±2,2</w:t>
            </w:r>
          </w:p>
        </w:tc>
        <w:tc>
          <w:tcPr>
            <w:tcW w:w="2409" w:type="dxa"/>
            <w:tcBorders>
              <w:left w:val="nil"/>
              <w:right w:val="nil"/>
            </w:tcBorders>
          </w:tcPr>
          <w:p w:rsidR="00EC29A8" w:rsidRDefault="00EC29A8"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4,17±1,9</w:t>
            </w:r>
          </w:p>
        </w:tc>
        <w:tc>
          <w:tcPr>
            <w:tcW w:w="1808" w:type="dxa"/>
            <w:tcBorders>
              <w:left w:val="nil"/>
              <w:right w:val="nil"/>
            </w:tcBorders>
          </w:tcPr>
          <w:p w:rsidR="00EC29A8" w:rsidRPr="00A747EA" w:rsidRDefault="00EC29A8" w:rsidP="002F2793">
            <w:pPr>
              <w:spacing w:line="360" w:lineRule="auto"/>
              <w:contextualSpacing/>
              <w:jc w:val="both"/>
              <w:rPr>
                <w:rFonts w:ascii="Times New Roman" w:hAnsi="Times New Roman" w:cs="Times New Roman"/>
                <w:sz w:val="24"/>
                <w:szCs w:val="24"/>
              </w:rPr>
            </w:pPr>
            <w:r w:rsidRPr="00A747EA">
              <w:rPr>
                <w:rFonts w:ascii="Times New Roman" w:hAnsi="Times New Roman" w:cs="Times New Roman"/>
                <w:sz w:val="24"/>
                <w:szCs w:val="24"/>
              </w:rPr>
              <w:t>0</w:t>
            </w:r>
            <w:r>
              <w:rPr>
                <w:rFonts w:ascii="Times New Roman" w:hAnsi="Times New Roman" w:cs="Times New Roman"/>
                <w:sz w:val="24"/>
                <w:szCs w:val="24"/>
              </w:rPr>
              <w:t>,366</w:t>
            </w:r>
          </w:p>
        </w:tc>
      </w:tr>
      <w:tr w:rsidR="00EC29A8" w:rsidTr="000D0847">
        <w:tc>
          <w:tcPr>
            <w:tcW w:w="3510" w:type="dxa"/>
            <w:tcBorders>
              <w:left w:val="nil"/>
              <w:right w:val="nil"/>
            </w:tcBorders>
          </w:tcPr>
          <w:p w:rsidR="00EC29A8" w:rsidRDefault="00EC29A8"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Radialinė deviacija (laipsniai)</w:t>
            </w:r>
          </w:p>
        </w:tc>
        <w:tc>
          <w:tcPr>
            <w:tcW w:w="2127" w:type="dxa"/>
            <w:tcBorders>
              <w:left w:val="nil"/>
              <w:right w:val="nil"/>
            </w:tcBorders>
          </w:tcPr>
          <w:p w:rsidR="00EC29A8" w:rsidRDefault="00EC29A8"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5,14±2,4</w:t>
            </w:r>
          </w:p>
        </w:tc>
        <w:tc>
          <w:tcPr>
            <w:tcW w:w="2409" w:type="dxa"/>
            <w:tcBorders>
              <w:left w:val="nil"/>
              <w:right w:val="nil"/>
            </w:tcBorders>
          </w:tcPr>
          <w:p w:rsidR="00EC29A8" w:rsidRDefault="00EC29A8"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2,67±1,7</w:t>
            </w:r>
          </w:p>
        </w:tc>
        <w:tc>
          <w:tcPr>
            <w:tcW w:w="1808" w:type="dxa"/>
            <w:tcBorders>
              <w:left w:val="nil"/>
              <w:right w:val="nil"/>
            </w:tcBorders>
          </w:tcPr>
          <w:p w:rsidR="00EC29A8" w:rsidRPr="00A747EA" w:rsidRDefault="00EC29A8" w:rsidP="002F2793">
            <w:pPr>
              <w:spacing w:line="360" w:lineRule="auto"/>
              <w:contextualSpacing/>
              <w:jc w:val="both"/>
              <w:rPr>
                <w:rFonts w:ascii="Times New Roman" w:hAnsi="Times New Roman" w:cs="Times New Roman"/>
                <w:sz w:val="24"/>
                <w:szCs w:val="24"/>
              </w:rPr>
            </w:pPr>
            <w:r w:rsidRPr="00A747EA">
              <w:rPr>
                <w:rFonts w:ascii="Times New Roman" w:hAnsi="Times New Roman" w:cs="Times New Roman"/>
                <w:sz w:val="24"/>
                <w:szCs w:val="24"/>
              </w:rPr>
              <w:t>0,</w:t>
            </w:r>
            <w:r>
              <w:rPr>
                <w:rFonts w:ascii="Times New Roman" w:hAnsi="Times New Roman" w:cs="Times New Roman"/>
                <w:sz w:val="24"/>
                <w:szCs w:val="24"/>
              </w:rPr>
              <w:t>138</w:t>
            </w:r>
          </w:p>
        </w:tc>
      </w:tr>
      <w:tr w:rsidR="00EC29A8" w:rsidTr="000D0847">
        <w:tc>
          <w:tcPr>
            <w:tcW w:w="3510" w:type="dxa"/>
            <w:tcBorders>
              <w:left w:val="nil"/>
              <w:right w:val="nil"/>
            </w:tcBorders>
          </w:tcPr>
          <w:p w:rsidR="00EC29A8" w:rsidRDefault="00EC29A8"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Keitelio indeksas (balai)</w:t>
            </w:r>
          </w:p>
        </w:tc>
        <w:tc>
          <w:tcPr>
            <w:tcW w:w="2127" w:type="dxa"/>
            <w:tcBorders>
              <w:left w:val="nil"/>
              <w:right w:val="nil"/>
            </w:tcBorders>
          </w:tcPr>
          <w:p w:rsidR="00EC29A8" w:rsidRDefault="00EC29A8"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4,43±1,2</w:t>
            </w:r>
          </w:p>
        </w:tc>
        <w:tc>
          <w:tcPr>
            <w:tcW w:w="2409" w:type="dxa"/>
            <w:tcBorders>
              <w:left w:val="nil"/>
              <w:right w:val="nil"/>
            </w:tcBorders>
          </w:tcPr>
          <w:p w:rsidR="00EC29A8" w:rsidRDefault="00EC29A8"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2,83±1,7</w:t>
            </w:r>
          </w:p>
        </w:tc>
        <w:tc>
          <w:tcPr>
            <w:tcW w:w="1808" w:type="dxa"/>
            <w:tcBorders>
              <w:left w:val="nil"/>
              <w:right w:val="nil"/>
            </w:tcBorders>
          </w:tcPr>
          <w:p w:rsidR="00EC29A8" w:rsidRPr="00A747EA" w:rsidRDefault="00EC29A8" w:rsidP="002F2793">
            <w:pPr>
              <w:spacing w:line="360" w:lineRule="auto"/>
              <w:contextualSpacing/>
              <w:jc w:val="both"/>
              <w:rPr>
                <w:rFonts w:ascii="Times New Roman" w:hAnsi="Times New Roman" w:cs="Times New Roman"/>
                <w:sz w:val="24"/>
                <w:szCs w:val="24"/>
              </w:rPr>
            </w:pPr>
            <w:r w:rsidRPr="00A747EA">
              <w:rPr>
                <w:rFonts w:ascii="Times New Roman" w:hAnsi="Times New Roman" w:cs="Times New Roman"/>
                <w:sz w:val="24"/>
                <w:szCs w:val="24"/>
              </w:rPr>
              <w:t>0,</w:t>
            </w:r>
            <w:r>
              <w:rPr>
                <w:rFonts w:ascii="Times New Roman" w:hAnsi="Times New Roman" w:cs="Times New Roman"/>
                <w:sz w:val="24"/>
                <w:szCs w:val="24"/>
              </w:rPr>
              <w:t>101</w:t>
            </w:r>
          </w:p>
        </w:tc>
      </w:tr>
    </w:tbl>
    <w:p w:rsidR="00EC29A8" w:rsidRDefault="00EC29A8" w:rsidP="002F2793">
      <w:pPr>
        <w:spacing w:after="0" w:line="360" w:lineRule="auto"/>
        <w:contextualSpacing/>
        <w:jc w:val="both"/>
        <w:rPr>
          <w:rFonts w:ascii="Times New Roman" w:hAnsi="Times New Roman" w:cs="Times New Roman"/>
          <w:b/>
          <w:sz w:val="24"/>
          <w:szCs w:val="24"/>
        </w:rPr>
      </w:pPr>
    </w:p>
    <w:p w:rsidR="00B12910" w:rsidRDefault="00B12910" w:rsidP="002847B6">
      <w:pPr>
        <w:spacing w:after="0" w:line="360" w:lineRule="auto"/>
        <w:ind w:firstLine="851"/>
        <w:contextualSpacing/>
        <w:jc w:val="both"/>
        <w:rPr>
          <w:rFonts w:ascii="Times New Roman" w:hAnsi="Times New Roman" w:cs="Times New Roman"/>
          <w:sz w:val="24"/>
          <w:szCs w:val="24"/>
        </w:rPr>
      </w:pPr>
      <w:r>
        <w:rPr>
          <w:rFonts w:ascii="Times New Roman" w:hAnsi="Times New Roman" w:cs="Times New Roman"/>
          <w:sz w:val="24"/>
          <w:szCs w:val="24"/>
        </w:rPr>
        <w:lastRenderedPageBreak/>
        <w:t>Papildomai taikant magnetoterapiją, tiriamosios grupės pacientams taip pat gavome statistiškai reikšmingai didesnį skausmo, raumenų sustingimo vertinimo rodiklių pokytį, be to nustatytas ir statistiškai reikšmingai didesnis Keitelio indekso pokytis (p&lt;0,05)(9 lentelė).</w:t>
      </w:r>
    </w:p>
    <w:p w:rsidR="00B22E97" w:rsidRDefault="00B22E97" w:rsidP="002F2793">
      <w:pPr>
        <w:spacing w:after="0" w:line="360" w:lineRule="auto"/>
        <w:ind w:firstLine="1296"/>
        <w:contextualSpacing/>
        <w:jc w:val="both"/>
        <w:rPr>
          <w:rFonts w:ascii="Times New Roman" w:hAnsi="Times New Roman" w:cs="Times New Roman"/>
          <w:sz w:val="24"/>
          <w:szCs w:val="24"/>
        </w:rPr>
      </w:pPr>
    </w:p>
    <w:p w:rsidR="00B12910" w:rsidRPr="00B70E8E" w:rsidRDefault="00B12910" w:rsidP="002F2793">
      <w:pPr>
        <w:spacing w:after="0" w:line="360" w:lineRule="auto"/>
        <w:contextualSpacing/>
        <w:jc w:val="center"/>
        <w:rPr>
          <w:rFonts w:ascii="Times New Roman" w:hAnsi="Times New Roman" w:cs="Times New Roman"/>
          <w:sz w:val="24"/>
          <w:szCs w:val="24"/>
        </w:rPr>
      </w:pPr>
      <w:r>
        <w:rPr>
          <w:rFonts w:ascii="Times New Roman" w:hAnsi="Times New Roman" w:cs="Times New Roman"/>
          <w:b/>
          <w:i/>
          <w:sz w:val="24"/>
          <w:szCs w:val="24"/>
        </w:rPr>
        <w:t>9</w:t>
      </w:r>
      <w:r w:rsidRPr="004413E7">
        <w:rPr>
          <w:rFonts w:ascii="Times New Roman" w:hAnsi="Times New Roman" w:cs="Times New Roman"/>
          <w:b/>
          <w:i/>
          <w:sz w:val="24"/>
          <w:szCs w:val="24"/>
        </w:rPr>
        <w:t xml:space="preserve"> lentelė. </w:t>
      </w:r>
      <w:r w:rsidRPr="0002182D">
        <w:rPr>
          <w:rFonts w:ascii="Times New Roman" w:hAnsi="Times New Roman" w:cs="Times New Roman"/>
          <w:b/>
          <w:i/>
          <w:sz w:val="24"/>
          <w:szCs w:val="24"/>
        </w:rPr>
        <w:t>Rankos funkcijos ir</w:t>
      </w:r>
      <w:r>
        <w:rPr>
          <w:rFonts w:ascii="Times New Roman" w:hAnsi="Times New Roman" w:cs="Times New Roman"/>
          <w:b/>
          <w:i/>
          <w:sz w:val="24"/>
          <w:szCs w:val="24"/>
        </w:rPr>
        <w:t xml:space="preserve"> savarankiškumo vertinimo parametrų pokyč</w:t>
      </w:r>
      <w:r w:rsidRPr="0002182D">
        <w:rPr>
          <w:rFonts w:ascii="Times New Roman" w:hAnsi="Times New Roman" w:cs="Times New Roman"/>
          <w:b/>
          <w:i/>
          <w:sz w:val="24"/>
          <w:szCs w:val="24"/>
        </w:rPr>
        <w:t xml:space="preserve">ių po ergoterapijos </w:t>
      </w:r>
      <w:r>
        <w:rPr>
          <w:rFonts w:ascii="Times New Roman" w:hAnsi="Times New Roman" w:cs="Times New Roman"/>
          <w:b/>
          <w:i/>
          <w:sz w:val="24"/>
          <w:szCs w:val="24"/>
        </w:rPr>
        <w:t>ir magnetoterapijos procedūrų palyginimas</w:t>
      </w:r>
    </w:p>
    <w:tbl>
      <w:tblPr>
        <w:tblStyle w:val="Lentelstinklelis"/>
        <w:tblW w:w="0" w:type="auto"/>
        <w:tblLook w:val="04A0" w:firstRow="1" w:lastRow="0" w:firstColumn="1" w:lastColumn="0" w:noHBand="0" w:noVBand="1"/>
      </w:tblPr>
      <w:tblGrid>
        <w:gridCol w:w="3510"/>
        <w:gridCol w:w="2127"/>
        <w:gridCol w:w="2409"/>
        <w:gridCol w:w="1808"/>
      </w:tblGrid>
      <w:tr w:rsidR="00557B41" w:rsidTr="000D0847">
        <w:tc>
          <w:tcPr>
            <w:tcW w:w="3510" w:type="dxa"/>
            <w:vMerge w:val="restart"/>
            <w:tcBorders>
              <w:left w:val="nil"/>
              <w:right w:val="nil"/>
            </w:tcBorders>
            <w:shd w:val="clear" w:color="auto" w:fill="E6E6E6" w:themeFill="background1" w:themeFillShade="E6"/>
          </w:tcPr>
          <w:p w:rsidR="00557B41" w:rsidRDefault="00557B41" w:rsidP="002F279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Vertinimo pokyčiai </w:t>
            </w:r>
          </w:p>
          <w:p w:rsidR="00557B41" w:rsidRDefault="00557B41" w:rsidP="002F279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m±sn</w:t>
            </w:r>
          </w:p>
        </w:tc>
        <w:tc>
          <w:tcPr>
            <w:tcW w:w="4536" w:type="dxa"/>
            <w:gridSpan w:val="2"/>
            <w:tcBorders>
              <w:left w:val="nil"/>
              <w:right w:val="nil"/>
            </w:tcBorders>
            <w:shd w:val="clear" w:color="auto" w:fill="E6E6E6" w:themeFill="background1" w:themeFillShade="E6"/>
          </w:tcPr>
          <w:p w:rsidR="00557B41" w:rsidRPr="007328FD" w:rsidRDefault="00557B41" w:rsidP="002F279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Taikyta magnetoterapija </w:t>
            </w:r>
          </w:p>
        </w:tc>
        <w:tc>
          <w:tcPr>
            <w:tcW w:w="1808" w:type="dxa"/>
            <w:vMerge w:val="restart"/>
            <w:tcBorders>
              <w:left w:val="nil"/>
              <w:right w:val="nil"/>
            </w:tcBorders>
            <w:shd w:val="clear" w:color="auto" w:fill="E6E6E6" w:themeFill="background1" w:themeFillShade="E6"/>
          </w:tcPr>
          <w:p w:rsidR="00557B41" w:rsidRDefault="00557B41" w:rsidP="002F2793">
            <w:pPr>
              <w:spacing w:line="360" w:lineRule="auto"/>
              <w:contextualSpacing/>
              <w:jc w:val="both"/>
              <w:rPr>
                <w:rFonts w:ascii="Times New Roman" w:hAnsi="Times New Roman" w:cs="Times New Roman"/>
                <w:b/>
                <w:sz w:val="24"/>
                <w:szCs w:val="24"/>
              </w:rPr>
            </w:pPr>
          </w:p>
          <w:p w:rsidR="00557B41" w:rsidRDefault="00557B41" w:rsidP="002F279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p</w:t>
            </w:r>
          </w:p>
        </w:tc>
      </w:tr>
      <w:tr w:rsidR="00557B41" w:rsidTr="000D0847">
        <w:tc>
          <w:tcPr>
            <w:tcW w:w="3510" w:type="dxa"/>
            <w:vMerge/>
            <w:tcBorders>
              <w:left w:val="nil"/>
              <w:right w:val="nil"/>
            </w:tcBorders>
            <w:shd w:val="clear" w:color="auto" w:fill="E6E6E6" w:themeFill="background1" w:themeFillShade="E6"/>
          </w:tcPr>
          <w:p w:rsidR="00557B41" w:rsidRPr="007328FD" w:rsidRDefault="00557B41" w:rsidP="002F2793">
            <w:pPr>
              <w:spacing w:line="360" w:lineRule="auto"/>
              <w:contextualSpacing/>
              <w:jc w:val="both"/>
              <w:rPr>
                <w:rFonts w:ascii="Times New Roman" w:hAnsi="Times New Roman" w:cs="Times New Roman"/>
                <w:b/>
                <w:sz w:val="24"/>
                <w:szCs w:val="24"/>
              </w:rPr>
            </w:pPr>
          </w:p>
        </w:tc>
        <w:tc>
          <w:tcPr>
            <w:tcW w:w="2127" w:type="dxa"/>
            <w:tcBorders>
              <w:left w:val="nil"/>
              <w:right w:val="nil"/>
            </w:tcBorders>
            <w:shd w:val="clear" w:color="auto" w:fill="E6E6E6" w:themeFill="background1" w:themeFillShade="E6"/>
          </w:tcPr>
          <w:p w:rsidR="00557B41" w:rsidRPr="007328FD" w:rsidRDefault="00557B41" w:rsidP="002F2793">
            <w:pPr>
              <w:spacing w:line="360" w:lineRule="auto"/>
              <w:contextualSpacing/>
              <w:jc w:val="both"/>
              <w:rPr>
                <w:rFonts w:ascii="Times New Roman" w:hAnsi="Times New Roman" w:cs="Times New Roman"/>
                <w:b/>
                <w:sz w:val="24"/>
                <w:szCs w:val="24"/>
              </w:rPr>
            </w:pPr>
            <w:r w:rsidRPr="007328FD">
              <w:rPr>
                <w:rFonts w:ascii="Times New Roman" w:hAnsi="Times New Roman" w:cs="Times New Roman"/>
                <w:b/>
                <w:sz w:val="24"/>
                <w:szCs w:val="24"/>
              </w:rPr>
              <w:t>Tiriamoji grupė (n=</w:t>
            </w:r>
            <w:r>
              <w:rPr>
                <w:rFonts w:ascii="Times New Roman" w:hAnsi="Times New Roman" w:cs="Times New Roman"/>
                <w:b/>
                <w:sz w:val="24"/>
                <w:szCs w:val="24"/>
              </w:rPr>
              <w:t>7</w:t>
            </w:r>
            <w:r w:rsidRPr="007328FD">
              <w:rPr>
                <w:rFonts w:ascii="Times New Roman" w:hAnsi="Times New Roman" w:cs="Times New Roman"/>
                <w:b/>
                <w:sz w:val="24"/>
                <w:szCs w:val="24"/>
              </w:rPr>
              <w:t>)</w:t>
            </w:r>
          </w:p>
        </w:tc>
        <w:tc>
          <w:tcPr>
            <w:tcW w:w="2409" w:type="dxa"/>
            <w:tcBorders>
              <w:left w:val="nil"/>
              <w:right w:val="nil"/>
            </w:tcBorders>
            <w:shd w:val="clear" w:color="auto" w:fill="E6E6E6" w:themeFill="background1" w:themeFillShade="E6"/>
          </w:tcPr>
          <w:p w:rsidR="00557B41" w:rsidRPr="007328FD" w:rsidRDefault="00557B41" w:rsidP="002F279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Kontrolinė grupė (n=6</w:t>
            </w:r>
            <w:r w:rsidRPr="007328FD">
              <w:rPr>
                <w:rFonts w:ascii="Times New Roman" w:hAnsi="Times New Roman" w:cs="Times New Roman"/>
                <w:b/>
                <w:sz w:val="24"/>
                <w:szCs w:val="24"/>
              </w:rPr>
              <w:t>)</w:t>
            </w:r>
          </w:p>
        </w:tc>
        <w:tc>
          <w:tcPr>
            <w:tcW w:w="1808" w:type="dxa"/>
            <w:vMerge/>
            <w:tcBorders>
              <w:left w:val="nil"/>
              <w:right w:val="nil"/>
            </w:tcBorders>
            <w:shd w:val="clear" w:color="auto" w:fill="E6E6E6" w:themeFill="background1" w:themeFillShade="E6"/>
          </w:tcPr>
          <w:p w:rsidR="00557B41" w:rsidRPr="007328FD" w:rsidRDefault="00557B41" w:rsidP="002F2793">
            <w:pPr>
              <w:spacing w:line="360" w:lineRule="auto"/>
              <w:contextualSpacing/>
              <w:jc w:val="both"/>
              <w:rPr>
                <w:rFonts w:ascii="Times New Roman" w:hAnsi="Times New Roman" w:cs="Times New Roman"/>
                <w:b/>
                <w:sz w:val="24"/>
                <w:szCs w:val="24"/>
              </w:rPr>
            </w:pPr>
          </w:p>
        </w:tc>
      </w:tr>
      <w:tr w:rsidR="00557B41" w:rsidTr="000D0847">
        <w:tc>
          <w:tcPr>
            <w:tcW w:w="3510" w:type="dxa"/>
            <w:tcBorders>
              <w:top w:val="nil"/>
              <w:left w:val="nil"/>
              <w:right w:val="nil"/>
            </w:tcBorders>
          </w:tcPr>
          <w:p w:rsidR="00557B41" w:rsidRDefault="00557B41"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Skausmas (balai)</w:t>
            </w:r>
          </w:p>
        </w:tc>
        <w:tc>
          <w:tcPr>
            <w:tcW w:w="2127" w:type="dxa"/>
            <w:tcBorders>
              <w:top w:val="nil"/>
              <w:left w:val="nil"/>
              <w:right w:val="nil"/>
            </w:tcBorders>
          </w:tcPr>
          <w:p w:rsidR="00557B41" w:rsidRDefault="00557B41"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4,00±1,8</w:t>
            </w:r>
          </w:p>
        </w:tc>
        <w:tc>
          <w:tcPr>
            <w:tcW w:w="2409" w:type="dxa"/>
            <w:tcBorders>
              <w:top w:val="nil"/>
              <w:left w:val="nil"/>
              <w:right w:val="nil"/>
            </w:tcBorders>
          </w:tcPr>
          <w:p w:rsidR="00557B41" w:rsidRDefault="00E77F4D"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1,33</w:t>
            </w:r>
            <w:r w:rsidR="00557B41">
              <w:rPr>
                <w:rFonts w:ascii="Times New Roman" w:hAnsi="Times New Roman" w:cs="Times New Roman"/>
                <w:sz w:val="24"/>
                <w:szCs w:val="24"/>
              </w:rPr>
              <w:t>±0,</w:t>
            </w:r>
            <w:r>
              <w:rPr>
                <w:rFonts w:ascii="Times New Roman" w:hAnsi="Times New Roman" w:cs="Times New Roman"/>
                <w:sz w:val="24"/>
                <w:szCs w:val="24"/>
              </w:rPr>
              <w:t>5</w:t>
            </w:r>
          </w:p>
        </w:tc>
        <w:tc>
          <w:tcPr>
            <w:tcW w:w="1808" w:type="dxa"/>
            <w:tcBorders>
              <w:top w:val="nil"/>
              <w:left w:val="nil"/>
              <w:right w:val="nil"/>
            </w:tcBorders>
          </w:tcPr>
          <w:p w:rsidR="00557B41" w:rsidRPr="00E00CE3" w:rsidRDefault="00557B41" w:rsidP="002F279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0,0</w:t>
            </w:r>
            <w:r w:rsidR="00E77F4D">
              <w:rPr>
                <w:rFonts w:ascii="Times New Roman" w:hAnsi="Times New Roman" w:cs="Times New Roman"/>
                <w:b/>
                <w:sz w:val="24"/>
                <w:szCs w:val="24"/>
              </w:rPr>
              <w:t>05</w:t>
            </w:r>
          </w:p>
        </w:tc>
      </w:tr>
      <w:tr w:rsidR="00557B41" w:rsidTr="000D0847">
        <w:tc>
          <w:tcPr>
            <w:tcW w:w="3510" w:type="dxa"/>
            <w:tcBorders>
              <w:left w:val="nil"/>
              <w:right w:val="nil"/>
            </w:tcBorders>
          </w:tcPr>
          <w:p w:rsidR="00557B41" w:rsidRDefault="00557B41"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Sustingimas (balai)</w:t>
            </w:r>
          </w:p>
        </w:tc>
        <w:tc>
          <w:tcPr>
            <w:tcW w:w="2127" w:type="dxa"/>
            <w:tcBorders>
              <w:left w:val="nil"/>
              <w:right w:val="nil"/>
            </w:tcBorders>
          </w:tcPr>
          <w:p w:rsidR="00557B41" w:rsidRDefault="00E77F4D"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4,43</w:t>
            </w:r>
            <w:r w:rsidR="00557B41">
              <w:rPr>
                <w:rFonts w:ascii="Times New Roman" w:hAnsi="Times New Roman" w:cs="Times New Roman"/>
                <w:sz w:val="24"/>
                <w:szCs w:val="24"/>
              </w:rPr>
              <w:t>±1,</w:t>
            </w:r>
            <w:r>
              <w:rPr>
                <w:rFonts w:ascii="Times New Roman" w:hAnsi="Times New Roman" w:cs="Times New Roman"/>
                <w:sz w:val="24"/>
                <w:szCs w:val="24"/>
              </w:rPr>
              <w:t>6</w:t>
            </w:r>
          </w:p>
        </w:tc>
        <w:tc>
          <w:tcPr>
            <w:tcW w:w="2409" w:type="dxa"/>
            <w:tcBorders>
              <w:left w:val="nil"/>
              <w:right w:val="nil"/>
            </w:tcBorders>
          </w:tcPr>
          <w:p w:rsidR="00557B41" w:rsidRDefault="00557B41"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w:t>
            </w:r>
            <w:r w:rsidR="00E77F4D">
              <w:rPr>
                <w:rFonts w:ascii="Times New Roman" w:hAnsi="Times New Roman" w:cs="Times New Roman"/>
                <w:sz w:val="24"/>
                <w:szCs w:val="24"/>
              </w:rPr>
              <w:t>67</w:t>
            </w:r>
            <w:r>
              <w:rPr>
                <w:rFonts w:ascii="Times New Roman" w:hAnsi="Times New Roman" w:cs="Times New Roman"/>
                <w:sz w:val="24"/>
                <w:szCs w:val="24"/>
              </w:rPr>
              <w:t>±0,</w:t>
            </w:r>
            <w:r w:rsidR="00E77F4D">
              <w:rPr>
                <w:rFonts w:ascii="Times New Roman" w:hAnsi="Times New Roman" w:cs="Times New Roman"/>
                <w:sz w:val="24"/>
                <w:szCs w:val="24"/>
              </w:rPr>
              <w:t>8</w:t>
            </w:r>
          </w:p>
        </w:tc>
        <w:tc>
          <w:tcPr>
            <w:tcW w:w="1808" w:type="dxa"/>
            <w:tcBorders>
              <w:left w:val="nil"/>
              <w:right w:val="nil"/>
            </w:tcBorders>
          </w:tcPr>
          <w:p w:rsidR="00557B41" w:rsidRPr="00E00CE3" w:rsidRDefault="00557B41" w:rsidP="002F279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0,0</w:t>
            </w:r>
            <w:r w:rsidR="00E77F4D">
              <w:rPr>
                <w:rFonts w:ascii="Times New Roman" w:hAnsi="Times New Roman" w:cs="Times New Roman"/>
                <w:b/>
                <w:sz w:val="24"/>
                <w:szCs w:val="24"/>
              </w:rPr>
              <w:t>05</w:t>
            </w:r>
          </w:p>
        </w:tc>
      </w:tr>
      <w:tr w:rsidR="00557B41" w:rsidTr="000D0847">
        <w:tc>
          <w:tcPr>
            <w:tcW w:w="3510" w:type="dxa"/>
            <w:tcBorders>
              <w:top w:val="nil"/>
              <w:left w:val="nil"/>
              <w:right w:val="nil"/>
            </w:tcBorders>
          </w:tcPr>
          <w:p w:rsidR="00557B41" w:rsidRDefault="00557B41"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Raumenų jėga (kilogramai)</w:t>
            </w:r>
          </w:p>
        </w:tc>
        <w:tc>
          <w:tcPr>
            <w:tcW w:w="2127" w:type="dxa"/>
            <w:tcBorders>
              <w:top w:val="nil"/>
              <w:left w:val="nil"/>
              <w:right w:val="nil"/>
            </w:tcBorders>
          </w:tcPr>
          <w:p w:rsidR="00557B41" w:rsidRDefault="00E77F4D"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5,57</w:t>
            </w:r>
            <w:r w:rsidR="00557B41">
              <w:rPr>
                <w:rFonts w:ascii="Times New Roman" w:hAnsi="Times New Roman" w:cs="Times New Roman"/>
                <w:sz w:val="24"/>
                <w:szCs w:val="24"/>
              </w:rPr>
              <w:t>±2,</w:t>
            </w:r>
            <w:r>
              <w:rPr>
                <w:rFonts w:ascii="Times New Roman" w:hAnsi="Times New Roman" w:cs="Times New Roman"/>
                <w:sz w:val="24"/>
                <w:szCs w:val="24"/>
              </w:rPr>
              <w:t>0</w:t>
            </w:r>
          </w:p>
        </w:tc>
        <w:tc>
          <w:tcPr>
            <w:tcW w:w="2409" w:type="dxa"/>
            <w:tcBorders>
              <w:top w:val="nil"/>
              <w:left w:val="nil"/>
              <w:right w:val="nil"/>
            </w:tcBorders>
          </w:tcPr>
          <w:p w:rsidR="00557B41" w:rsidRDefault="00E77F4D"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3,67</w:t>
            </w:r>
            <w:r w:rsidR="00557B41">
              <w:rPr>
                <w:rFonts w:ascii="Times New Roman" w:hAnsi="Times New Roman" w:cs="Times New Roman"/>
                <w:sz w:val="24"/>
                <w:szCs w:val="24"/>
              </w:rPr>
              <w:t>±</w:t>
            </w:r>
            <w:r>
              <w:rPr>
                <w:rFonts w:ascii="Times New Roman" w:hAnsi="Times New Roman" w:cs="Times New Roman"/>
                <w:sz w:val="24"/>
                <w:szCs w:val="24"/>
              </w:rPr>
              <w:t>1,6</w:t>
            </w:r>
          </w:p>
        </w:tc>
        <w:tc>
          <w:tcPr>
            <w:tcW w:w="1808" w:type="dxa"/>
            <w:tcBorders>
              <w:top w:val="nil"/>
              <w:left w:val="nil"/>
              <w:right w:val="nil"/>
            </w:tcBorders>
          </w:tcPr>
          <w:p w:rsidR="00557B41" w:rsidRPr="00E77F4D" w:rsidRDefault="00557B41" w:rsidP="002F2793">
            <w:pPr>
              <w:spacing w:line="360" w:lineRule="auto"/>
              <w:contextualSpacing/>
              <w:jc w:val="both"/>
              <w:rPr>
                <w:rFonts w:ascii="Times New Roman" w:hAnsi="Times New Roman" w:cs="Times New Roman"/>
                <w:sz w:val="24"/>
                <w:szCs w:val="24"/>
              </w:rPr>
            </w:pPr>
            <w:r w:rsidRPr="00E77F4D">
              <w:rPr>
                <w:rFonts w:ascii="Times New Roman" w:hAnsi="Times New Roman" w:cs="Times New Roman"/>
                <w:sz w:val="24"/>
                <w:szCs w:val="24"/>
              </w:rPr>
              <w:t>0,</w:t>
            </w:r>
            <w:r w:rsidR="00E77F4D" w:rsidRPr="00E77F4D">
              <w:rPr>
                <w:rFonts w:ascii="Times New Roman" w:hAnsi="Times New Roman" w:cs="Times New Roman"/>
                <w:sz w:val="24"/>
                <w:szCs w:val="24"/>
              </w:rPr>
              <w:t>101</w:t>
            </w:r>
          </w:p>
        </w:tc>
      </w:tr>
      <w:tr w:rsidR="00557B41" w:rsidTr="000D0847">
        <w:tc>
          <w:tcPr>
            <w:tcW w:w="3510" w:type="dxa"/>
            <w:tcBorders>
              <w:left w:val="nil"/>
              <w:right w:val="nil"/>
            </w:tcBorders>
          </w:tcPr>
          <w:p w:rsidR="00557B41" w:rsidRDefault="00557B41"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Plaštakos fleksija (laipsniai)</w:t>
            </w:r>
          </w:p>
        </w:tc>
        <w:tc>
          <w:tcPr>
            <w:tcW w:w="2127" w:type="dxa"/>
            <w:tcBorders>
              <w:left w:val="nil"/>
              <w:right w:val="nil"/>
            </w:tcBorders>
          </w:tcPr>
          <w:p w:rsidR="00557B41" w:rsidRDefault="00E77F4D"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15,43</w:t>
            </w:r>
            <w:r w:rsidR="00557B41">
              <w:rPr>
                <w:rFonts w:ascii="Times New Roman" w:hAnsi="Times New Roman" w:cs="Times New Roman"/>
                <w:sz w:val="24"/>
                <w:szCs w:val="24"/>
              </w:rPr>
              <w:t>±9,</w:t>
            </w:r>
            <w:r>
              <w:rPr>
                <w:rFonts w:ascii="Times New Roman" w:hAnsi="Times New Roman" w:cs="Times New Roman"/>
                <w:sz w:val="24"/>
                <w:szCs w:val="24"/>
              </w:rPr>
              <w:t>4</w:t>
            </w:r>
          </w:p>
        </w:tc>
        <w:tc>
          <w:tcPr>
            <w:tcW w:w="2409" w:type="dxa"/>
            <w:tcBorders>
              <w:left w:val="nil"/>
              <w:right w:val="nil"/>
            </w:tcBorders>
          </w:tcPr>
          <w:p w:rsidR="00557B41" w:rsidRDefault="00E77F4D"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6,00</w:t>
            </w:r>
            <w:r w:rsidR="00557B41">
              <w:rPr>
                <w:rFonts w:ascii="Times New Roman" w:hAnsi="Times New Roman" w:cs="Times New Roman"/>
                <w:sz w:val="24"/>
                <w:szCs w:val="24"/>
              </w:rPr>
              <w:t>±</w:t>
            </w:r>
            <w:r>
              <w:rPr>
                <w:rFonts w:ascii="Times New Roman" w:hAnsi="Times New Roman" w:cs="Times New Roman"/>
                <w:sz w:val="24"/>
                <w:szCs w:val="24"/>
              </w:rPr>
              <w:t>2,3</w:t>
            </w:r>
          </w:p>
        </w:tc>
        <w:tc>
          <w:tcPr>
            <w:tcW w:w="1808" w:type="dxa"/>
            <w:tcBorders>
              <w:left w:val="nil"/>
              <w:right w:val="nil"/>
            </w:tcBorders>
          </w:tcPr>
          <w:p w:rsidR="00557B41" w:rsidRPr="00EC29A8" w:rsidRDefault="00557B41" w:rsidP="002F2793">
            <w:pPr>
              <w:spacing w:line="360" w:lineRule="auto"/>
              <w:contextualSpacing/>
              <w:jc w:val="both"/>
              <w:rPr>
                <w:rFonts w:ascii="Times New Roman" w:hAnsi="Times New Roman" w:cs="Times New Roman"/>
                <w:sz w:val="24"/>
                <w:szCs w:val="24"/>
              </w:rPr>
            </w:pPr>
            <w:r w:rsidRPr="00EC29A8">
              <w:rPr>
                <w:rFonts w:ascii="Times New Roman" w:hAnsi="Times New Roman" w:cs="Times New Roman"/>
                <w:sz w:val="24"/>
                <w:szCs w:val="24"/>
              </w:rPr>
              <w:t>0,</w:t>
            </w:r>
            <w:r w:rsidR="00E77F4D">
              <w:rPr>
                <w:rFonts w:ascii="Times New Roman" w:hAnsi="Times New Roman" w:cs="Times New Roman"/>
                <w:sz w:val="24"/>
                <w:szCs w:val="24"/>
              </w:rPr>
              <w:t>051</w:t>
            </w:r>
          </w:p>
        </w:tc>
      </w:tr>
      <w:tr w:rsidR="00557B41" w:rsidTr="000D0847">
        <w:tc>
          <w:tcPr>
            <w:tcW w:w="3510" w:type="dxa"/>
            <w:tcBorders>
              <w:left w:val="nil"/>
              <w:right w:val="nil"/>
            </w:tcBorders>
          </w:tcPr>
          <w:p w:rsidR="00557B41" w:rsidRDefault="00557B41"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Plaštakos ekstenzija (laipsniai)</w:t>
            </w:r>
          </w:p>
        </w:tc>
        <w:tc>
          <w:tcPr>
            <w:tcW w:w="2127" w:type="dxa"/>
            <w:tcBorders>
              <w:left w:val="nil"/>
              <w:right w:val="nil"/>
            </w:tcBorders>
          </w:tcPr>
          <w:p w:rsidR="00557B41" w:rsidRDefault="00E77F4D"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13,00</w:t>
            </w:r>
            <w:r w:rsidR="00557B41">
              <w:rPr>
                <w:rFonts w:ascii="Times New Roman" w:hAnsi="Times New Roman" w:cs="Times New Roman"/>
                <w:sz w:val="24"/>
                <w:szCs w:val="24"/>
              </w:rPr>
              <w:t>±</w:t>
            </w:r>
            <w:r>
              <w:rPr>
                <w:rFonts w:ascii="Times New Roman" w:hAnsi="Times New Roman" w:cs="Times New Roman"/>
                <w:sz w:val="24"/>
                <w:szCs w:val="24"/>
              </w:rPr>
              <w:t>6,2</w:t>
            </w:r>
          </w:p>
        </w:tc>
        <w:tc>
          <w:tcPr>
            <w:tcW w:w="2409" w:type="dxa"/>
            <w:tcBorders>
              <w:left w:val="nil"/>
              <w:right w:val="nil"/>
            </w:tcBorders>
          </w:tcPr>
          <w:p w:rsidR="00557B41" w:rsidRDefault="00E77F4D"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5,83</w:t>
            </w:r>
            <w:r w:rsidR="00557B41">
              <w:rPr>
                <w:rFonts w:ascii="Times New Roman" w:hAnsi="Times New Roman" w:cs="Times New Roman"/>
                <w:sz w:val="24"/>
                <w:szCs w:val="24"/>
              </w:rPr>
              <w:t>±2,</w:t>
            </w:r>
            <w:r>
              <w:rPr>
                <w:rFonts w:ascii="Times New Roman" w:hAnsi="Times New Roman" w:cs="Times New Roman"/>
                <w:sz w:val="24"/>
                <w:szCs w:val="24"/>
              </w:rPr>
              <w:t>8</w:t>
            </w:r>
          </w:p>
        </w:tc>
        <w:tc>
          <w:tcPr>
            <w:tcW w:w="1808" w:type="dxa"/>
            <w:tcBorders>
              <w:left w:val="nil"/>
              <w:right w:val="nil"/>
            </w:tcBorders>
          </w:tcPr>
          <w:p w:rsidR="00557B41" w:rsidRPr="00EC29A8" w:rsidRDefault="00557B41" w:rsidP="002F2793">
            <w:pPr>
              <w:spacing w:line="360" w:lineRule="auto"/>
              <w:contextualSpacing/>
              <w:jc w:val="both"/>
              <w:rPr>
                <w:rFonts w:ascii="Times New Roman" w:hAnsi="Times New Roman" w:cs="Times New Roman"/>
                <w:sz w:val="24"/>
                <w:szCs w:val="24"/>
              </w:rPr>
            </w:pPr>
            <w:r w:rsidRPr="00EC29A8">
              <w:rPr>
                <w:rFonts w:ascii="Times New Roman" w:hAnsi="Times New Roman" w:cs="Times New Roman"/>
                <w:sz w:val="24"/>
                <w:szCs w:val="24"/>
              </w:rPr>
              <w:t>0,</w:t>
            </w:r>
            <w:r w:rsidR="00E77F4D">
              <w:rPr>
                <w:rFonts w:ascii="Times New Roman" w:hAnsi="Times New Roman" w:cs="Times New Roman"/>
                <w:sz w:val="24"/>
                <w:szCs w:val="24"/>
              </w:rPr>
              <w:t>051</w:t>
            </w:r>
          </w:p>
        </w:tc>
      </w:tr>
      <w:tr w:rsidR="00557B41" w:rsidTr="000D0847">
        <w:tc>
          <w:tcPr>
            <w:tcW w:w="3510" w:type="dxa"/>
            <w:tcBorders>
              <w:left w:val="nil"/>
              <w:right w:val="nil"/>
            </w:tcBorders>
          </w:tcPr>
          <w:p w:rsidR="00557B41" w:rsidRDefault="00557B41"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Ulnarinė deviacija (laipsniai)</w:t>
            </w:r>
          </w:p>
        </w:tc>
        <w:tc>
          <w:tcPr>
            <w:tcW w:w="2127" w:type="dxa"/>
            <w:tcBorders>
              <w:left w:val="nil"/>
              <w:right w:val="nil"/>
            </w:tcBorders>
          </w:tcPr>
          <w:p w:rsidR="00557B41" w:rsidRDefault="00E77F4D"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3,71</w:t>
            </w:r>
            <w:r w:rsidR="00557B41">
              <w:rPr>
                <w:rFonts w:ascii="Times New Roman" w:hAnsi="Times New Roman" w:cs="Times New Roman"/>
                <w:sz w:val="24"/>
                <w:szCs w:val="24"/>
              </w:rPr>
              <w:t>±</w:t>
            </w:r>
            <w:r>
              <w:rPr>
                <w:rFonts w:ascii="Times New Roman" w:hAnsi="Times New Roman" w:cs="Times New Roman"/>
                <w:sz w:val="24"/>
                <w:szCs w:val="24"/>
              </w:rPr>
              <w:t>1,4</w:t>
            </w:r>
          </w:p>
        </w:tc>
        <w:tc>
          <w:tcPr>
            <w:tcW w:w="2409" w:type="dxa"/>
            <w:tcBorders>
              <w:left w:val="nil"/>
              <w:right w:val="nil"/>
            </w:tcBorders>
          </w:tcPr>
          <w:p w:rsidR="00557B41" w:rsidRDefault="00E77F4D"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3,00</w:t>
            </w:r>
            <w:r w:rsidR="00557B41">
              <w:rPr>
                <w:rFonts w:ascii="Times New Roman" w:hAnsi="Times New Roman" w:cs="Times New Roman"/>
                <w:sz w:val="24"/>
                <w:szCs w:val="24"/>
              </w:rPr>
              <w:t>±1,</w:t>
            </w:r>
            <w:r>
              <w:rPr>
                <w:rFonts w:ascii="Times New Roman" w:hAnsi="Times New Roman" w:cs="Times New Roman"/>
                <w:sz w:val="24"/>
                <w:szCs w:val="24"/>
              </w:rPr>
              <w:t>0</w:t>
            </w:r>
          </w:p>
        </w:tc>
        <w:tc>
          <w:tcPr>
            <w:tcW w:w="1808" w:type="dxa"/>
            <w:tcBorders>
              <w:left w:val="nil"/>
              <w:right w:val="nil"/>
            </w:tcBorders>
          </w:tcPr>
          <w:p w:rsidR="00557B41" w:rsidRPr="00A747EA" w:rsidRDefault="00557B41" w:rsidP="002F2793">
            <w:pPr>
              <w:spacing w:line="360" w:lineRule="auto"/>
              <w:contextualSpacing/>
              <w:jc w:val="both"/>
              <w:rPr>
                <w:rFonts w:ascii="Times New Roman" w:hAnsi="Times New Roman" w:cs="Times New Roman"/>
                <w:sz w:val="24"/>
                <w:szCs w:val="24"/>
              </w:rPr>
            </w:pPr>
            <w:r w:rsidRPr="00A747EA">
              <w:rPr>
                <w:rFonts w:ascii="Times New Roman" w:hAnsi="Times New Roman" w:cs="Times New Roman"/>
                <w:sz w:val="24"/>
                <w:szCs w:val="24"/>
              </w:rPr>
              <w:t>0</w:t>
            </w:r>
            <w:r>
              <w:rPr>
                <w:rFonts w:ascii="Times New Roman" w:hAnsi="Times New Roman" w:cs="Times New Roman"/>
                <w:sz w:val="24"/>
                <w:szCs w:val="24"/>
              </w:rPr>
              <w:t>,</w:t>
            </w:r>
            <w:r w:rsidR="00E77F4D">
              <w:rPr>
                <w:rFonts w:ascii="Times New Roman" w:hAnsi="Times New Roman" w:cs="Times New Roman"/>
                <w:sz w:val="24"/>
                <w:szCs w:val="24"/>
              </w:rPr>
              <w:t>445</w:t>
            </w:r>
          </w:p>
        </w:tc>
      </w:tr>
      <w:tr w:rsidR="00557B41" w:rsidTr="000D0847">
        <w:tc>
          <w:tcPr>
            <w:tcW w:w="3510" w:type="dxa"/>
            <w:tcBorders>
              <w:left w:val="nil"/>
              <w:right w:val="nil"/>
            </w:tcBorders>
          </w:tcPr>
          <w:p w:rsidR="00557B41" w:rsidRDefault="00557B41"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Radialinė deviacija (laipsniai)</w:t>
            </w:r>
          </w:p>
        </w:tc>
        <w:tc>
          <w:tcPr>
            <w:tcW w:w="2127" w:type="dxa"/>
            <w:tcBorders>
              <w:left w:val="nil"/>
              <w:right w:val="nil"/>
            </w:tcBorders>
          </w:tcPr>
          <w:p w:rsidR="00557B41" w:rsidRDefault="00E77F4D"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4,43</w:t>
            </w:r>
            <w:r w:rsidR="00557B41">
              <w:rPr>
                <w:rFonts w:ascii="Times New Roman" w:hAnsi="Times New Roman" w:cs="Times New Roman"/>
                <w:sz w:val="24"/>
                <w:szCs w:val="24"/>
              </w:rPr>
              <w:t>±2,</w:t>
            </w:r>
            <w:r>
              <w:rPr>
                <w:rFonts w:ascii="Times New Roman" w:hAnsi="Times New Roman" w:cs="Times New Roman"/>
                <w:sz w:val="24"/>
                <w:szCs w:val="24"/>
              </w:rPr>
              <w:t>1</w:t>
            </w:r>
          </w:p>
        </w:tc>
        <w:tc>
          <w:tcPr>
            <w:tcW w:w="2409" w:type="dxa"/>
            <w:tcBorders>
              <w:left w:val="nil"/>
              <w:right w:val="nil"/>
            </w:tcBorders>
          </w:tcPr>
          <w:p w:rsidR="00557B41" w:rsidRDefault="00E77F4D"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3,17</w:t>
            </w:r>
            <w:r w:rsidR="00557B41">
              <w:rPr>
                <w:rFonts w:ascii="Times New Roman" w:hAnsi="Times New Roman" w:cs="Times New Roman"/>
                <w:sz w:val="24"/>
                <w:szCs w:val="24"/>
              </w:rPr>
              <w:t>±1,</w:t>
            </w:r>
            <w:r>
              <w:rPr>
                <w:rFonts w:ascii="Times New Roman" w:hAnsi="Times New Roman" w:cs="Times New Roman"/>
                <w:sz w:val="24"/>
                <w:szCs w:val="24"/>
              </w:rPr>
              <w:t>4</w:t>
            </w:r>
          </w:p>
        </w:tc>
        <w:tc>
          <w:tcPr>
            <w:tcW w:w="1808" w:type="dxa"/>
            <w:tcBorders>
              <w:left w:val="nil"/>
              <w:right w:val="nil"/>
            </w:tcBorders>
          </w:tcPr>
          <w:p w:rsidR="00557B41" w:rsidRPr="00A747EA" w:rsidRDefault="00557B41" w:rsidP="002F2793">
            <w:pPr>
              <w:spacing w:line="360" w:lineRule="auto"/>
              <w:contextualSpacing/>
              <w:jc w:val="both"/>
              <w:rPr>
                <w:rFonts w:ascii="Times New Roman" w:hAnsi="Times New Roman" w:cs="Times New Roman"/>
                <w:sz w:val="24"/>
                <w:szCs w:val="24"/>
              </w:rPr>
            </w:pPr>
            <w:r w:rsidRPr="00A747EA">
              <w:rPr>
                <w:rFonts w:ascii="Times New Roman" w:hAnsi="Times New Roman" w:cs="Times New Roman"/>
                <w:sz w:val="24"/>
                <w:szCs w:val="24"/>
              </w:rPr>
              <w:t>0,</w:t>
            </w:r>
            <w:r w:rsidR="00E77F4D">
              <w:rPr>
                <w:rFonts w:ascii="Times New Roman" w:hAnsi="Times New Roman" w:cs="Times New Roman"/>
                <w:sz w:val="24"/>
                <w:szCs w:val="24"/>
              </w:rPr>
              <w:t>731</w:t>
            </w:r>
          </w:p>
        </w:tc>
      </w:tr>
      <w:tr w:rsidR="00557B41" w:rsidTr="000D0847">
        <w:tc>
          <w:tcPr>
            <w:tcW w:w="3510" w:type="dxa"/>
            <w:tcBorders>
              <w:left w:val="nil"/>
              <w:right w:val="nil"/>
            </w:tcBorders>
          </w:tcPr>
          <w:p w:rsidR="00557B41" w:rsidRDefault="00557B41"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Keitelio indeksas (balai)</w:t>
            </w:r>
          </w:p>
        </w:tc>
        <w:tc>
          <w:tcPr>
            <w:tcW w:w="2127" w:type="dxa"/>
            <w:tcBorders>
              <w:left w:val="nil"/>
              <w:right w:val="nil"/>
            </w:tcBorders>
          </w:tcPr>
          <w:p w:rsidR="00557B41" w:rsidRDefault="00557B41"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4,</w:t>
            </w:r>
            <w:r w:rsidR="00E77F4D">
              <w:rPr>
                <w:rFonts w:ascii="Times New Roman" w:hAnsi="Times New Roman" w:cs="Times New Roman"/>
                <w:sz w:val="24"/>
                <w:szCs w:val="24"/>
              </w:rPr>
              <w:t>8</w:t>
            </w:r>
            <w:r>
              <w:rPr>
                <w:rFonts w:ascii="Times New Roman" w:hAnsi="Times New Roman" w:cs="Times New Roman"/>
                <w:sz w:val="24"/>
                <w:szCs w:val="24"/>
              </w:rPr>
              <w:t>3±1,</w:t>
            </w:r>
            <w:r w:rsidR="00E77F4D">
              <w:rPr>
                <w:rFonts w:ascii="Times New Roman" w:hAnsi="Times New Roman" w:cs="Times New Roman"/>
                <w:sz w:val="24"/>
                <w:szCs w:val="24"/>
              </w:rPr>
              <w:t>3</w:t>
            </w:r>
          </w:p>
        </w:tc>
        <w:tc>
          <w:tcPr>
            <w:tcW w:w="2409" w:type="dxa"/>
            <w:tcBorders>
              <w:left w:val="nil"/>
              <w:right w:val="nil"/>
            </w:tcBorders>
          </w:tcPr>
          <w:p w:rsidR="00557B41" w:rsidRDefault="00557B41"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2,83±1,</w:t>
            </w:r>
            <w:r w:rsidR="00E77F4D">
              <w:rPr>
                <w:rFonts w:ascii="Times New Roman" w:hAnsi="Times New Roman" w:cs="Times New Roman"/>
                <w:sz w:val="24"/>
                <w:szCs w:val="24"/>
              </w:rPr>
              <w:t>4</w:t>
            </w:r>
          </w:p>
        </w:tc>
        <w:tc>
          <w:tcPr>
            <w:tcW w:w="1808" w:type="dxa"/>
            <w:tcBorders>
              <w:left w:val="nil"/>
              <w:right w:val="nil"/>
            </w:tcBorders>
          </w:tcPr>
          <w:p w:rsidR="00557B41" w:rsidRPr="00E77F4D" w:rsidRDefault="00557B41" w:rsidP="002F2793">
            <w:pPr>
              <w:spacing w:line="360" w:lineRule="auto"/>
              <w:contextualSpacing/>
              <w:jc w:val="both"/>
              <w:rPr>
                <w:rFonts w:ascii="Times New Roman" w:hAnsi="Times New Roman" w:cs="Times New Roman"/>
                <w:b/>
                <w:sz w:val="24"/>
                <w:szCs w:val="24"/>
              </w:rPr>
            </w:pPr>
            <w:r w:rsidRPr="00E77F4D">
              <w:rPr>
                <w:rFonts w:ascii="Times New Roman" w:hAnsi="Times New Roman" w:cs="Times New Roman"/>
                <w:b/>
                <w:sz w:val="24"/>
                <w:szCs w:val="24"/>
              </w:rPr>
              <w:t>0,</w:t>
            </w:r>
            <w:r w:rsidR="00E77F4D" w:rsidRPr="00E77F4D">
              <w:rPr>
                <w:rFonts w:ascii="Times New Roman" w:hAnsi="Times New Roman" w:cs="Times New Roman"/>
                <w:b/>
                <w:sz w:val="24"/>
                <w:szCs w:val="24"/>
              </w:rPr>
              <w:t>035</w:t>
            </w:r>
          </w:p>
        </w:tc>
      </w:tr>
    </w:tbl>
    <w:p w:rsidR="00557B41" w:rsidRDefault="00557B41" w:rsidP="002F2793">
      <w:pPr>
        <w:spacing w:after="0" w:line="360" w:lineRule="auto"/>
        <w:contextualSpacing/>
        <w:jc w:val="both"/>
        <w:rPr>
          <w:rFonts w:ascii="Times New Roman" w:hAnsi="Times New Roman" w:cs="Times New Roman"/>
          <w:b/>
          <w:sz w:val="24"/>
          <w:szCs w:val="24"/>
        </w:rPr>
      </w:pPr>
    </w:p>
    <w:p w:rsidR="00E77F4D" w:rsidRDefault="00B12910" w:rsidP="00730367">
      <w:pPr>
        <w:spacing w:after="0" w:line="360" w:lineRule="auto"/>
        <w:ind w:firstLine="851"/>
        <w:contextualSpacing/>
        <w:jc w:val="both"/>
        <w:rPr>
          <w:rFonts w:ascii="Times New Roman" w:hAnsi="Times New Roman" w:cs="Times New Roman"/>
          <w:sz w:val="24"/>
          <w:szCs w:val="24"/>
        </w:rPr>
      </w:pPr>
      <w:r w:rsidRPr="00B70E8E">
        <w:rPr>
          <w:rFonts w:ascii="Times New Roman" w:hAnsi="Times New Roman" w:cs="Times New Roman"/>
          <w:sz w:val="24"/>
          <w:szCs w:val="24"/>
        </w:rPr>
        <w:t xml:space="preserve">Elektrostimuliacija, kaip ir dauguma </w:t>
      </w:r>
      <w:r>
        <w:rPr>
          <w:rFonts w:ascii="Times New Roman" w:hAnsi="Times New Roman" w:cs="Times New Roman"/>
          <w:sz w:val="24"/>
          <w:szCs w:val="24"/>
        </w:rPr>
        <w:t>kitų papildomų reabilitacijos procedūrų, taikytų kartu su ergoterapija, statistiškai reikšmingai padidino skausmo ir raumenų sustingimo vertinimo rodiklių pokyčius tiriamojoje grupėje (p&lt;0,05). Taip pat nustatytas ir statistiškai reikšmingai didesnis plaštakos fleksijos ir ekstenzijos pokytis bei Keitelio indekso pokytis tiriamojoje grupėje, palyginus su kontroline (p&lt;0,05)(10 lentelė).</w:t>
      </w:r>
    </w:p>
    <w:p w:rsidR="00D402E9" w:rsidRDefault="00B22E97" w:rsidP="002F2793">
      <w:pPr>
        <w:spacing w:after="0" w:line="360" w:lineRule="auto"/>
        <w:ind w:firstLine="1296"/>
        <w:contextualSpacing/>
        <w:jc w:val="both"/>
        <w:rPr>
          <w:rFonts w:ascii="Times New Roman" w:hAnsi="Times New Roman" w:cs="Times New Roman"/>
          <w:b/>
          <w:sz w:val="24"/>
          <w:szCs w:val="24"/>
        </w:rPr>
      </w:pPr>
      <w:r>
        <w:rPr>
          <w:rFonts w:ascii="Times New Roman" w:hAnsi="Times New Roman" w:cs="Times New Roman"/>
          <w:b/>
          <w:sz w:val="24"/>
          <w:szCs w:val="24"/>
        </w:rPr>
        <w:br w:type="page"/>
      </w:r>
    </w:p>
    <w:p w:rsidR="00B12910" w:rsidRPr="000B3F85" w:rsidRDefault="00B12910" w:rsidP="002F2793">
      <w:pPr>
        <w:spacing w:after="0" w:line="360" w:lineRule="auto"/>
        <w:contextualSpacing/>
        <w:jc w:val="center"/>
        <w:rPr>
          <w:rFonts w:ascii="Times New Roman" w:hAnsi="Times New Roman" w:cs="Times New Roman"/>
          <w:sz w:val="24"/>
          <w:szCs w:val="24"/>
        </w:rPr>
      </w:pPr>
      <w:r>
        <w:rPr>
          <w:rFonts w:ascii="Times New Roman" w:hAnsi="Times New Roman" w:cs="Times New Roman"/>
          <w:b/>
          <w:i/>
          <w:sz w:val="24"/>
          <w:szCs w:val="24"/>
        </w:rPr>
        <w:lastRenderedPageBreak/>
        <w:t>9</w:t>
      </w:r>
      <w:r w:rsidRPr="004413E7">
        <w:rPr>
          <w:rFonts w:ascii="Times New Roman" w:hAnsi="Times New Roman" w:cs="Times New Roman"/>
          <w:b/>
          <w:i/>
          <w:sz w:val="24"/>
          <w:szCs w:val="24"/>
        </w:rPr>
        <w:t xml:space="preserve"> lentelė. </w:t>
      </w:r>
      <w:r w:rsidRPr="0002182D">
        <w:rPr>
          <w:rFonts w:ascii="Times New Roman" w:hAnsi="Times New Roman" w:cs="Times New Roman"/>
          <w:b/>
          <w:i/>
          <w:sz w:val="24"/>
          <w:szCs w:val="24"/>
        </w:rPr>
        <w:t>Rankos funkcijos ir</w:t>
      </w:r>
      <w:r>
        <w:rPr>
          <w:rFonts w:ascii="Times New Roman" w:hAnsi="Times New Roman" w:cs="Times New Roman"/>
          <w:b/>
          <w:i/>
          <w:sz w:val="24"/>
          <w:szCs w:val="24"/>
        </w:rPr>
        <w:t xml:space="preserve"> savarankiškumo vertinimo parametrų pokyč</w:t>
      </w:r>
      <w:r w:rsidRPr="0002182D">
        <w:rPr>
          <w:rFonts w:ascii="Times New Roman" w:hAnsi="Times New Roman" w:cs="Times New Roman"/>
          <w:b/>
          <w:i/>
          <w:sz w:val="24"/>
          <w:szCs w:val="24"/>
        </w:rPr>
        <w:t xml:space="preserve">ių po ergoterapijos </w:t>
      </w:r>
      <w:r>
        <w:rPr>
          <w:rFonts w:ascii="Times New Roman" w:hAnsi="Times New Roman" w:cs="Times New Roman"/>
          <w:b/>
          <w:i/>
          <w:sz w:val="24"/>
          <w:szCs w:val="24"/>
        </w:rPr>
        <w:t>ir elektrostimuliacijos procedūrų palyginimas</w:t>
      </w:r>
    </w:p>
    <w:tbl>
      <w:tblPr>
        <w:tblStyle w:val="Lentelstinklelis"/>
        <w:tblW w:w="0" w:type="auto"/>
        <w:tblLook w:val="04A0" w:firstRow="1" w:lastRow="0" w:firstColumn="1" w:lastColumn="0" w:noHBand="0" w:noVBand="1"/>
      </w:tblPr>
      <w:tblGrid>
        <w:gridCol w:w="3510"/>
        <w:gridCol w:w="2127"/>
        <w:gridCol w:w="2409"/>
        <w:gridCol w:w="1808"/>
      </w:tblGrid>
      <w:tr w:rsidR="00E77F4D" w:rsidTr="000D0847">
        <w:tc>
          <w:tcPr>
            <w:tcW w:w="3510" w:type="dxa"/>
            <w:vMerge w:val="restart"/>
            <w:tcBorders>
              <w:left w:val="nil"/>
              <w:right w:val="nil"/>
            </w:tcBorders>
            <w:shd w:val="clear" w:color="auto" w:fill="E6E6E6" w:themeFill="background1" w:themeFillShade="E6"/>
          </w:tcPr>
          <w:p w:rsidR="00E77F4D" w:rsidRDefault="00E77F4D" w:rsidP="002F279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Vertinimo pokyčiai </w:t>
            </w:r>
          </w:p>
          <w:p w:rsidR="00E77F4D" w:rsidRDefault="00E77F4D" w:rsidP="002F279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m±sn</w:t>
            </w:r>
          </w:p>
        </w:tc>
        <w:tc>
          <w:tcPr>
            <w:tcW w:w="4536" w:type="dxa"/>
            <w:gridSpan w:val="2"/>
            <w:tcBorders>
              <w:left w:val="nil"/>
              <w:right w:val="nil"/>
            </w:tcBorders>
            <w:shd w:val="clear" w:color="auto" w:fill="E6E6E6" w:themeFill="background1" w:themeFillShade="E6"/>
          </w:tcPr>
          <w:p w:rsidR="00E77F4D" w:rsidRPr="007328FD" w:rsidRDefault="00E77F4D" w:rsidP="002F279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 xml:space="preserve">Taikyta elektrostimuliacija </w:t>
            </w:r>
          </w:p>
        </w:tc>
        <w:tc>
          <w:tcPr>
            <w:tcW w:w="1808" w:type="dxa"/>
            <w:vMerge w:val="restart"/>
            <w:tcBorders>
              <w:left w:val="nil"/>
              <w:right w:val="nil"/>
            </w:tcBorders>
            <w:shd w:val="clear" w:color="auto" w:fill="E6E6E6" w:themeFill="background1" w:themeFillShade="E6"/>
          </w:tcPr>
          <w:p w:rsidR="00E77F4D" w:rsidRDefault="00E77F4D" w:rsidP="002F2793">
            <w:pPr>
              <w:spacing w:line="360" w:lineRule="auto"/>
              <w:contextualSpacing/>
              <w:jc w:val="both"/>
              <w:rPr>
                <w:rFonts w:ascii="Times New Roman" w:hAnsi="Times New Roman" w:cs="Times New Roman"/>
                <w:b/>
                <w:sz w:val="24"/>
                <w:szCs w:val="24"/>
              </w:rPr>
            </w:pPr>
          </w:p>
          <w:p w:rsidR="00E77F4D" w:rsidRDefault="00E77F4D" w:rsidP="002F279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p</w:t>
            </w:r>
          </w:p>
        </w:tc>
      </w:tr>
      <w:tr w:rsidR="00E77F4D" w:rsidTr="000D0847">
        <w:tc>
          <w:tcPr>
            <w:tcW w:w="3510" w:type="dxa"/>
            <w:vMerge/>
            <w:tcBorders>
              <w:left w:val="nil"/>
              <w:right w:val="nil"/>
            </w:tcBorders>
            <w:shd w:val="clear" w:color="auto" w:fill="E6E6E6" w:themeFill="background1" w:themeFillShade="E6"/>
          </w:tcPr>
          <w:p w:rsidR="00E77F4D" w:rsidRPr="007328FD" w:rsidRDefault="00E77F4D" w:rsidP="002F2793">
            <w:pPr>
              <w:spacing w:line="360" w:lineRule="auto"/>
              <w:contextualSpacing/>
              <w:jc w:val="both"/>
              <w:rPr>
                <w:rFonts w:ascii="Times New Roman" w:hAnsi="Times New Roman" w:cs="Times New Roman"/>
                <w:b/>
                <w:sz w:val="24"/>
                <w:szCs w:val="24"/>
              </w:rPr>
            </w:pPr>
          </w:p>
        </w:tc>
        <w:tc>
          <w:tcPr>
            <w:tcW w:w="2127" w:type="dxa"/>
            <w:tcBorders>
              <w:left w:val="nil"/>
              <w:right w:val="nil"/>
            </w:tcBorders>
            <w:shd w:val="clear" w:color="auto" w:fill="E6E6E6" w:themeFill="background1" w:themeFillShade="E6"/>
          </w:tcPr>
          <w:p w:rsidR="00E77F4D" w:rsidRPr="007328FD" w:rsidRDefault="00E77F4D" w:rsidP="002F2793">
            <w:pPr>
              <w:spacing w:line="360" w:lineRule="auto"/>
              <w:contextualSpacing/>
              <w:jc w:val="both"/>
              <w:rPr>
                <w:rFonts w:ascii="Times New Roman" w:hAnsi="Times New Roman" w:cs="Times New Roman"/>
                <w:b/>
                <w:sz w:val="24"/>
                <w:szCs w:val="24"/>
              </w:rPr>
            </w:pPr>
            <w:r w:rsidRPr="007328FD">
              <w:rPr>
                <w:rFonts w:ascii="Times New Roman" w:hAnsi="Times New Roman" w:cs="Times New Roman"/>
                <w:b/>
                <w:sz w:val="24"/>
                <w:szCs w:val="24"/>
              </w:rPr>
              <w:t>Tiriamoji grupė (n=</w:t>
            </w:r>
            <w:r>
              <w:rPr>
                <w:rFonts w:ascii="Times New Roman" w:hAnsi="Times New Roman" w:cs="Times New Roman"/>
                <w:b/>
                <w:sz w:val="24"/>
                <w:szCs w:val="24"/>
              </w:rPr>
              <w:t>5</w:t>
            </w:r>
            <w:r w:rsidRPr="007328FD">
              <w:rPr>
                <w:rFonts w:ascii="Times New Roman" w:hAnsi="Times New Roman" w:cs="Times New Roman"/>
                <w:b/>
                <w:sz w:val="24"/>
                <w:szCs w:val="24"/>
              </w:rPr>
              <w:t>)</w:t>
            </w:r>
          </w:p>
        </w:tc>
        <w:tc>
          <w:tcPr>
            <w:tcW w:w="2409" w:type="dxa"/>
            <w:tcBorders>
              <w:left w:val="nil"/>
              <w:right w:val="nil"/>
            </w:tcBorders>
            <w:shd w:val="clear" w:color="auto" w:fill="E6E6E6" w:themeFill="background1" w:themeFillShade="E6"/>
          </w:tcPr>
          <w:p w:rsidR="00E77F4D" w:rsidRPr="007328FD" w:rsidRDefault="00E77F4D" w:rsidP="002F279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Kontrolinė grupė (n=7</w:t>
            </w:r>
            <w:r w:rsidRPr="007328FD">
              <w:rPr>
                <w:rFonts w:ascii="Times New Roman" w:hAnsi="Times New Roman" w:cs="Times New Roman"/>
                <w:b/>
                <w:sz w:val="24"/>
                <w:szCs w:val="24"/>
              </w:rPr>
              <w:t>)</w:t>
            </w:r>
          </w:p>
        </w:tc>
        <w:tc>
          <w:tcPr>
            <w:tcW w:w="1808" w:type="dxa"/>
            <w:vMerge/>
            <w:tcBorders>
              <w:left w:val="nil"/>
              <w:right w:val="nil"/>
            </w:tcBorders>
            <w:shd w:val="clear" w:color="auto" w:fill="E6E6E6" w:themeFill="background1" w:themeFillShade="E6"/>
          </w:tcPr>
          <w:p w:rsidR="00E77F4D" w:rsidRPr="007328FD" w:rsidRDefault="00E77F4D" w:rsidP="002F2793">
            <w:pPr>
              <w:spacing w:line="360" w:lineRule="auto"/>
              <w:contextualSpacing/>
              <w:jc w:val="both"/>
              <w:rPr>
                <w:rFonts w:ascii="Times New Roman" w:hAnsi="Times New Roman" w:cs="Times New Roman"/>
                <w:b/>
                <w:sz w:val="24"/>
                <w:szCs w:val="24"/>
              </w:rPr>
            </w:pPr>
          </w:p>
        </w:tc>
      </w:tr>
      <w:tr w:rsidR="00E77F4D" w:rsidTr="000D0847">
        <w:tc>
          <w:tcPr>
            <w:tcW w:w="3510" w:type="dxa"/>
            <w:tcBorders>
              <w:top w:val="nil"/>
              <w:left w:val="nil"/>
              <w:right w:val="nil"/>
            </w:tcBorders>
          </w:tcPr>
          <w:p w:rsidR="00E77F4D" w:rsidRDefault="00E77F4D"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Skausmas (balai)</w:t>
            </w:r>
          </w:p>
        </w:tc>
        <w:tc>
          <w:tcPr>
            <w:tcW w:w="2127" w:type="dxa"/>
            <w:tcBorders>
              <w:top w:val="nil"/>
              <w:left w:val="nil"/>
              <w:right w:val="nil"/>
            </w:tcBorders>
          </w:tcPr>
          <w:p w:rsidR="00E77F4D" w:rsidRDefault="00F46A36"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3,60</w:t>
            </w:r>
            <w:r w:rsidR="00E77F4D">
              <w:rPr>
                <w:rFonts w:ascii="Times New Roman" w:hAnsi="Times New Roman" w:cs="Times New Roman"/>
                <w:sz w:val="24"/>
                <w:szCs w:val="24"/>
              </w:rPr>
              <w:t>±1,</w:t>
            </w:r>
            <w:r>
              <w:rPr>
                <w:rFonts w:ascii="Times New Roman" w:hAnsi="Times New Roman" w:cs="Times New Roman"/>
                <w:sz w:val="24"/>
                <w:szCs w:val="24"/>
              </w:rPr>
              <w:t>5</w:t>
            </w:r>
          </w:p>
        </w:tc>
        <w:tc>
          <w:tcPr>
            <w:tcW w:w="2409" w:type="dxa"/>
            <w:tcBorders>
              <w:top w:val="nil"/>
              <w:left w:val="nil"/>
              <w:right w:val="nil"/>
            </w:tcBorders>
          </w:tcPr>
          <w:p w:rsidR="00E77F4D" w:rsidRDefault="00E77F4D"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w:t>
            </w:r>
            <w:r w:rsidR="00F46A36">
              <w:rPr>
                <w:rFonts w:ascii="Times New Roman" w:hAnsi="Times New Roman" w:cs="Times New Roman"/>
                <w:sz w:val="24"/>
                <w:szCs w:val="24"/>
              </w:rPr>
              <w:t>00</w:t>
            </w:r>
            <w:r>
              <w:rPr>
                <w:rFonts w:ascii="Times New Roman" w:hAnsi="Times New Roman" w:cs="Times New Roman"/>
                <w:sz w:val="24"/>
                <w:szCs w:val="24"/>
              </w:rPr>
              <w:t>±0,5</w:t>
            </w:r>
          </w:p>
        </w:tc>
        <w:tc>
          <w:tcPr>
            <w:tcW w:w="1808" w:type="dxa"/>
            <w:tcBorders>
              <w:top w:val="nil"/>
              <w:left w:val="nil"/>
              <w:right w:val="nil"/>
            </w:tcBorders>
          </w:tcPr>
          <w:p w:rsidR="00E77F4D" w:rsidRPr="00E00CE3" w:rsidRDefault="00E77F4D" w:rsidP="002F279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0,005</w:t>
            </w:r>
          </w:p>
        </w:tc>
      </w:tr>
      <w:tr w:rsidR="00E77F4D" w:rsidTr="000D0847">
        <w:tc>
          <w:tcPr>
            <w:tcW w:w="3510" w:type="dxa"/>
            <w:tcBorders>
              <w:left w:val="nil"/>
              <w:right w:val="nil"/>
            </w:tcBorders>
          </w:tcPr>
          <w:p w:rsidR="00E77F4D" w:rsidRDefault="00E77F4D"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Sustingimas (balai)</w:t>
            </w:r>
          </w:p>
        </w:tc>
        <w:tc>
          <w:tcPr>
            <w:tcW w:w="2127" w:type="dxa"/>
            <w:tcBorders>
              <w:left w:val="nil"/>
              <w:right w:val="nil"/>
            </w:tcBorders>
          </w:tcPr>
          <w:p w:rsidR="00E77F4D" w:rsidRDefault="00E77F4D"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4,</w:t>
            </w:r>
            <w:r w:rsidR="00F46A36">
              <w:rPr>
                <w:rFonts w:ascii="Times New Roman" w:hAnsi="Times New Roman" w:cs="Times New Roman"/>
                <w:sz w:val="24"/>
                <w:szCs w:val="24"/>
              </w:rPr>
              <w:t>20</w:t>
            </w:r>
            <w:r>
              <w:rPr>
                <w:rFonts w:ascii="Times New Roman" w:hAnsi="Times New Roman" w:cs="Times New Roman"/>
                <w:sz w:val="24"/>
                <w:szCs w:val="24"/>
              </w:rPr>
              <w:t>±1,</w:t>
            </w:r>
            <w:r w:rsidR="00F46A36">
              <w:rPr>
                <w:rFonts w:ascii="Times New Roman" w:hAnsi="Times New Roman" w:cs="Times New Roman"/>
                <w:sz w:val="24"/>
                <w:szCs w:val="24"/>
              </w:rPr>
              <w:t>0</w:t>
            </w:r>
          </w:p>
        </w:tc>
        <w:tc>
          <w:tcPr>
            <w:tcW w:w="2409" w:type="dxa"/>
            <w:tcBorders>
              <w:left w:val="nil"/>
              <w:right w:val="nil"/>
            </w:tcBorders>
          </w:tcPr>
          <w:p w:rsidR="00E77F4D" w:rsidRDefault="00E77F4D"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w:t>
            </w:r>
            <w:r w:rsidR="00F46A36">
              <w:rPr>
                <w:rFonts w:ascii="Times New Roman" w:hAnsi="Times New Roman" w:cs="Times New Roman"/>
                <w:sz w:val="24"/>
                <w:szCs w:val="24"/>
              </w:rPr>
              <w:t>14</w:t>
            </w:r>
            <w:r>
              <w:rPr>
                <w:rFonts w:ascii="Times New Roman" w:hAnsi="Times New Roman" w:cs="Times New Roman"/>
                <w:sz w:val="24"/>
                <w:szCs w:val="24"/>
              </w:rPr>
              <w:t>±0,</w:t>
            </w:r>
            <w:r w:rsidR="00F46A36">
              <w:rPr>
                <w:rFonts w:ascii="Times New Roman" w:hAnsi="Times New Roman" w:cs="Times New Roman"/>
                <w:sz w:val="24"/>
                <w:szCs w:val="24"/>
              </w:rPr>
              <w:t>4</w:t>
            </w:r>
          </w:p>
        </w:tc>
        <w:tc>
          <w:tcPr>
            <w:tcW w:w="1808" w:type="dxa"/>
            <w:tcBorders>
              <w:left w:val="nil"/>
              <w:right w:val="nil"/>
            </w:tcBorders>
          </w:tcPr>
          <w:p w:rsidR="00E77F4D" w:rsidRPr="00E00CE3" w:rsidRDefault="00E77F4D" w:rsidP="002F279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0,00</w:t>
            </w:r>
            <w:r w:rsidR="000B6D01">
              <w:rPr>
                <w:rFonts w:ascii="Times New Roman" w:hAnsi="Times New Roman" w:cs="Times New Roman"/>
                <w:b/>
                <w:sz w:val="24"/>
                <w:szCs w:val="24"/>
              </w:rPr>
              <w:t>3</w:t>
            </w:r>
          </w:p>
        </w:tc>
      </w:tr>
      <w:tr w:rsidR="00E77F4D" w:rsidTr="000D0847">
        <w:tc>
          <w:tcPr>
            <w:tcW w:w="3510" w:type="dxa"/>
            <w:tcBorders>
              <w:top w:val="nil"/>
              <w:left w:val="nil"/>
              <w:right w:val="nil"/>
            </w:tcBorders>
          </w:tcPr>
          <w:p w:rsidR="00E77F4D" w:rsidRDefault="00E77F4D"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Raumenų jėga (kilogramai)</w:t>
            </w:r>
          </w:p>
        </w:tc>
        <w:tc>
          <w:tcPr>
            <w:tcW w:w="2127" w:type="dxa"/>
            <w:tcBorders>
              <w:top w:val="nil"/>
              <w:left w:val="nil"/>
              <w:right w:val="nil"/>
            </w:tcBorders>
          </w:tcPr>
          <w:p w:rsidR="00E77F4D" w:rsidRDefault="00E77F4D"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5,</w:t>
            </w:r>
            <w:r w:rsidR="00F46A36">
              <w:rPr>
                <w:rFonts w:ascii="Times New Roman" w:hAnsi="Times New Roman" w:cs="Times New Roman"/>
                <w:sz w:val="24"/>
                <w:szCs w:val="24"/>
              </w:rPr>
              <w:t>00</w:t>
            </w:r>
            <w:r>
              <w:rPr>
                <w:rFonts w:ascii="Times New Roman" w:hAnsi="Times New Roman" w:cs="Times New Roman"/>
                <w:sz w:val="24"/>
                <w:szCs w:val="24"/>
              </w:rPr>
              <w:t>±2,</w:t>
            </w:r>
            <w:r w:rsidR="00F46A36">
              <w:rPr>
                <w:rFonts w:ascii="Times New Roman" w:hAnsi="Times New Roman" w:cs="Times New Roman"/>
                <w:sz w:val="24"/>
                <w:szCs w:val="24"/>
              </w:rPr>
              <w:t>5</w:t>
            </w:r>
          </w:p>
        </w:tc>
        <w:tc>
          <w:tcPr>
            <w:tcW w:w="2409" w:type="dxa"/>
            <w:tcBorders>
              <w:top w:val="nil"/>
              <w:left w:val="nil"/>
              <w:right w:val="nil"/>
            </w:tcBorders>
          </w:tcPr>
          <w:p w:rsidR="00E77F4D" w:rsidRDefault="00F46A36"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4,00</w:t>
            </w:r>
            <w:r w:rsidR="00E77F4D">
              <w:rPr>
                <w:rFonts w:ascii="Times New Roman" w:hAnsi="Times New Roman" w:cs="Times New Roman"/>
                <w:sz w:val="24"/>
                <w:szCs w:val="24"/>
              </w:rPr>
              <w:t>±1,</w:t>
            </w:r>
            <w:r>
              <w:rPr>
                <w:rFonts w:ascii="Times New Roman" w:hAnsi="Times New Roman" w:cs="Times New Roman"/>
                <w:sz w:val="24"/>
                <w:szCs w:val="24"/>
              </w:rPr>
              <w:t>2</w:t>
            </w:r>
          </w:p>
        </w:tc>
        <w:tc>
          <w:tcPr>
            <w:tcW w:w="1808" w:type="dxa"/>
            <w:tcBorders>
              <w:top w:val="nil"/>
              <w:left w:val="nil"/>
              <w:right w:val="nil"/>
            </w:tcBorders>
          </w:tcPr>
          <w:p w:rsidR="00E77F4D" w:rsidRPr="00E77F4D" w:rsidRDefault="00E77F4D" w:rsidP="002F2793">
            <w:pPr>
              <w:spacing w:line="360" w:lineRule="auto"/>
              <w:contextualSpacing/>
              <w:jc w:val="both"/>
              <w:rPr>
                <w:rFonts w:ascii="Times New Roman" w:hAnsi="Times New Roman" w:cs="Times New Roman"/>
                <w:sz w:val="24"/>
                <w:szCs w:val="24"/>
              </w:rPr>
            </w:pPr>
            <w:r w:rsidRPr="00E77F4D">
              <w:rPr>
                <w:rFonts w:ascii="Times New Roman" w:hAnsi="Times New Roman" w:cs="Times New Roman"/>
                <w:sz w:val="24"/>
                <w:szCs w:val="24"/>
              </w:rPr>
              <w:t>0,</w:t>
            </w:r>
            <w:r w:rsidR="000B6D01">
              <w:rPr>
                <w:rFonts w:ascii="Times New Roman" w:hAnsi="Times New Roman" w:cs="Times New Roman"/>
                <w:sz w:val="24"/>
                <w:szCs w:val="24"/>
              </w:rPr>
              <w:t>530</w:t>
            </w:r>
          </w:p>
        </w:tc>
      </w:tr>
      <w:tr w:rsidR="00E77F4D" w:rsidTr="000D0847">
        <w:tc>
          <w:tcPr>
            <w:tcW w:w="3510" w:type="dxa"/>
            <w:tcBorders>
              <w:left w:val="nil"/>
              <w:right w:val="nil"/>
            </w:tcBorders>
          </w:tcPr>
          <w:p w:rsidR="00E77F4D" w:rsidRDefault="00E77F4D"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Plaštakos fleksija (laipsniai)</w:t>
            </w:r>
          </w:p>
        </w:tc>
        <w:tc>
          <w:tcPr>
            <w:tcW w:w="2127" w:type="dxa"/>
            <w:tcBorders>
              <w:left w:val="nil"/>
              <w:right w:val="nil"/>
            </w:tcBorders>
          </w:tcPr>
          <w:p w:rsidR="00E77F4D" w:rsidRDefault="00F46A36"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13,60</w:t>
            </w:r>
            <w:r w:rsidR="00E77F4D">
              <w:rPr>
                <w:rFonts w:ascii="Times New Roman" w:hAnsi="Times New Roman" w:cs="Times New Roman"/>
                <w:sz w:val="24"/>
                <w:szCs w:val="24"/>
              </w:rPr>
              <w:t>±</w:t>
            </w:r>
            <w:r>
              <w:rPr>
                <w:rFonts w:ascii="Times New Roman" w:hAnsi="Times New Roman" w:cs="Times New Roman"/>
                <w:sz w:val="24"/>
                <w:szCs w:val="24"/>
              </w:rPr>
              <w:t>4,5</w:t>
            </w:r>
          </w:p>
        </w:tc>
        <w:tc>
          <w:tcPr>
            <w:tcW w:w="2409" w:type="dxa"/>
            <w:tcBorders>
              <w:left w:val="nil"/>
              <w:right w:val="nil"/>
            </w:tcBorders>
          </w:tcPr>
          <w:p w:rsidR="00E77F4D" w:rsidRDefault="00F46A36"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5,43</w:t>
            </w:r>
            <w:r w:rsidR="00E77F4D">
              <w:rPr>
                <w:rFonts w:ascii="Times New Roman" w:hAnsi="Times New Roman" w:cs="Times New Roman"/>
                <w:sz w:val="24"/>
                <w:szCs w:val="24"/>
              </w:rPr>
              <w:t>±2,</w:t>
            </w:r>
            <w:r>
              <w:rPr>
                <w:rFonts w:ascii="Times New Roman" w:hAnsi="Times New Roman" w:cs="Times New Roman"/>
                <w:sz w:val="24"/>
                <w:szCs w:val="24"/>
              </w:rPr>
              <w:t>2</w:t>
            </w:r>
          </w:p>
        </w:tc>
        <w:tc>
          <w:tcPr>
            <w:tcW w:w="1808" w:type="dxa"/>
            <w:tcBorders>
              <w:left w:val="nil"/>
              <w:right w:val="nil"/>
            </w:tcBorders>
          </w:tcPr>
          <w:p w:rsidR="00E77F4D" w:rsidRPr="000B6D01" w:rsidRDefault="00E77F4D" w:rsidP="002F2793">
            <w:pPr>
              <w:spacing w:line="360" w:lineRule="auto"/>
              <w:contextualSpacing/>
              <w:jc w:val="both"/>
              <w:rPr>
                <w:rFonts w:ascii="Times New Roman" w:hAnsi="Times New Roman" w:cs="Times New Roman"/>
                <w:b/>
                <w:sz w:val="24"/>
                <w:szCs w:val="24"/>
              </w:rPr>
            </w:pPr>
            <w:r w:rsidRPr="000B6D01">
              <w:rPr>
                <w:rFonts w:ascii="Times New Roman" w:hAnsi="Times New Roman" w:cs="Times New Roman"/>
                <w:b/>
                <w:sz w:val="24"/>
                <w:szCs w:val="24"/>
              </w:rPr>
              <w:t>0,0</w:t>
            </w:r>
            <w:r w:rsidR="000B6D01" w:rsidRPr="000B6D01">
              <w:rPr>
                <w:rFonts w:ascii="Times New Roman" w:hAnsi="Times New Roman" w:cs="Times New Roman"/>
                <w:b/>
                <w:sz w:val="24"/>
                <w:szCs w:val="24"/>
              </w:rPr>
              <w:t>30</w:t>
            </w:r>
          </w:p>
        </w:tc>
      </w:tr>
      <w:tr w:rsidR="00E77F4D" w:rsidTr="000D0847">
        <w:tc>
          <w:tcPr>
            <w:tcW w:w="3510" w:type="dxa"/>
            <w:tcBorders>
              <w:left w:val="nil"/>
              <w:right w:val="nil"/>
            </w:tcBorders>
          </w:tcPr>
          <w:p w:rsidR="00E77F4D" w:rsidRDefault="00E77F4D"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Plaštakos ekstenzija (laipsniai)</w:t>
            </w:r>
          </w:p>
        </w:tc>
        <w:tc>
          <w:tcPr>
            <w:tcW w:w="2127" w:type="dxa"/>
            <w:tcBorders>
              <w:left w:val="nil"/>
              <w:right w:val="nil"/>
            </w:tcBorders>
          </w:tcPr>
          <w:p w:rsidR="00E77F4D" w:rsidRDefault="00F46A36"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13,20</w:t>
            </w:r>
            <w:r w:rsidR="00E77F4D">
              <w:rPr>
                <w:rFonts w:ascii="Times New Roman" w:hAnsi="Times New Roman" w:cs="Times New Roman"/>
                <w:sz w:val="24"/>
                <w:szCs w:val="24"/>
              </w:rPr>
              <w:t>±6,</w:t>
            </w:r>
            <w:r>
              <w:rPr>
                <w:rFonts w:ascii="Times New Roman" w:hAnsi="Times New Roman" w:cs="Times New Roman"/>
                <w:sz w:val="24"/>
                <w:szCs w:val="24"/>
              </w:rPr>
              <w:t>9</w:t>
            </w:r>
          </w:p>
        </w:tc>
        <w:tc>
          <w:tcPr>
            <w:tcW w:w="2409" w:type="dxa"/>
            <w:tcBorders>
              <w:left w:val="nil"/>
              <w:right w:val="nil"/>
            </w:tcBorders>
          </w:tcPr>
          <w:p w:rsidR="00E77F4D" w:rsidRDefault="00F46A36"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3,14</w:t>
            </w:r>
            <w:r w:rsidR="00E77F4D">
              <w:rPr>
                <w:rFonts w:ascii="Times New Roman" w:hAnsi="Times New Roman" w:cs="Times New Roman"/>
                <w:sz w:val="24"/>
                <w:szCs w:val="24"/>
              </w:rPr>
              <w:t>±</w:t>
            </w:r>
            <w:r>
              <w:rPr>
                <w:rFonts w:ascii="Times New Roman" w:hAnsi="Times New Roman" w:cs="Times New Roman"/>
                <w:sz w:val="24"/>
                <w:szCs w:val="24"/>
              </w:rPr>
              <w:t>1,4</w:t>
            </w:r>
          </w:p>
        </w:tc>
        <w:tc>
          <w:tcPr>
            <w:tcW w:w="1808" w:type="dxa"/>
            <w:tcBorders>
              <w:left w:val="nil"/>
              <w:right w:val="nil"/>
            </w:tcBorders>
          </w:tcPr>
          <w:p w:rsidR="00E77F4D" w:rsidRPr="000B6D01" w:rsidRDefault="00E77F4D" w:rsidP="002F2793">
            <w:pPr>
              <w:spacing w:line="360" w:lineRule="auto"/>
              <w:contextualSpacing/>
              <w:jc w:val="both"/>
              <w:rPr>
                <w:rFonts w:ascii="Times New Roman" w:hAnsi="Times New Roman" w:cs="Times New Roman"/>
                <w:b/>
                <w:sz w:val="24"/>
                <w:szCs w:val="24"/>
              </w:rPr>
            </w:pPr>
            <w:r w:rsidRPr="000B6D01">
              <w:rPr>
                <w:rFonts w:ascii="Times New Roman" w:hAnsi="Times New Roman" w:cs="Times New Roman"/>
                <w:b/>
                <w:sz w:val="24"/>
                <w:szCs w:val="24"/>
              </w:rPr>
              <w:t>0,</w:t>
            </w:r>
            <w:r w:rsidR="000B6D01" w:rsidRPr="000B6D01">
              <w:rPr>
                <w:rFonts w:ascii="Times New Roman" w:hAnsi="Times New Roman" w:cs="Times New Roman"/>
                <w:b/>
                <w:sz w:val="24"/>
                <w:szCs w:val="24"/>
              </w:rPr>
              <w:t>0</w:t>
            </w:r>
            <w:r w:rsidRPr="000B6D01">
              <w:rPr>
                <w:rFonts w:ascii="Times New Roman" w:hAnsi="Times New Roman" w:cs="Times New Roman"/>
                <w:b/>
                <w:sz w:val="24"/>
                <w:szCs w:val="24"/>
              </w:rPr>
              <w:t>1</w:t>
            </w:r>
            <w:r w:rsidR="000B6D01" w:rsidRPr="000B6D01">
              <w:rPr>
                <w:rFonts w:ascii="Times New Roman" w:hAnsi="Times New Roman" w:cs="Times New Roman"/>
                <w:b/>
                <w:sz w:val="24"/>
                <w:szCs w:val="24"/>
              </w:rPr>
              <w:t>0</w:t>
            </w:r>
          </w:p>
        </w:tc>
      </w:tr>
      <w:tr w:rsidR="00E77F4D" w:rsidTr="000D0847">
        <w:tc>
          <w:tcPr>
            <w:tcW w:w="3510" w:type="dxa"/>
            <w:tcBorders>
              <w:left w:val="nil"/>
              <w:right w:val="nil"/>
            </w:tcBorders>
          </w:tcPr>
          <w:p w:rsidR="00E77F4D" w:rsidRDefault="00E77F4D"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Ulnarinė deviacija (laipsniai)</w:t>
            </w:r>
          </w:p>
        </w:tc>
        <w:tc>
          <w:tcPr>
            <w:tcW w:w="2127" w:type="dxa"/>
            <w:tcBorders>
              <w:left w:val="nil"/>
              <w:right w:val="nil"/>
            </w:tcBorders>
          </w:tcPr>
          <w:p w:rsidR="00E77F4D" w:rsidRDefault="000B6D01"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3,60</w:t>
            </w:r>
            <w:r w:rsidR="00E77F4D">
              <w:rPr>
                <w:rFonts w:ascii="Times New Roman" w:hAnsi="Times New Roman" w:cs="Times New Roman"/>
                <w:sz w:val="24"/>
                <w:szCs w:val="24"/>
              </w:rPr>
              <w:t>±1,4</w:t>
            </w:r>
            <w:r>
              <w:rPr>
                <w:rFonts w:ascii="Times New Roman" w:hAnsi="Times New Roman" w:cs="Times New Roman"/>
                <w:sz w:val="24"/>
                <w:szCs w:val="24"/>
              </w:rPr>
              <w:t>1</w:t>
            </w:r>
          </w:p>
        </w:tc>
        <w:tc>
          <w:tcPr>
            <w:tcW w:w="2409" w:type="dxa"/>
            <w:tcBorders>
              <w:left w:val="nil"/>
              <w:right w:val="nil"/>
            </w:tcBorders>
          </w:tcPr>
          <w:p w:rsidR="00E77F4D" w:rsidRDefault="000B6D01"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2,86</w:t>
            </w:r>
            <w:r w:rsidR="00E77F4D">
              <w:rPr>
                <w:rFonts w:ascii="Times New Roman" w:hAnsi="Times New Roman" w:cs="Times New Roman"/>
                <w:sz w:val="24"/>
                <w:szCs w:val="24"/>
              </w:rPr>
              <w:t>±1,</w:t>
            </w:r>
            <w:r>
              <w:rPr>
                <w:rFonts w:ascii="Times New Roman" w:hAnsi="Times New Roman" w:cs="Times New Roman"/>
                <w:sz w:val="24"/>
                <w:szCs w:val="24"/>
              </w:rPr>
              <w:t>5</w:t>
            </w:r>
          </w:p>
        </w:tc>
        <w:tc>
          <w:tcPr>
            <w:tcW w:w="1808" w:type="dxa"/>
            <w:tcBorders>
              <w:left w:val="nil"/>
              <w:right w:val="nil"/>
            </w:tcBorders>
          </w:tcPr>
          <w:p w:rsidR="00E77F4D" w:rsidRPr="00A747EA" w:rsidRDefault="00E77F4D" w:rsidP="002F2793">
            <w:pPr>
              <w:spacing w:line="360" w:lineRule="auto"/>
              <w:contextualSpacing/>
              <w:jc w:val="both"/>
              <w:rPr>
                <w:rFonts w:ascii="Times New Roman" w:hAnsi="Times New Roman" w:cs="Times New Roman"/>
                <w:sz w:val="24"/>
                <w:szCs w:val="24"/>
              </w:rPr>
            </w:pPr>
            <w:r w:rsidRPr="00A747EA">
              <w:rPr>
                <w:rFonts w:ascii="Times New Roman" w:hAnsi="Times New Roman" w:cs="Times New Roman"/>
                <w:sz w:val="24"/>
                <w:szCs w:val="24"/>
              </w:rPr>
              <w:t>0</w:t>
            </w:r>
            <w:r>
              <w:rPr>
                <w:rFonts w:ascii="Times New Roman" w:hAnsi="Times New Roman" w:cs="Times New Roman"/>
                <w:sz w:val="24"/>
                <w:szCs w:val="24"/>
              </w:rPr>
              <w:t>,4</w:t>
            </w:r>
            <w:r w:rsidR="000B6D01">
              <w:rPr>
                <w:rFonts w:ascii="Times New Roman" w:hAnsi="Times New Roman" w:cs="Times New Roman"/>
                <w:sz w:val="24"/>
                <w:szCs w:val="24"/>
              </w:rPr>
              <w:t>32</w:t>
            </w:r>
          </w:p>
        </w:tc>
      </w:tr>
      <w:tr w:rsidR="00E77F4D" w:rsidTr="000D0847">
        <w:tc>
          <w:tcPr>
            <w:tcW w:w="3510" w:type="dxa"/>
            <w:tcBorders>
              <w:left w:val="nil"/>
              <w:right w:val="nil"/>
            </w:tcBorders>
          </w:tcPr>
          <w:p w:rsidR="00E77F4D" w:rsidRDefault="00E77F4D"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Radialinė deviacija (laipsniai)</w:t>
            </w:r>
          </w:p>
        </w:tc>
        <w:tc>
          <w:tcPr>
            <w:tcW w:w="2127" w:type="dxa"/>
            <w:tcBorders>
              <w:left w:val="nil"/>
              <w:right w:val="nil"/>
            </w:tcBorders>
          </w:tcPr>
          <w:p w:rsidR="00E77F4D" w:rsidRDefault="000B6D01"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5,80</w:t>
            </w:r>
            <w:r w:rsidR="00E77F4D">
              <w:rPr>
                <w:rFonts w:ascii="Times New Roman" w:hAnsi="Times New Roman" w:cs="Times New Roman"/>
                <w:sz w:val="24"/>
                <w:szCs w:val="24"/>
              </w:rPr>
              <w:t>±2,</w:t>
            </w:r>
            <w:r>
              <w:rPr>
                <w:rFonts w:ascii="Times New Roman" w:hAnsi="Times New Roman" w:cs="Times New Roman"/>
                <w:sz w:val="24"/>
                <w:szCs w:val="24"/>
              </w:rPr>
              <w:t>6</w:t>
            </w:r>
          </w:p>
        </w:tc>
        <w:tc>
          <w:tcPr>
            <w:tcW w:w="2409" w:type="dxa"/>
            <w:tcBorders>
              <w:left w:val="nil"/>
              <w:right w:val="nil"/>
            </w:tcBorders>
          </w:tcPr>
          <w:p w:rsidR="00E77F4D" w:rsidRDefault="000B6D01"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2,14</w:t>
            </w:r>
            <w:r w:rsidR="00E77F4D">
              <w:rPr>
                <w:rFonts w:ascii="Times New Roman" w:hAnsi="Times New Roman" w:cs="Times New Roman"/>
                <w:sz w:val="24"/>
                <w:szCs w:val="24"/>
              </w:rPr>
              <w:t>±1,</w:t>
            </w:r>
            <w:r>
              <w:rPr>
                <w:rFonts w:ascii="Times New Roman" w:hAnsi="Times New Roman" w:cs="Times New Roman"/>
                <w:sz w:val="24"/>
                <w:szCs w:val="24"/>
              </w:rPr>
              <w:t>7</w:t>
            </w:r>
          </w:p>
        </w:tc>
        <w:tc>
          <w:tcPr>
            <w:tcW w:w="1808" w:type="dxa"/>
            <w:tcBorders>
              <w:left w:val="nil"/>
              <w:right w:val="nil"/>
            </w:tcBorders>
          </w:tcPr>
          <w:p w:rsidR="00E77F4D" w:rsidRPr="00A747EA" w:rsidRDefault="00E77F4D" w:rsidP="002F2793">
            <w:pPr>
              <w:spacing w:line="360" w:lineRule="auto"/>
              <w:contextualSpacing/>
              <w:jc w:val="both"/>
              <w:rPr>
                <w:rFonts w:ascii="Times New Roman" w:hAnsi="Times New Roman" w:cs="Times New Roman"/>
                <w:sz w:val="24"/>
                <w:szCs w:val="24"/>
              </w:rPr>
            </w:pPr>
            <w:r w:rsidRPr="00A747EA">
              <w:rPr>
                <w:rFonts w:ascii="Times New Roman" w:hAnsi="Times New Roman" w:cs="Times New Roman"/>
                <w:sz w:val="24"/>
                <w:szCs w:val="24"/>
              </w:rPr>
              <w:t>0,</w:t>
            </w:r>
            <w:r w:rsidR="000B6D01">
              <w:rPr>
                <w:rFonts w:ascii="Times New Roman" w:hAnsi="Times New Roman" w:cs="Times New Roman"/>
                <w:sz w:val="24"/>
                <w:szCs w:val="24"/>
              </w:rPr>
              <w:t>0</w:t>
            </w:r>
            <w:r>
              <w:rPr>
                <w:rFonts w:ascii="Times New Roman" w:hAnsi="Times New Roman" w:cs="Times New Roman"/>
                <w:sz w:val="24"/>
                <w:szCs w:val="24"/>
              </w:rPr>
              <w:t>73</w:t>
            </w:r>
          </w:p>
        </w:tc>
      </w:tr>
      <w:tr w:rsidR="00E77F4D" w:rsidTr="000D0847">
        <w:tc>
          <w:tcPr>
            <w:tcW w:w="3510" w:type="dxa"/>
            <w:tcBorders>
              <w:left w:val="nil"/>
              <w:right w:val="nil"/>
            </w:tcBorders>
          </w:tcPr>
          <w:p w:rsidR="00E77F4D" w:rsidRDefault="00E77F4D"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Keitelio indeksas (balai)</w:t>
            </w:r>
          </w:p>
        </w:tc>
        <w:tc>
          <w:tcPr>
            <w:tcW w:w="2127" w:type="dxa"/>
            <w:tcBorders>
              <w:left w:val="nil"/>
              <w:right w:val="nil"/>
            </w:tcBorders>
          </w:tcPr>
          <w:p w:rsidR="00E77F4D" w:rsidRDefault="00E77F4D"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4,8</w:t>
            </w:r>
            <w:r w:rsidR="000B6D01">
              <w:rPr>
                <w:rFonts w:ascii="Times New Roman" w:hAnsi="Times New Roman" w:cs="Times New Roman"/>
                <w:sz w:val="24"/>
                <w:szCs w:val="24"/>
              </w:rPr>
              <w:t>0</w:t>
            </w:r>
            <w:r>
              <w:rPr>
                <w:rFonts w:ascii="Times New Roman" w:hAnsi="Times New Roman" w:cs="Times New Roman"/>
                <w:sz w:val="24"/>
                <w:szCs w:val="24"/>
              </w:rPr>
              <w:t>±1,3</w:t>
            </w:r>
          </w:p>
        </w:tc>
        <w:tc>
          <w:tcPr>
            <w:tcW w:w="2409" w:type="dxa"/>
            <w:tcBorders>
              <w:left w:val="nil"/>
              <w:right w:val="nil"/>
            </w:tcBorders>
          </w:tcPr>
          <w:p w:rsidR="00E77F4D" w:rsidRDefault="000B6D01" w:rsidP="002F2793">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3,00</w:t>
            </w:r>
            <w:r w:rsidR="00E77F4D">
              <w:rPr>
                <w:rFonts w:ascii="Times New Roman" w:hAnsi="Times New Roman" w:cs="Times New Roman"/>
                <w:sz w:val="24"/>
                <w:szCs w:val="24"/>
              </w:rPr>
              <w:t>±1,</w:t>
            </w:r>
            <w:r>
              <w:rPr>
                <w:rFonts w:ascii="Times New Roman" w:hAnsi="Times New Roman" w:cs="Times New Roman"/>
                <w:sz w:val="24"/>
                <w:szCs w:val="24"/>
              </w:rPr>
              <w:t>3</w:t>
            </w:r>
          </w:p>
        </w:tc>
        <w:tc>
          <w:tcPr>
            <w:tcW w:w="1808" w:type="dxa"/>
            <w:tcBorders>
              <w:left w:val="nil"/>
              <w:right w:val="nil"/>
            </w:tcBorders>
          </w:tcPr>
          <w:p w:rsidR="00E77F4D" w:rsidRPr="00E77F4D" w:rsidRDefault="00E77F4D" w:rsidP="002F2793">
            <w:pPr>
              <w:spacing w:line="360" w:lineRule="auto"/>
              <w:contextualSpacing/>
              <w:jc w:val="both"/>
              <w:rPr>
                <w:rFonts w:ascii="Times New Roman" w:hAnsi="Times New Roman" w:cs="Times New Roman"/>
                <w:b/>
                <w:sz w:val="24"/>
                <w:szCs w:val="24"/>
              </w:rPr>
            </w:pPr>
            <w:r w:rsidRPr="00E77F4D">
              <w:rPr>
                <w:rFonts w:ascii="Times New Roman" w:hAnsi="Times New Roman" w:cs="Times New Roman"/>
                <w:b/>
                <w:sz w:val="24"/>
                <w:szCs w:val="24"/>
              </w:rPr>
              <w:t>0,</w:t>
            </w:r>
            <w:r w:rsidR="000B6D01">
              <w:rPr>
                <w:rFonts w:ascii="Times New Roman" w:hAnsi="Times New Roman" w:cs="Times New Roman"/>
                <w:b/>
                <w:sz w:val="24"/>
                <w:szCs w:val="24"/>
              </w:rPr>
              <w:t>048</w:t>
            </w:r>
          </w:p>
        </w:tc>
      </w:tr>
    </w:tbl>
    <w:p w:rsidR="00557B41" w:rsidRDefault="00557B41" w:rsidP="002F2793">
      <w:pPr>
        <w:spacing w:after="0" w:line="360" w:lineRule="auto"/>
        <w:contextualSpacing/>
        <w:jc w:val="both"/>
        <w:rPr>
          <w:rFonts w:ascii="Times New Roman" w:hAnsi="Times New Roman" w:cs="Times New Roman"/>
          <w:b/>
          <w:sz w:val="24"/>
          <w:szCs w:val="24"/>
        </w:rPr>
      </w:pPr>
    </w:p>
    <w:p w:rsidR="00B12910" w:rsidRDefault="00B12910" w:rsidP="00730367">
      <w:pPr>
        <w:spacing w:after="0" w:line="360" w:lineRule="auto"/>
        <w:ind w:firstLine="851"/>
        <w:contextualSpacing/>
        <w:jc w:val="both"/>
        <w:rPr>
          <w:rFonts w:ascii="Times New Roman" w:hAnsi="Times New Roman" w:cs="Times New Roman"/>
          <w:sz w:val="24"/>
          <w:szCs w:val="24"/>
        </w:rPr>
      </w:pPr>
      <w:r w:rsidRPr="00F942CB">
        <w:rPr>
          <w:rFonts w:ascii="Times New Roman" w:hAnsi="Times New Roman" w:cs="Times New Roman"/>
          <w:sz w:val="24"/>
          <w:szCs w:val="24"/>
        </w:rPr>
        <w:t xml:space="preserve">Apibendrinant rezultatus </w:t>
      </w:r>
      <w:r>
        <w:rPr>
          <w:rFonts w:ascii="Times New Roman" w:hAnsi="Times New Roman" w:cs="Times New Roman"/>
          <w:sz w:val="24"/>
          <w:szCs w:val="24"/>
        </w:rPr>
        <w:t xml:space="preserve">galime teigti, kad ergoterapijos procedūros taikant teipavimą efektyvesnės mažinant skausmą ir raumenų sustingimą. Papildomai taikomos reabilitacijos procedūros sustiprina ergoterapijos ir teipavimo efektą mažinant skausmą, raumenų sustingimą, didinant plaštakos judesių amplitudę. </w:t>
      </w:r>
    </w:p>
    <w:p w:rsidR="00D402E9" w:rsidRPr="00F942CB" w:rsidRDefault="00D402E9" w:rsidP="002F2793">
      <w:pPr>
        <w:spacing w:after="0" w:line="360" w:lineRule="auto"/>
        <w:ind w:firstLine="1296"/>
        <w:contextualSpacing/>
        <w:jc w:val="both"/>
        <w:rPr>
          <w:rFonts w:ascii="Times New Roman" w:hAnsi="Times New Roman" w:cs="Times New Roman"/>
          <w:sz w:val="24"/>
          <w:szCs w:val="24"/>
        </w:rPr>
      </w:pPr>
      <w:r>
        <w:rPr>
          <w:rFonts w:ascii="Times New Roman" w:hAnsi="Times New Roman" w:cs="Times New Roman"/>
          <w:sz w:val="24"/>
          <w:szCs w:val="24"/>
        </w:rPr>
        <w:br w:type="page"/>
      </w:r>
    </w:p>
    <w:p w:rsidR="00D75719" w:rsidRDefault="00D75719" w:rsidP="002F2793">
      <w:pPr>
        <w:pStyle w:val="Antrat1"/>
        <w:numPr>
          <w:ilvl w:val="0"/>
          <w:numId w:val="21"/>
        </w:numPr>
        <w:jc w:val="center"/>
        <w:rPr>
          <w:rFonts w:ascii="Times New Roman" w:hAnsi="Times New Roman" w:cs="Times New Roman"/>
          <w:color w:val="auto"/>
          <w:sz w:val="32"/>
          <w:szCs w:val="32"/>
        </w:rPr>
      </w:pPr>
      <w:bookmarkStart w:id="38" w:name="_Toc388560353"/>
      <w:r w:rsidRPr="00D402E9">
        <w:rPr>
          <w:rFonts w:ascii="Times New Roman" w:hAnsi="Times New Roman" w:cs="Times New Roman"/>
          <w:color w:val="auto"/>
          <w:sz w:val="32"/>
          <w:szCs w:val="32"/>
        </w:rPr>
        <w:lastRenderedPageBreak/>
        <w:t>REZULTATŲ APTARIMAS</w:t>
      </w:r>
      <w:bookmarkEnd w:id="38"/>
    </w:p>
    <w:p w:rsidR="00D402E9" w:rsidRPr="00D402E9" w:rsidRDefault="00D402E9" w:rsidP="002F2793"/>
    <w:p w:rsidR="00730367" w:rsidRDefault="008854D0" w:rsidP="00730367">
      <w:pPr>
        <w:spacing w:after="0" w:line="360" w:lineRule="auto"/>
        <w:ind w:firstLine="851"/>
        <w:contextualSpacing/>
        <w:jc w:val="both"/>
        <w:rPr>
          <w:rFonts w:ascii="Times New Roman" w:hAnsi="Times New Roman" w:cs="Times New Roman"/>
          <w:sz w:val="24"/>
          <w:szCs w:val="24"/>
          <w:shd w:val="clear" w:color="auto" w:fill="FFFFFF"/>
        </w:rPr>
      </w:pPr>
      <w:r w:rsidRPr="002D5CA0">
        <w:rPr>
          <w:rFonts w:ascii="Times New Roman" w:hAnsi="Times New Roman" w:cs="Times New Roman"/>
          <w:sz w:val="24"/>
          <w:szCs w:val="24"/>
          <w:shd w:val="clear" w:color="auto" w:fill="FFFFFF"/>
        </w:rPr>
        <w:t>Stipinkaulio distalinio galo lūžiai</w:t>
      </w:r>
      <w:r w:rsidRPr="002D5CA0">
        <w:rPr>
          <w:rStyle w:val="apple-converted-space"/>
          <w:b/>
          <w:bCs/>
          <w:shd w:val="clear" w:color="auto" w:fill="FFFFFF"/>
        </w:rPr>
        <w:t> </w:t>
      </w:r>
      <w:r w:rsidRPr="002D5CA0">
        <w:rPr>
          <w:rFonts w:ascii="Times New Roman" w:hAnsi="Times New Roman" w:cs="Times New Roman"/>
          <w:sz w:val="24"/>
          <w:szCs w:val="24"/>
          <w:shd w:val="clear" w:color="auto" w:fill="FFFFFF"/>
        </w:rPr>
        <w:t>yra vienas dažniausių kaulų ir raumenų sužalojimų</w:t>
      </w:r>
      <w:r>
        <w:rPr>
          <w:rFonts w:ascii="Times New Roman" w:hAnsi="Times New Roman" w:cs="Times New Roman"/>
          <w:sz w:val="24"/>
          <w:szCs w:val="24"/>
          <w:shd w:val="clear" w:color="auto" w:fill="FFFFFF"/>
        </w:rPr>
        <w:t xml:space="preserve">. </w:t>
      </w:r>
      <w:r w:rsidR="00064EDF" w:rsidRPr="00E815C6">
        <w:rPr>
          <w:rFonts w:ascii="Times New Roman" w:hAnsi="Times New Roman" w:cs="Times New Roman"/>
          <w:sz w:val="24"/>
          <w:szCs w:val="24"/>
        </w:rPr>
        <w:t>Kasdienėje žmogaus veikloje traumų pasitaiko gana dažnai.</w:t>
      </w:r>
      <w:r w:rsidR="00064EDF">
        <w:rPr>
          <w:rFonts w:ascii="Times New Roman" w:hAnsi="Times New Roman" w:cs="Times New Roman"/>
          <w:sz w:val="24"/>
          <w:szCs w:val="24"/>
        </w:rPr>
        <w:t xml:space="preserve"> </w:t>
      </w:r>
      <w:r w:rsidR="000B1724">
        <w:rPr>
          <w:rFonts w:ascii="Times New Roman" w:hAnsi="Times New Roman" w:cs="Times New Roman"/>
          <w:sz w:val="24"/>
          <w:szCs w:val="24"/>
          <w:shd w:val="clear" w:color="auto" w:fill="FFFFFF"/>
        </w:rPr>
        <w:t>Patyrus SDGL, sužalojamos plaštakos funkcijai svarbios struktūros</w:t>
      </w:r>
      <w:r w:rsidR="00064EDF">
        <w:rPr>
          <w:rFonts w:ascii="Times New Roman" w:hAnsi="Times New Roman" w:cs="Times New Roman"/>
          <w:sz w:val="24"/>
          <w:szCs w:val="24"/>
          <w:shd w:val="clear" w:color="auto" w:fill="FFFFFF"/>
        </w:rPr>
        <w:t>, sumažėja judesių amplitudė, jėga ir ištvermė, atsiran</w:t>
      </w:r>
      <w:r w:rsidR="0039225F">
        <w:rPr>
          <w:rFonts w:ascii="Times New Roman" w:hAnsi="Times New Roman" w:cs="Times New Roman"/>
          <w:sz w:val="24"/>
          <w:szCs w:val="24"/>
          <w:shd w:val="clear" w:color="auto" w:fill="FFFFFF"/>
        </w:rPr>
        <w:t>d</w:t>
      </w:r>
      <w:r w:rsidR="00064EDF">
        <w:rPr>
          <w:rFonts w:ascii="Times New Roman" w:hAnsi="Times New Roman" w:cs="Times New Roman"/>
          <w:sz w:val="24"/>
          <w:szCs w:val="24"/>
          <w:shd w:val="clear" w:color="auto" w:fill="FFFFFF"/>
        </w:rPr>
        <w:t>a skausmas ir sustingimas. Dėl atsiradusių deformacijų ir kontraktūrų, sutrinka k</w:t>
      </w:r>
      <w:r w:rsidR="00F10C72">
        <w:rPr>
          <w:rFonts w:ascii="Times New Roman" w:hAnsi="Times New Roman" w:cs="Times New Roman"/>
          <w:sz w:val="24"/>
          <w:szCs w:val="24"/>
          <w:shd w:val="clear" w:color="auto" w:fill="FFFFFF"/>
        </w:rPr>
        <w:t>asdienė reabilituojamojo veikla, todėl mažėja motyvacija užsiimti mėgstama veikla.</w:t>
      </w:r>
    </w:p>
    <w:p w:rsidR="00730367" w:rsidRDefault="000A533A" w:rsidP="00730367">
      <w:pPr>
        <w:spacing w:after="0" w:line="360" w:lineRule="auto"/>
        <w:ind w:firstLine="851"/>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rPr>
        <w:t>Reabilitacijos metu siekiama mažinti edemą ir skausmą, gerinti judesių amplitudę, mažinti sustingimą</w:t>
      </w:r>
      <w:r w:rsidR="003352DA">
        <w:rPr>
          <w:rFonts w:ascii="Times New Roman" w:hAnsi="Times New Roman" w:cs="Times New Roman"/>
          <w:sz w:val="24"/>
          <w:szCs w:val="24"/>
        </w:rPr>
        <w:t>,</w:t>
      </w:r>
      <w:r>
        <w:rPr>
          <w:rFonts w:ascii="Times New Roman" w:hAnsi="Times New Roman" w:cs="Times New Roman"/>
          <w:sz w:val="24"/>
          <w:szCs w:val="24"/>
        </w:rPr>
        <w:t xml:space="preserve"> skatinti viršutinių galūnių jėgą</w:t>
      </w:r>
      <w:r w:rsidR="005B65B2">
        <w:rPr>
          <w:rFonts w:ascii="Times New Roman" w:hAnsi="Times New Roman" w:cs="Times New Roman"/>
          <w:sz w:val="24"/>
          <w:szCs w:val="24"/>
        </w:rPr>
        <w:t>, gerinti sukamuosius judesius. Ergoterapeutas siekia atstatyti paciento savarankiškumą užsiėmimų metu</w:t>
      </w:r>
      <w:r w:rsidR="00B66A3D">
        <w:rPr>
          <w:rFonts w:ascii="Times New Roman" w:hAnsi="Times New Roman" w:cs="Times New Roman"/>
          <w:sz w:val="24"/>
          <w:szCs w:val="24"/>
        </w:rPr>
        <w:t>, užkirsti kelią sąnarių deformacijoms ir išlaikyti esamus judesius.</w:t>
      </w:r>
    </w:p>
    <w:p w:rsidR="00730367" w:rsidRDefault="00C456F5" w:rsidP="00730367">
      <w:pPr>
        <w:spacing w:after="0" w:line="360" w:lineRule="auto"/>
        <w:ind w:firstLine="851"/>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Mūsų darbo tikslas buvo: </w:t>
      </w:r>
      <w:r w:rsidR="00164FFB">
        <w:rPr>
          <w:rFonts w:ascii="Times New Roman" w:hAnsi="Times New Roman" w:cs="Times New Roman"/>
          <w:bCs/>
          <w:sz w:val="24"/>
          <w:szCs w:val="24"/>
        </w:rPr>
        <w:t>į</w:t>
      </w:r>
      <w:r w:rsidR="00164FFB" w:rsidRPr="00584839">
        <w:rPr>
          <w:rFonts w:ascii="Times New Roman" w:hAnsi="Times New Roman" w:cs="Times New Roman"/>
          <w:bCs/>
          <w:sz w:val="24"/>
          <w:szCs w:val="24"/>
        </w:rPr>
        <w:t xml:space="preserve">vertinti </w:t>
      </w:r>
      <w:r w:rsidR="00164FFB">
        <w:rPr>
          <w:rFonts w:ascii="Times New Roman" w:hAnsi="Times New Roman" w:cs="Times New Roman"/>
          <w:bCs/>
          <w:sz w:val="24"/>
          <w:szCs w:val="24"/>
        </w:rPr>
        <w:t>kinezi</w:t>
      </w:r>
      <w:r w:rsidR="00164FFB" w:rsidRPr="00584839">
        <w:rPr>
          <w:rFonts w:ascii="Times New Roman" w:hAnsi="Times New Roman" w:cs="Times New Roman"/>
          <w:bCs/>
          <w:sz w:val="24"/>
          <w:szCs w:val="24"/>
        </w:rPr>
        <w:t>teipavimo poveikį pacientams po tolimojo stipinkaulio galo lūžių.</w:t>
      </w:r>
      <w:r w:rsidR="00164FFB">
        <w:rPr>
          <w:rFonts w:ascii="Times New Roman" w:hAnsi="Times New Roman" w:cs="Times New Roman"/>
          <w:bCs/>
          <w:sz w:val="24"/>
          <w:szCs w:val="24"/>
        </w:rPr>
        <w:t xml:space="preserve"> Tyrime dalyvavo 32 pacientai, patyrę stipinkaulio distalinio galo lūžius. Pacientai buvo reabilituojami ambulatoriškai Kauno klinikose ir Kauno klinikinėje ligoninėje.</w:t>
      </w:r>
    </w:p>
    <w:p w:rsidR="00730367" w:rsidRDefault="00164FFB" w:rsidP="00730367">
      <w:pPr>
        <w:spacing w:after="0" w:line="360" w:lineRule="auto"/>
        <w:ind w:firstLine="851"/>
        <w:contextualSpacing/>
        <w:jc w:val="both"/>
        <w:rPr>
          <w:rFonts w:ascii="Times New Roman" w:hAnsi="Times New Roman" w:cs="Times New Roman"/>
          <w:sz w:val="24"/>
          <w:szCs w:val="24"/>
          <w:shd w:val="clear" w:color="auto" w:fill="FFFFFF"/>
        </w:rPr>
      </w:pPr>
      <w:r>
        <w:rPr>
          <w:rFonts w:ascii="Times New Roman" w:hAnsi="Times New Roman" w:cs="Times New Roman"/>
          <w:bCs/>
          <w:sz w:val="24"/>
          <w:szCs w:val="24"/>
        </w:rPr>
        <w:t>Tiriamieji buvo suskirstyti į dvi grupes. Kontrolinei grupei buvo taikyta ergoterapija be kinezitepavimo</w:t>
      </w:r>
      <w:r w:rsidR="002A15E0">
        <w:rPr>
          <w:rFonts w:ascii="Times New Roman" w:hAnsi="Times New Roman" w:cs="Times New Roman"/>
          <w:bCs/>
          <w:sz w:val="24"/>
          <w:szCs w:val="24"/>
        </w:rPr>
        <w:t>,</w:t>
      </w:r>
      <w:r>
        <w:rPr>
          <w:rFonts w:ascii="Times New Roman" w:hAnsi="Times New Roman" w:cs="Times New Roman"/>
          <w:bCs/>
          <w:sz w:val="24"/>
          <w:szCs w:val="24"/>
        </w:rPr>
        <w:t xml:space="preserve"> </w:t>
      </w:r>
      <w:r w:rsidR="002A15E0">
        <w:rPr>
          <w:rFonts w:ascii="Times New Roman" w:hAnsi="Times New Roman" w:cs="Times New Roman"/>
          <w:bCs/>
          <w:sz w:val="24"/>
          <w:szCs w:val="24"/>
        </w:rPr>
        <w:t>o</w:t>
      </w:r>
      <w:r>
        <w:rPr>
          <w:rFonts w:ascii="Times New Roman" w:hAnsi="Times New Roman" w:cs="Times New Roman"/>
          <w:bCs/>
          <w:sz w:val="24"/>
          <w:szCs w:val="24"/>
        </w:rPr>
        <w:t xml:space="preserve"> tiriamajai grupei</w:t>
      </w:r>
      <w:r w:rsidR="002A15E0">
        <w:rPr>
          <w:rFonts w:ascii="Times New Roman" w:hAnsi="Times New Roman" w:cs="Times New Roman"/>
          <w:bCs/>
          <w:sz w:val="24"/>
          <w:szCs w:val="24"/>
        </w:rPr>
        <w:t xml:space="preserve"> buvo</w:t>
      </w:r>
      <w:r>
        <w:rPr>
          <w:rFonts w:ascii="Times New Roman" w:hAnsi="Times New Roman" w:cs="Times New Roman"/>
          <w:bCs/>
          <w:sz w:val="24"/>
          <w:szCs w:val="24"/>
        </w:rPr>
        <w:t xml:space="preserve"> taikyta ergoterapija su kineziteipavimu.</w:t>
      </w:r>
    </w:p>
    <w:p w:rsidR="00730367" w:rsidRDefault="002A15E0" w:rsidP="00730367">
      <w:pPr>
        <w:spacing w:after="0" w:line="360" w:lineRule="auto"/>
        <w:ind w:firstLine="851"/>
        <w:contextualSpacing/>
        <w:jc w:val="both"/>
        <w:rPr>
          <w:rFonts w:ascii="Times New Roman" w:hAnsi="Times New Roman" w:cs="Times New Roman"/>
          <w:sz w:val="24"/>
          <w:szCs w:val="24"/>
          <w:shd w:val="clear" w:color="auto" w:fill="FFFFFF"/>
        </w:rPr>
      </w:pPr>
      <w:r>
        <w:rPr>
          <w:rFonts w:ascii="Times New Roman" w:hAnsi="Times New Roman" w:cs="Times New Roman"/>
          <w:bCs/>
          <w:sz w:val="24"/>
          <w:szCs w:val="24"/>
        </w:rPr>
        <w:t>Lietuvoje</w:t>
      </w:r>
      <w:r w:rsidR="00833238">
        <w:rPr>
          <w:rFonts w:ascii="Times New Roman" w:hAnsi="Times New Roman" w:cs="Times New Roman"/>
          <w:bCs/>
          <w:sz w:val="24"/>
          <w:szCs w:val="24"/>
        </w:rPr>
        <w:t xml:space="preserve"> ir pasaulyje</w:t>
      </w:r>
      <w:r>
        <w:rPr>
          <w:rFonts w:ascii="Times New Roman" w:hAnsi="Times New Roman" w:cs="Times New Roman"/>
          <w:bCs/>
          <w:sz w:val="24"/>
          <w:szCs w:val="24"/>
        </w:rPr>
        <w:t xml:space="preserve"> kol kas dar nėra atlikta tyrimų siekiant išanalizuoti kineziteipavimo poveikį po tolimojo stipinkaulio galo lūžių rankos funkcijos ir savarankiškumo gerinimui. 2007 metais buvo atliktas tyrimas „Asmenų, patyrusių stipinkaulio lūžį, rankos funkcijos ir savarankiškumo korekcija ergoterapijos priemonėmis“, tačiau šiame tyrime buvo analizuojamas </w:t>
      </w:r>
      <w:r w:rsidR="00F55EE2">
        <w:rPr>
          <w:rFonts w:ascii="Times New Roman" w:hAnsi="Times New Roman" w:cs="Times New Roman"/>
          <w:bCs/>
          <w:sz w:val="24"/>
          <w:szCs w:val="24"/>
        </w:rPr>
        <w:t>kasdienės veiklos atstatymas po stipinkaulio lūžių tik ergoterapinėmis priemonėmis, todėl negalima palyginti šio tyrimo rezultatų su savo rezultatais.</w:t>
      </w:r>
    </w:p>
    <w:p w:rsidR="00730367" w:rsidRDefault="00833238" w:rsidP="00730367">
      <w:pPr>
        <w:spacing w:after="0" w:line="360" w:lineRule="auto"/>
        <w:ind w:firstLine="851"/>
        <w:contextualSpacing/>
        <w:jc w:val="both"/>
        <w:rPr>
          <w:rFonts w:ascii="Times New Roman" w:hAnsi="Times New Roman" w:cs="Times New Roman"/>
          <w:sz w:val="24"/>
          <w:szCs w:val="24"/>
          <w:shd w:val="clear" w:color="auto" w:fill="FFFFFF"/>
        </w:rPr>
      </w:pPr>
      <w:r>
        <w:rPr>
          <w:rFonts w:ascii="Times New Roman" w:hAnsi="Times New Roman" w:cs="Times New Roman"/>
          <w:bCs/>
          <w:sz w:val="24"/>
          <w:szCs w:val="24"/>
        </w:rPr>
        <w:t>Mūsų tyrimas parodė, kad tiriamųjų, kuriems buvo taikyta ergoterapija ir kinezioteipavimas, pažeistos rankos funkcijos po ergoterapijos procedūrų rodiklių pokyčiai buvo įvertinti reikšmingai didesniais balais nei kontrolinės grupės tiriamųjų, kuriems bu</w:t>
      </w:r>
      <w:r w:rsidR="00830A77">
        <w:rPr>
          <w:rFonts w:ascii="Times New Roman" w:hAnsi="Times New Roman" w:cs="Times New Roman"/>
          <w:bCs/>
          <w:sz w:val="24"/>
          <w:szCs w:val="24"/>
        </w:rPr>
        <w:t>vo taikyta tik ergoterapija. Šie</w:t>
      </w:r>
      <w:r>
        <w:rPr>
          <w:rFonts w:ascii="Times New Roman" w:hAnsi="Times New Roman" w:cs="Times New Roman"/>
          <w:bCs/>
          <w:sz w:val="24"/>
          <w:szCs w:val="24"/>
        </w:rPr>
        <w:t xml:space="preserve"> mūsų tyrimo rezultatai sutampa Su J. Paškevičienės (2012), kuri nustatė, kad kinezioteipavimas pagerina patyrusiųjų galvos smegenų insultą pažeistos rankos funkcij</w:t>
      </w:r>
      <w:r w:rsidR="00830A77">
        <w:rPr>
          <w:rFonts w:ascii="Times New Roman" w:hAnsi="Times New Roman" w:cs="Times New Roman"/>
          <w:bCs/>
          <w:sz w:val="24"/>
          <w:szCs w:val="24"/>
        </w:rPr>
        <w:t>ą</w:t>
      </w:r>
      <w:r>
        <w:rPr>
          <w:rFonts w:ascii="Times New Roman" w:hAnsi="Times New Roman" w:cs="Times New Roman"/>
          <w:bCs/>
          <w:sz w:val="24"/>
          <w:szCs w:val="24"/>
        </w:rPr>
        <w:t>, išvada (69).</w:t>
      </w:r>
    </w:p>
    <w:p w:rsidR="00730367" w:rsidRDefault="00CE0009" w:rsidP="00730367">
      <w:pPr>
        <w:spacing w:after="0" w:line="360" w:lineRule="auto"/>
        <w:ind w:firstLine="851"/>
        <w:contextualSpacing/>
        <w:jc w:val="both"/>
        <w:rPr>
          <w:rFonts w:ascii="Times New Roman" w:hAnsi="Times New Roman" w:cs="Times New Roman"/>
          <w:sz w:val="24"/>
          <w:szCs w:val="24"/>
          <w:shd w:val="clear" w:color="auto" w:fill="FFFFFF"/>
        </w:rPr>
      </w:pPr>
      <w:r>
        <w:rPr>
          <w:rFonts w:ascii="Times New Roman" w:hAnsi="Times New Roman" w:cs="Times New Roman"/>
          <w:bCs/>
          <w:sz w:val="24"/>
          <w:szCs w:val="24"/>
        </w:rPr>
        <w:t xml:space="preserve">Mūsų tiriamosios grupės pažeistos plaštakos skausmas ir sustingimas po ergoterapijos, kurios metu buvo taikytas kinezioteipavimas sumažėjo reikšmingai </w:t>
      </w:r>
      <w:r w:rsidR="00403734">
        <w:rPr>
          <w:rFonts w:ascii="Times New Roman" w:hAnsi="Times New Roman" w:cs="Times New Roman"/>
          <w:bCs/>
          <w:sz w:val="24"/>
          <w:szCs w:val="24"/>
        </w:rPr>
        <w:t>mažiau</w:t>
      </w:r>
      <w:r>
        <w:rPr>
          <w:rFonts w:ascii="Times New Roman" w:hAnsi="Times New Roman" w:cs="Times New Roman"/>
          <w:bCs/>
          <w:sz w:val="24"/>
          <w:szCs w:val="24"/>
        </w:rPr>
        <w:t xml:space="preserve"> nei kontrolinės grupės tiriamųjų, kuriems buvo taikyta tik ergoterapija.</w:t>
      </w:r>
    </w:p>
    <w:p w:rsidR="00B66A3D" w:rsidRPr="00730367" w:rsidRDefault="00212A42" w:rsidP="00730367">
      <w:pPr>
        <w:spacing w:after="0" w:line="360" w:lineRule="auto"/>
        <w:ind w:firstLine="851"/>
        <w:contextualSpacing/>
        <w:jc w:val="both"/>
        <w:rPr>
          <w:rFonts w:ascii="Times New Roman" w:hAnsi="Times New Roman" w:cs="Times New Roman"/>
          <w:sz w:val="24"/>
          <w:szCs w:val="24"/>
          <w:shd w:val="clear" w:color="auto" w:fill="FFFFFF"/>
        </w:rPr>
      </w:pPr>
      <w:r>
        <w:rPr>
          <w:rFonts w:ascii="Times New Roman" w:hAnsi="Times New Roman" w:cs="Times New Roman"/>
          <w:bCs/>
          <w:sz w:val="24"/>
          <w:szCs w:val="24"/>
        </w:rPr>
        <w:t xml:space="preserve">Tyrimo metu be ergoterapijos buvo taikytas reabilitacijos priemonių kompleksas. </w:t>
      </w:r>
      <w:r>
        <w:rPr>
          <w:rFonts w:ascii="Times New Roman" w:hAnsi="Times New Roman" w:cs="Times New Roman"/>
          <w:sz w:val="24"/>
          <w:szCs w:val="24"/>
        </w:rPr>
        <w:t xml:space="preserve">Lyginome kaip papildomos reabilitacijos procedūros kartu su ergoterapija pagerino rankos funkciją ir padidino savarankiškumą. Gavome, kad procedūrų pobūdis ir skaičius vienam pacientui statistiškai reikšmingai nesiskyrė, palyginus tiriamąją ir kontrolinę grupes (p&gt;0,05). Todėl galima teigti, kad papildomai </w:t>
      </w:r>
      <w:r>
        <w:rPr>
          <w:rFonts w:ascii="Times New Roman" w:hAnsi="Times New Roman" w:cs="Times New Roman"/>
          <w:sz w:val="24"/>
          <w:szCs w:val="24"/>
        </w:rPr>
        <w:lastRenderedPageBreak/>
        <w:t>taikomos reabilitacijos procedūros sustiprino ergoterapijos ir teipavimo efektą, mažinant skausmą, raumenų sustingimą, didinant plaštakos judesių amplitudę.</w:t>
      </w:r>
    </w:p>
    <w:p w:rsidR="00D75719" w:rsidRPr="00D402E9" w:rsidRDefault="00D75719" w:rsidP="002F2793">
      <w:pPr>
        <w:pStyle w:val="Antrat1"/>
        <w:jc w:val="center"/>
        <w:rPr>
          <w:rFonts w:ascii="Times New Roman" w:hAnsi="Times New Roman" w:cs="Times New Roman"/>
          <w:sz w:val="32"/>
          <w:szCs w:val="32"/>
        </w:rPr>
      </w:pPr>
      <w:r>
        <w:rPr>
          <w:szCs w:val="24"/>
        </w:rPr>
        <w:br w:type="page"/>
      </w:r>
      <w:bookmarkStart w:id="39" w:name="_Toc388560354"/>
      <w:r w:rsidRPr="00D402E9">
        <w:rPr>
          <w:rFonts w:ascii="Times New Roman" w:hAnsi="Times New Roman" w:cs="Times New Roman"/>
          <w:color w:val="auto"/>
          <w:sz w:val="32"/>
          <w:szCs w:val="32"/>
        </w:rPr>
        <w:lastRenderedPageBreak/>
        <w:t>IŠVADOS</w:t>
      </w:r>
      <w:bookmarkEnd w:id="39"/>
    </w:p>
    <w:p w:rsidR="00D75719" w:rsidRDefault="00D75719" w:rsidP="00921535">
      <w:pPr>
        <w:spacing w:after="0" w:line="360" w:lineRule="auto"/>
        <w:contextualSpacing/>
        <w:jc w:val="both"/>
        <w:rPr>
          <w:rFonts w:ascii="Times New Roman" w:hAnsi="Times New Roman" w:cs="Times New Roman"/>
          <w:b/>
          <w:sz w:val="32"/>
          <w:szCs w:val="32"/>
        </w:rPr>
      </w:pPr>
    </w:p>
    <w:p w:rsidR="00F53840" w:rsidRPr="00D75719" w:rsidRDefault="00F53840" w:rsidP="00921535">
      <w:pPr>
        <w:pStyle w:val="Sraopastraipa"/>
        <w:numPr>
          <w:ilvl w:val="0"/>
          <w:numId w:val="32"/>
        </w:numPr>
        <w:spacing w:after="0" w:line="360" w:lineRule="auto"/>
        <w:jc w:val="both"/>
        <w:rPr>
          <w:rFonts w:ascii="Times New Roman" w:hAnsi="Times New Roman" w:cs="Times New Roman"/>
          <w:sz w:val="24"/>
          <w:szCs w:val="24"/>
        </w:rPr>
      </w:pPr>
      <w:r w:rsidRPr="00D75719">
        <w:rPr>
          <w:rFonts w:ascii="Times New Roman" w:hAnsi="Times New Roman" w:cs="Times New Roman"/>
          <w:sz w:val="24"/>
          <w:szCs w:val="24"/>
        </w:rPr>
        <w:t>Tiriamojoje grupėje po ergoterapijos su kineziteipavimu buvo nustatytas statistiškai reikšmingas skausmo ir sustingimo sumažėjimas.</w:t>
      </w:r>
    </w:p>
    <w:p w:rsidR="00D75719" w:rsidRPr="00D75719" w:rsidRDefault="00D75719" w:rsidP="00921535">
      <w:pPr>
        <w:spacing w:after="0" w:line="360" w:lineRule="auto"/>
        <w:ind w:left="360"/>
        <w:contextualSpacing/>
        <w:jc w:val="both"/>
        <w:rPr>
          <w:rFonts w:ascii="Times New Roman" w:hAnsi="Times New Roman" w:cs="Times New Roman"/>
          <w:sz w:val="24"/>
          <w:szCs w:val="24"/>
        </w:rPr>
      </w:pPr>
    </w:p>
    <w:p w:rsidR="00F53840" w:rsidRPr="00D75719" w:rsidRDefault="00F53840" w:rsidP="00921535">
      <w:pPr>
        <w:pStyle w:val="Sraopastraipa"/>
        <w:numPr>
          <w:ilvl w:val="0"/>
          <w:numId w:val="32"/>
        </w:numPr>
        <w:spacing w:after="0" w:line="360" w:lineRule="auto"/>
        <w:jc w:val="both"/>
        <w:rPr>
          <w:rFonts w:ascii="Times New Roman" w:hAnsi="Times New Roman" w:cs="Times New Roman"/>
          <w:sz w:val="24"/>
          <w:szCs w:val="24"/>
        </w:rPr>
      </w:pPr>
      <w:r w:rsidRPr="00D75719">
        <w:rPr>
          <w:rFonts w:ascii="Times New Roman" w:hAnsi="Times New Roman" w:cs="Times New Roman"/>
          <w:sz w:val="24"/>
          <w:szCs w:val="24"/>
        </w:rPr>
        <w:t>Ergoterapija pagerino kontrolinės grupės pacientų rankos funkciją ir savarankiškumą.</w:t>
      </w:r>
    </w:p>
    <w:p w:rsidR="00D75719" w:rsidRPr="00D75719" w:rsidRDefault="00D75719" w:rsidP="00921535">
      <w:pPr>
        <w:spacing w:after="0" w:line="360" w:lineRule="auto"/>
        <w:ind w:left="360"/>
        <w:contextualSpacing/>
        <w:jc w:val="both"/>
        <w:rPr>
          <w:rFonts w:ascii="Times New Roman" w:hAnsi="Times New Roman" w:cs="Times New Roman"/>
          <w:sz w:val="24"/>
          <w:szCs w:val="24"/>
        </w:rPr>
      </w:pPr>
    </w:p>
    <w:p w:rsidR="003E5367" w:rsidRPr="00830A77" w:rsidRDefault="00F53840" w:rsidP="00921535">
      <w:pPr>
        <w:pStyle w:val="Sraopastraipa"/>
        <w:numPr>
          <w:ilvl w:val="0"/>
          <w:numId w:val="32"/>
        </w:numPr>
        <w:spacing w:after="0" w:line="360" w:lineRule="auto"/>
        <w:jc w:val="both"/>
        <w:rPr>
          <w:rFonts w:ascii="Times New Roman" w:hAnsi="Times New Roman" w:cs="Times New Roman"/>
          <w:sz w:val="24"/>
          <w:szCs w:val="24"/>
        </w:rPr>
      </w:pPr>
      <w:r w:rsidRPr="00830A77">
        <w:rPr>
          <w:rFonts w:ascii="Times New Roman" w:hAnsi="Times New Roman" w:cs="Times New Roman"/>
          <w:sz w:val="24"/>
          <w:szCs w:val="24"/>
        </w:rPr>
        <w:t xml:space="preserve">Tiriamosios grupės rankos funkcijos rodiklių pokyčiai buvo didesni nei kontrolinės grupės, išskyrus plaštakos alkūninio nuokrypio rodiklius. </w:t>
      </w:r>
      <w:r w:rsidR="003E5367" w:rsidRPr="00830A77">
        <w:rPr>
          <w:rFonts w:ascii="Times New Roman" w:hAnsi="Times New Roman" w:cs="Times New Roman"/>
          <w:sz w:val="24"/>
          <w:szCs w:val="24"/>
        </w:rPr>
        <w:t xml:space="preserve">Ergoterapija su </w:t>
      </w:r>
      <w:r w:rsidR="00830A77">
        <w:rPr>
          <w:rFonts w:ascii="Times New Roman" w:hAnsi="Times New Roman" w:cs="Times New Roman"/>
          <w:sz w:val="24"/>
          <w:szCs w:val="24"/>
        </w:rPr>
        <w:t>kinezio</w:t>
      </w:r>
      <w:r w:rsidR="003E5367" w:rsidRPr="00830A77">
        <w:rPr>
          <w:rFonts w:ascii="Times New Roman" w:hAnsi="Times New Roman" w:cs="Times New Roman"/>
          <w:sz w:val="24"/>
          <w:szCs w:val="24"/>
        </w:rPr>
        <w:t>teipavimu kartu su kitomis reabilitacijos procedūromis sustiprino efektą mažinant skausmą, raumenų sustingimą, didinant plaštakos judesių amplitudę.</w:t>
      </w:r>
    </w:p>
    <w:p w:rsidR="003E5367" w:rsidRDefault="00D75719" w:rsidP="00921535">
      <w:pPr>
        <w:spacing w:after="0" w:line="360" w:lineRule="auto"/>
        <w:contextualSpacing/>
        <w:jc w:val="both"/>
        <w:rPr>
          <w:rFonts w:ascii="Times New Roman" w:hAnsi="Times New Roman" w:cs="Times New Roman"/>
          <w:b/>
          <w:sz w:val="24"/>
          <w:szCs w:val="24"/>
        </w:rPr>
      </w:pPr>
      <w:r w:rsidRPr="00D75719">
        <w:rPr>
          <w:rFonts w:ascii="Times New Roman" w:hAnsi="Times New Roman" w:cs="Times New Roman"/>
          <w:b/>
          <w:sz w:val="24"/>
          <w:szCs w:val="24"/>
        </w:rPr>
        <w:t xml:space="preserve"> </w:t>
      </w:r>
    </w:p>
    <w:p w:rsidR="003E5367" w:rsidRDefault="003E5367" w:rsidP="00045FF2">
      <w:pPr>
        <w:spacing w:after="0" w:line="360" w:lineRule="auto"/>
        <w:contextualSpacing/>
        <w:jc w:val="both"/>
        <w:rPr>
          <w:rFonts w:ascii="Times New Roman" w:hAnsi="Times New Roman" w:cs="Times New Roman"/>
          <w:b/>
          <w:sz w:val="24"/>
          <w:szCs w:val="24"/>
        </w:rPr>
      </w:pPr>
    </w:p>
    <w:p w:rsidR="003E5367" w:rsidRDefault="001D429C" w:rsidP="00045FF2">
      <w:pPr>
        <w:spacing w:after="0"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br w:type="page"/>
      </w:r>
    </w:p>
    <w:p w:rsidR="003F71F3" w:rsidRDefault="001D429C" w:rsidP="001D429C">
      <w:pPr>
        <w:pStyle w:val="Antrat1"/>
        <w:jc w:val="center"/>
        <w:rPr>
          <w:rFonts w:ascii="Times New Roman" w:hAnsi="Times New Roman" w:cs="Times New Roman"/>
          <w:color w:val="auto"/>
          <w:sz w:val="32"/>
          <w:szCs w:val="32"/>
        </w:rPr>
      </w:pPr>
      <w:bookmarkStart w:id="40" w:name="_Toc388560355"/>
      <w:r w:rsidRPr="001D429C">
        <w:rPr>
          <w:rFonts w:ascii="Times New Roman" w:hAnsi="Times New Roman" w:cs="Times New Roman"/>
          <w:color w:val="auto"/>
          <w:sz w:val="32"/>
          <w:szCs w:val="32"/>
        </w:rPr>
        <w:lastRenderedPageBreak/>
        <w:t>LITERATŪROS ŠALTINIAI</w:t>
      </w:r>
      <w:bookmarkEnd w:id="40"/>
    </w:p>
    <w:p w:rsidR="001D429C" w:rsidRPr="001D429C" w:rsidRDefault="001D429C" w:rsidP="001D429C"/>
    <w:p w:rsidR="003F71F3" w:rsidRPr="006E456D" w:rsidRDefault="003F71F3" w:rsidP="00045FF2">
      <w:pPr>
        <w:pStyle w:val="Sraopastraipa"/>
        <w:numPr>
          <w:ilvl w:val="0"/>
          <w:numId w:val="29"/>
        </w:numPr>
        <w:spacing w:after="0" w:line="360" w:lineRule="auto"/>
        <w:jc w:val="both"/>
        <w:rPr>
          <w:rFonts w:ascii="Times New Roman" w:hAnsi="Times New Roman" w:cs="Times New Roman"/>
          <w:sz w:val="24"/>
          <w:szCs w:val="24"/>
        </w:rPr>
      </w:pPr>
      <w:r w:rsidRPr="006E456D">
        <w:rPr>
          <w:rFonts w:ascii="Times New Roman" w:hAnsi="Times New Roman" w:cs="Times New Roman"/>
          <w:sz w:val="24"/>
          <w:szCs w:val="24"/>
        </w:rPr>
        <w:t>John. D. Lubahn, MD. D. Patrick Williams, Nancy Falkenstein, OTR/L, CHT and Susan Weiss. Anatomy Extravaganza of the Upper Extremity. EHT Instructors:. The Hand and Wrist Chapter 16. 336psl.</w:t>
      </w:r>
    </w:p>
    <w:p w:rsidR="003F71F3" w:rsidRPr="006E456D" w:rsidRDefault="003F71F3" w:rsidP="00045FF2">
      <w:pPr>
        <w:pStyle w:val="Sraopastraipa"/>
        <w:numPr>
          <w:ilvl w:val="0"/>
          <w:numId w:val="29"/>
        </w:numPr>
        <w:spacing w:after="0" w:line="360" w:lineRule="auto"/>
        <w:jc w:val="both"/>
        <w:rPr>
          <w:rFonts w:ascii="Times New Roman" w:hAnsi="Times New Roman" w:cs="Times New Roman"/>
          <w:sz w:val="24"/>
          <w:szCs w:val="24"/>
        </w:rPr>
      </w:pPr>
      <w:r w:rsidRPr="006E456D">
        <w:rPr>
          <w:rFonts w:ascii="Times New Roman" w:hAnsi="Times New Roman" w:cs="Times New Roman"/>
          <w:sz w:val="24"/>
          <w:szCs w:val="24"/>
        </w:rPr>
        <w:t xml:space="preserve">Prosser R, Conolly WB. Rehabilitation of the hand and upper limb. 2003; 130-135. </w:t>
      </w:r>
    </w:p>
    <w:p w:rsidR="003F71F3" w:rsidRPr="006E456D" w:rsidRDefault="003F71F3" w:rsidP="00045FF2">
      <w:pPr>
        <w:pStyle w:val="Sraopastraipa"/>
        <w:numPr>
          <w:ilvl w:val="0"/>
          <w:numId w:val="29"/>
        </w:numPr>
        <w:spacing w:after="0" w:line="360" w:lineRule="auto"/>
        <w:jc w:val="both"/>
        <w:rPr>
          <w:rFonts w:ascii="Times New Roman" w:hAnsi="Times New Roman" w:cs="Times New Roman"/>
          <w:sz w:val="24"/>
          <w:szCs w:val="24"/>
        </w:rPr>
      </w:pPr>
      <w:r w:rsidRPr="006E456D">
        <w:rPr>
          <w:rFonts w:ascii="Times New Roman" w:hAnsi="Times New Roman" w:cs="Times New Roman"/>
          <w:sz w:val="24"/>
          <w:szCs w:val="24"/>
        </w:rPr>
        <w:t>Kęstutis Braziulis, prof. Rytis Rimdeika, Ovidijus Laucius. Lietuvos gydytojo žurnalas Nr. 10. 2012m. Stipinkaulio distalinio galo lūžių gydymas.</w:t>
      </w:r>
    </w:p>
    <w:p w:rsidR="003F71F3" w:rsidRPr="006E456D" w:rsidRDefault="003F71F3" w:rsidP="00045FF2">
      <w:pPr>
        <w:pStyle w:val="Sraopastraipa"/>
        <w:numPr>
          <w:ilvl w:val="0"/>
          <w:numId w:val="29"/>
        </w:numPr>
        <w:spacing w:after="0" w:line="360" w:lineRule="auto"/>
        <w:jc w:val="both"/>
        <w:rPr>
          <w:rFonts w:ascii="Times New Roman" w:hAnsi="Times New Roman" w:cs="Times New Roman"/>
          <w:sz w:val="24"/>
          <w:szCs w:val="24"/>
        </w:rPr>
      </w:pPr>
      <w:r w:rsidRPr="006E456D">
        <w:rPr>
          <w:rFonts w:ascii="Times New Roman" w:hAnsi="Times New Roman" w:cs="Times New Roman"/>
          <w:sz w:val="24"/>
          <w:szCs w:val="24"/>
        </w:rPr>
        <w:t>Birgit Kumbrink. K – taping</w:t>
      </w:r>
      <w:r w:rsidR="006B6059">
        <w:rPr>
          <w:rFonts w:ascii="Times New Roman" w:hAnsi="Times New Roman" w:cs="Times New Roman"/>
          <w:sz w:val="24"/>
          <w:szCs w:val="24"/>
        </w:rPr>
        <w:t>.</w:t>
      </w:r>
      <w:r w:rsidRPr="006E456D">
        <w:rPr>
          <w:rFonts w:ascii="Times New Roman" w:hAnsi="Times New Roman" w:cs="Times New Roman"/>
          <w:sz w:val="24"/>
          <w:szCs w:val="24"/>
        </w:rPr>
        <w:t xml:space="preserve"> Chapter 1. The k-taping method.</w:t>
      </w:r>
      <w:r w:rsidR="006B6059">
        <w:rPr>
          <w:rFonts w:ascii="Times New Roman" w:hAnsi="Times New Roman" w:cs="Times New Roman"/>
          <w:sz w:val="24"/>
          <w:szCs w:val="24"/>
        </w:rPr>
        <w:t xml:space="preserve"> </w:t>
      </w:r>
      <w:r w:rsidR="006B6059" w:rsidRPr="006E456D">
        <w:rPr>
          <w:rFonts w:ascii="Times New Roman" w:hAnsi="Times New Roman" w:cs="Times New Roman"/>
          <w:sz w:val="24"/>
          <w:szCs w:val="24"/>
        </w:rPr>
        <w:t>2012</w:t>
      </w:r>
      <w:r w:rsidR="006B6059">
        <w:rPr>
          <w:rFonts w:ascii="Times New Roman" w:hAnsi="Times New Roman" w:cs="Times New Roman"/>
          <w:sz w:val="24"/>
          <w:szCs w:val="24"/>
        </w:rPr>
        <w:t>;</w:t>
      </w:r>
      <w:r w:rsidRPr="006E456D">
        <w:rPr>
          <w:rFonts w:ascii="Times New Roman" w:hAnsi="Times New Roman" w:cs="Times New Roman"/>
          <w:sz w:val="24"/>
          <w:szCs w:val="24"/>
        </w:rPr>
        <w:t xml:space="preserve"> 3p.</w:t>
      </w:r>
    </w:p>
    <w:p w:rsidR="003F71F3" w:rsidRPr="006E456D" w:rsidRDefault="003F71F3" w:rsidP="00045FF2">
      <w:pPr>
        <w:pStyle w:val="Sraopastraipa"/>
        <w:numPr>
          <w:ilvl w:val="0"/>
          <w:numId w:val="29"/>
        </w:numPr>
        <w:spacing w:after="0" w:line="360" w:lineRule="auto"/>
        <w:jc w:val="both"/>
        <w:rPr>
          <w:rFonts w:ascii="Times New Roman" w:hAnsi="Times New Roman" w:cs="Times New Roman"/>
          <w:sz w:val="24"/>
          <w:szCs w:val="24"/>
        </w:rPr>
      </w:pPr>
      <w:r w:rsidRPr="006E456D">
        <w:rPr>
          <w:rFonts w:ascii="Times New Roman" w:hAnsi="Times New Roman" w:cs="Times New Roman"/>
          <w:sz w:val="24"/>
          <w:szCs w:val="24"/>
        </w:rPr>
        <w:t>Lipin´ska, A., S´liwin´ski, Z., Kiebzak, W., Senderek, T. and Kirenko, J. (2007). Influence of Kinesiotaping applications on lymphoedema of and upper limb in women after mastectomy. Polish Journal of Physiotherapy, 7, 258–269.</w:t>
      </w:r>
    </w:p>
    <w:p w:rsidR="003F71F3" w:rsidRPr="006E456D" w:rsidRDefault="003F71F3" w:rsidP="00045FF2">
      <w:pPr>
        <w:pStyle w:val="Sraopastraipa"/>
        <w:numPr>
          <w:ilvl w:val="0"/>
          <w:numId w:val="29"/>
        </w:numPr>
        <w:spacing w:after="0" w:line="360" w:lineRule="auto"/>
        <w:jc w:val="both"/>
        <w:rPr>
          <w:rFonts w:ascii="Times New Roman" w:hAnsi="Times New Roman" w:cs="Times New Roman"/>
          <w:sz w:val="24"/>
          <w:szCs w:val="24"/>
        </w:rPr>
      </w:pPr>
      <w:r w:rsidRPr="006E456D">
        <w:rPr>
          <w:rFonts w:ascii="Times New Roman" w:hAnsi="Times New Roman" w:cs="Times New Roman"/>
          <w:sz w:val="24"/>
          <w:szCs w:val="24"/>
        </w:rPr>
        <w:t>Firth, B.L, Dingley, P., Davies, E.R., Lewis, J.S,, Alexander, C.M. (2010). The effect of kinesiotape on function, pain, and motoneuronal excitability in healthy people and people with achilles tendinopathy. Clinical Journal Sport Medicine, 20(6), 416–421.</w:t>
      </w:r>
    </w:p>
    <w:p w:rsidR="003F71F3" w:rsidRPr="006E456D" w:rsidRDefault="003F71F3" w:rsidP="00045FF2">
      <w:pPr>
        <w:pStyle w:val="Sraopastraipa"/>
        <w:numPr>
          <w:ilvl w:val="0"/>
          <w:numId w:val="29"/>
        </w:numPr>
        <w:spacing w:after="0" w:line="360" w:lineRule="auto"/>
        <w:jc w:val="both"/>
        <w:rPr>
          <w:rFonts w:ascii="Times New Roman" w:hAnsi="Times New Roman" w:cs="Times New Roman"/>
          <w:sz w:val="24"/>
          <w:szCs w:val="24"/>
        </w:rPr>
      </w:pPr>
      <w:r w:rsidRPr="006E456D">
        <w:rPr>
          <w:rFonts w:ascii="Times New Roman" w:hAnsi="Times New Roman" w:cs="Times New Roman"/>
          <w:sz w:val="24"/>
          <w:szCs w:val="24"/>
        </w:rPr>
        <w:t>Aminaka, N., Gribble, P.A. (2008). Patellar taping, patellofemoral pain syndrome, lower extremity kinematics, and dynamic postural control. Journal of Athletic Training, 43(1), 21–8.</w:t>
      </w:r>
    </w:p>
    <w:p w:rsidR="003F71F3" w:rsidRPr="006E456D" w:rsidRDefault="003F71F3" w:rsidP="00045FF2">
      <w:pPr>
        <w:pStyle w:val="Sraopastraipa"/>
        <w:numPr>
          <w:ilvl w:val="0"/>
          <w:numId w:val="29"/>
        </w:numPr>
        <w:spacing w:after="0" w:line="360" w:lineRule="auto"/>
        <w:jc w:val="both"/>
        <w:rPr>
          <w:rFonts w:ascii="Times New Roman" w:hAnsi="Times New Roman" w:cs="Times New Roman"/>
          <w:sz w:val="24"/>
          <w:szCs w:val="24"/>
        </w:rPr>
      </w:pPr>
      <w:r w:rsidRPr="006E456D">
        <w:rPr>
          <w:rFonts w:ascii="Times New Roman" w:hAnsi="Times New Roman" w:cs="Times New Roman"/>
          <w:sz w:val="24"/>
          <w:szCs w:val="24"/>
        </w:rPr>
        <w:t>Gonzalez-Iglesias, J., Fernandez-De-Las-Penas, C., Cleland, J., et al. (2009). Short – term effects of cervical kinesio taping on pain and cervical range of motion in patients with acute whiplash injury: a randomized clinical trial. Journal of Orthopaedic &amp; Sports Physical Therapy, 39(7), 515–521.</w:t>
      </w:r>
    </w:p>
    <w:p w:rsidR="003F71F3" w:rsidRPr="006E456D" w:rsidRDefault="003F71F3" w:rsidP="00045FF2">
      <w:pPr>
        <w:pStyle w:val="Sraopastraipa"/>
        <w:numPr>
          <w:ilvl w:val="0"/>
          <w:numId w:val="29"/>
        </w:numPr>
        <w:spacing w:after="0" w:line="360" w:lineRule="auto"/>
        <w:jc w:val="both"/>
        <w:rPr>
          <w:rFonts w:ascii="Times New Roman" w:hAnsi="Times New Roman" w:cs="Times New Roman"/>
          <w:sz w:val="24"/>
          <w:szCs w:val="24"/>
        </w:rPr>
      </w:pPr>
      <w:r w:rsidRPr="006E456D">
        <w:rPr>
          <w:rFonts w:ascii="Times New Roman" w:hAnsi="Times New Roman" w:cs="Times New Roman"/>
          <w:sz w:val="24"/>
          <w:szCs w:val="24"/>
        </w:rPr>
        <w:t>Eur J Phys Rehabil Med. A systematic review of the effectiveness of Kinesio Taping® - Fact or fashion?. 2013 Oct;49(5):699-709. Epub 2013 Apr 5.</w:t>
      </w:r>
    </w:p>
    <w:p w:rsidR="003F71F3" w:rsidRPr="006E456D" w:rsidRDefault="003F71F3" w:rsidP="00045FF2">
      <w:pPr>
        <w:pStyle w:val="Sraopastraipa"/>
        <w:numPr>
          <w:ilvl w:val="0"/>
          <w:numId w:val="29"/>
        </w:numPr>
        <w:spacing w:after="0" w:line="360" w:lineRule="auto"/>
        <w:jc w:val="both"/>
        <w:rPr>
          <w:rFonts w:ascii="Times New Roman" w:hAnsi="Times New Roman" w:cs="Times New Roman"/>
          <w:sz w:val="24"/>
          <w:szCs w:val="24"/>
        </w:rPr>
      </w:pPr>
      <w:r w:rsidRPr="006E456D">
        <w:rPr>
          <w:rFonts w:ascii="Times New Roman" w:hAnsi="Times New Roman" w:cs="Times New Roman"/>
          <w:sz w:val="24"/>
          <w:szCs w:val="24"/>
        </w:rPr>
        <w:t>H. Peterson. Springer. Physeal Injury Other Than Fracture. 2012. Chapter 21. 21.6 Wrist, 410.</w:t>
      </w:r>
    </w:p>
    <w:p w:rsidR="003F71F3" w:rsidRPr="006E456D" w:rsidRDefault="003F71F3" w:rsidP="00045FF2">
      <w:pPr>
        <w:pStyle w:val="Sraopastraipa"/>
        <w:numPr>
          <w:ilvl w:val="0"/>
          <w:numId w:val="29"/>
        </w:numPr>
        <w:spacing w:after="0" w:line="360" w:lineRule="auto"/>
        <w:jc w:val="both"/>
        <w:rPr>
          <w:rFonts w:ascii="Times New Roman" w:hAnsi="Times New Roman" w:cs="Times New Roman"/>
          <w:sz w:val="24"/>
          <w:szCs w:val="24"/>
        </w:rPr>
      </w:pPr>
      <w:r w:rsidRPr="006E456D">
        <w:rPr>
          <w:rFonts w:ascii="Times New Roman" w:hAnsi="Times New Roman" w:cs="Times New Roman"/>
          <w:sz w:val="24"/>
          <w:szCs w:val="24"/>
        </w:rPr>
        <w:t>Daniel K. Laino, M.D., and Nirmal Tejwani, M.D. Indications for Operative Fixation of Distal Radius Fractures. 2012;70(1):35-40.</w:t>
      </w:r>
    </w:p>
    <w:p w:rsidR="003F71F3" w:rsidRPr="006E456D" w:rsidRDefault="003F71F3" w:rsidP="00045FF2">
      <w:pPr>
        <w:pStyle w:val="Sraopastraipa"/>
        <w:numPr>
          <w:ilvl w:val="0"/>
          <w:numId w:val="29"/>
        </w:numPr>
        <w:spacing w:after="0" w:line="360" w:lineRule="auto"/>
        <w:jc w:val="both"/>
        <w:rPr>
          <w:rFonts w:ascii="Times New Roman" w:hAnsi="Times New Roman" w:cs="Times New Roman"/>
          <w:sz w:val="24"/>
          <w:szCs w:val="24"/>
        </w:rPr>
      </w:pPr>
      <w:r w:rsidRPr="006E456D">
        <w:rPr>
          <w:rFonts w:ascii="Times New Roman" w:hAnsi="Times New Roman" w:cs="Times New Roman"/>
          <w:sz w:val="24"/>
          <w:szCs w:val="24"/>
        </w:rPr>
        <w:t>M. Tamulaitienė, V. Alekna, V. Sinkevičienė. Dilbio kaulų distalinės dalies lūžių klinikinė charakteristika. Gerontologija 2009; 10(2): 71–77.</w:t>
      </w:r>
    </w:p>
    <w:p w:rsidR="003F71F3" w:rsidRPr="006E456D" w:rsidRDefault="003F71F3" w:rsidP="00045FF2">
      <w:pPr>
        <w:pStyle w:val="Sraopastraipa"/>
        <w:numPr>
          <w:ilvl w:val="0"/>
          <w:numId w:val="29"/>
        </w:numPr>
        <w:spacing w:after="0" w:line="360" w:lineRule="auto"/>
        <w:jc w:val="both"/>
        <w:rPr>
          <w:rFonts w:ascii="Times New Roman" w:hAnsi="Times New Roman" w:cs="Times New Roman"/>
          <w:sz w:val="24"/>
          <w:szCs w:val="24"/>
        </w:rPr>
      </w:pPr>
      <w:r w:rsidRPr="006E456D">
        <w:rPr>
          <w:rFonts w:ascii="Times New Roman" w:hAnsi="Times New Roman" w:cs="Times New Roman"/>
          <w:sz w:val="24"/>
          <w:szCs w:val="24"/>
        </w:rPr>
        <w:t xml:space="preserve">Rockwood and Green's Fractures in Adults 6th ed [2 vols] - R. Bucholz, et al., (Lippincott, 2006). Chapter 4. P-99. </w:t>
      </w:r>
    </w:p>
    <w:p w:rsidR="003F71F3" w:rsidRPr="006E456D" w:rsidRDefault="003F71F3" w:rsidP="00045FF2">
      <w:pPr>
        <w:pStyle w:val="Sraopastraipa"/>
        <w:numPr>
          <w:ilvl w:val="0"/>
          <w:numId w:val="29"/>
        </w:numPr>
        <w:spacing w:after="0" w:line="360" w:lineRule="auto"/>
        <w:jc w:val="both"/>
        <w:rPr>
          <w:rFonts w:ascii="Times New Roman" w:hAnsi="Times New Roman" w:cs="Times New Roman"/>
          <w:sz w:val="24"/>
          <w:szCs w:val="24"/>
        </w:rPr>
      </w:pPr>
      <w:r w:rsidRPr="006E456D">
        <w:rPr>
          <w:rFonts w:ascii="Times New Roman" w:hAnsi="Times New Roman" w:cs="Times New Roman"/>
          <w:sz w:val="24"/>
          <w:szCs w:val="24"/>
        </w:rPr>
        <w:t>A. Lynette, Jones Susan, J. Lederman. Human hand function. 2006. Historical Overview and General Introduction. Chapter 1.</w:t>
      </w:r>
    </w:p>
    <w:p w:rsidR="003F71F3" w:rsidRPr="006E456D" w:rsidRDefault="003F71F3" w:rsidP="00045FF2">
      <w:pPr>
        <w:pStyle w:val="Sraopastraipa"/>
        <w:numPr>
          <w:ilvl w:val="0"/>
          <w:numId w:val="29"/>
        </w:numPr>
        <w:spacing w:after="0" w:line="360" w:lineRule="auto"/>
        <w:jc w:val="both"/>
        <w:rPr>
          <w:rFonts w:ascii="Times New Roman" w:hAnsi="Times New Roman" w:cs="Times New Roman"/>
          <w:sz w:val="24"/>
          <w:szCs w:val="24"/>
        </w:rPr>
      </w:pPr>
      <w:r w:rsidRPr="006E456D">
        <w:rPr>
          <w:rFonts w:ascii="Times New Roman" w:hAnsi="Times New Roman" w:cs="Times New Roman"/>
          <w:sz w:val="24"/>
          <w:szCs w:val="24"/>
        </w:rPr>
        <w:t>Rimvydas Stropus, Aleksandras Ratkevičius, Eglė Monastryckienė. Žmogaus judėjimo anatomija. 2013; 140 – 149.</w:t>
      </w:r>
    </w:p>
    <w:p w:rsidR="003F71F3" w:rsidRPr="006E456D" w:rsidRDefault="003F71F3" w:rsidP="00045FF2">
      <w:pPr>
        <w:pStyle w:val="Sraopastraipa"/>
        <w:numPr>
          <w:ilvl w:val="0"/>
          <w:numId w:val="29"/>
        </w:numPr>
        <w:spacing w:after="0" w:line="360" w:lineRule="auto"/>
        <w:jc w:val="both"/>
        <w:rPr>
          <w:rFonts w:ascii="Times New Roman" w:hAnsi="Times New Roman" w:cs="Times New Roman"/>
          <w:sz w:val="24"/>
          <w:szCs w:val="24"/>
        </w:rPr>
      </w:pPr>
      <w:r w:rsidRPr="006E456D">
        <w:rPr>
          <w:rFonts w:ascii="Times New Roman" w:hAnsi="Times New Roman" w:cs="Times New Roman"/>
          <w:sz w:val="24"/>
          <w:szCs w:val="24"/>
        </w:rPr>
        <w:lastRenderedPageBreak/>
        <w:t>J. McConnell, etl. Al. Interprenting Trauma Radiographs. Blackwell 2005 m. Section two. The distal radius and ulna. 130 psl.</w:t>
      </w:r>
    </w:p>
    <w:p w:rsidR="003F71F3" w:rsidRPr="006E456D" w:rsidRDefault="003F71F3" w:rsidP="00045FF2">
      <w:pPr>
        <w:pStyle w:val="Sraopastraipa"/>
        <w:numPr>
          <w:ilvl w:val="0"/>
          <w:numId w:val="29"/>
        </w:numPr>
        <w:spacing w:after="0" w:line="360" w:lineRule="auto"/>
        <w:jc w:val="both"/>
        <w:rPr>
          <w:rFonts w:ascii="Times New Roman" w:hAnsi="Times New Roman" w:cs="Times New Roman"/>
          <w:sz w:val="24"/>
          <w:szCs w:val="24"/>
        </w:rPr>
      </w:pPr>
      <w:r w:rsidRPr="006E456D">
        <w:rPr>
          <w:rFonts w:ascii="Times New Roman" w:hAnsi="Times New Roman" w:cs="Times New Roman"/>
          <w:sz w:val="24"/>
          <w:szCs w:val="24"/>
        </w:rPr>
        <w:t>S. Ryliškis. Dilbio kaulų lūžiai. 2013 m.</w:t>
      </w:r>
    </w:p>
    <w:p w:rsidR="003F71F3" w:rsidRPr="006E456D" w:rsidRDefault="003F71F3" w:rsidP="00045FF2">
      <w:pPr>
        <w:pStyle w:val="Sraopastraipa"/>
        <w:numPr>
          <w:ilvl w:val="0"/>
          <w:numId w:val="29"/>
        </w:numPr>
        <w:spacing w:after="0" w:line="360" w:lineRule="auto"/>
        <w:jc w:val="both"/>
        <w:rPr>
          <w:rFonts w:ascii="Times New Roman" w:hAnsi="Times New Roman" w:cs="Times New Roman"/>
          <w:sz w:val="24"/>
          <w:szCs w:val="24"/>
        </w:rPr>
      </w:pPr>
      <w:r w:rsidRPr="006E456D">
        <w:rPr>
          <w:rFonts w:ascii="Times New Roman" w:hAnsi="Times New Roman" w:cs="Times New Roman"/>
          <w:sz w:val="24"/>
          <w:szCs w:val="24"/>
        </w:rPr>
        <w:t>Seyed Behrooz Mostofi. Fracture Classifications in Clinical Practice. Chapter 1 – shoulder and upper limb. 30ps. 2006 m.</w:t>
      </w:r>
    </w:p>
    <w:p w:rsidR="003F71F3" w:rsidRPr="006E456D" w:rsidRDefault="003F71F3" w:rsidP="00045FF2">
      <w:pPr>
        <w:pStyle w:val="Sraopastraipa"/>
        <w:numPr>
          <w:ilvl w:val="0"/>
          <w:numId w:val="29"/>
        </w:numPr>
        <w:spacing w:after="0" w:line="360" w:lineRule="auto"/>
        <w:jc w:val="both"/>
        <w:rPr>
          <w:rFonts w:ascii="Times New Roman" w:hAnsi="Times New Roman" w:cs="Times New Roman"/>
          <w:sz w:val="24"/>
          <w:szCs w:val="24"/>
        </w:rPr>
      </w:pPr>
      <w:r w:rsidRPr="006E456D">
        <w:rPr>
          <w:rFonts w:ascii="Times New Roman" w:hAnsi="Times New Roman" w:cs="Times New Roman"/>
          <w:sz w:val="24"/>
          <w:szCs w:val="24"/>
        </w:rPr>
        <w:t>R. Braddom, et. AL., Saunders. Physical medicine and rehabilitation 4th ed. Section 4. Issues and specific diagnosis. 834 p. 2011 m.</w:t>
      </w:r>
    </w:p>
    <w:p w:rsidR="003F71F3" w:rsidRPr="006E456D" w:rsidRDefault="003F71F3" w:rsidP="00045FF2">
      <w:pPr>
        <w:pStyle w:val="Sraopastraipa"/>
        <w:numPr>
          <w:ilvl w:val="0"/>
          <w:numId w:val="29"/>
        </w:numPr>
        <w:spacing w:after="0" w:line="360" w:lineRule="auto"/>
        <w:jc w:val="both"/>
        <w:rPr>
          <w:rFonts w:ascii="Times New Roman" w:hAnsi="Times New Roman" w:cs="Times New Roman"/>
          <w:sz w:val="24"/>
          <w:szCs w:val="24"/>
        </w:rPr>
      </w:pPr>
      <w:r w:rsidRPr="006E456D">
        <w:rPr>
          <w:rFonts w:ascii="Times New Roman" w:hAnsi="Times New Roman" w:cs="Times New Roman"/>
          <w:sz w:val="24"/>
          <w:szCs w:val="24"/>
        </w:rPr>
        <w:t>Kumbrink B. (2009). Ein Praxishandbuch Grundlagen, Anlagetechniken, Indikationen. Springen-Verlag GmbH</w:t>
      </w:r>
    </w:p>
    <w:p w:rsidR="003F71F3" w:rsidRPr="006E456D" w:rsidRDefault="003F71F3" w:rsidP="00045FF2">
      <w:pPr>
        <w:pStyle w:val="Sraopastraipa"/>
        <w:numPr>
          <w:ilvl w:val="0"/>
          <w:numId w:val="29"/>
        </w:numPr>
        <w:spacing w:after="0" w:line="360" w:lineRule="auto"/>
        <w:jc w:val="both"/>
        <w:rPr>
          <w:rFonts w:ascii="Times New Roman" w:hAnsi="Times New Roman" w:cs="Times New Roman"/>
          <w:sz w:val="24"/>
          <w:szCs w:val="24"/>
        </w:rPr>
      </w:pPr>
      <w:r w:rsidRPr="006E456D">
        <w:rPr>
          <w:rFonts w:ascii="Times New Roman" w:hAnsi="Times New Roman" w:cs="Times New Roman"/>
          <w:sz w:val="24"/>
          <w:szCs w:val="24"/>
        </w:rPr>
        <w:t>Ahmed LA, Schirmer H, Bjornerem A, Emaus N, Jorgensen L, Stormer J, Joakimsen RM 2009 m. The gender and age specific 10 year and lifetime absoliute fracture risk in Tromso, Norway. Eur j Epidemiol 24:441-448</w:t>
      </w:r>
    </w:p>
    <w:p w:rsidR="003F71F3" w:rsidRPr="006E456D" w:rsidRDefault="003F71F3" w:rsidP="00045FF2">
      <w:pPr>
        <w:pStyle w:val="Sraopastraipa"/>
        <w:numPr>
          <w:ilvl w:val="0"/>
          <w:numId w:val="29"/>
        </w:numPr>
        <w:spacing w:after="0" w:line="360" w:lineRule="auto"/>
        <w:jc w:val="both"/>
        <w:rPr>
          <w:rFonts w:ascii="Times New Roman" w:hAnsi="Times New Roman" w:cs="Times New Roman"/>
          <w:sz w:val="24"/>
          <w:szCs w:val="24"/>
        </w:rPr>
      </w:pPr>
      <w:r w:rsidRPr="006E456D">
        <w:rPr>
          <w:rFonts w:ascii="Times New Roman" w:hAnsi="Times New Roman" w:cs="Times New Roman"/>
          <w:sz w:val="24"/>
          <w:szCs w:val="24"/>
        </w:rPr>
        <w:t xml:space="preserve">Alireza Shamsoddini, Mohammad Taghi Hollisaz. Effects of taping on pain, grip strength and wrist extension force in patients with tennis elbow. Trauma monthly 2013 Dec; 18(2): 71-4. </w:t>
      </w:r>
    </w:p>
    <w:p w:rsidR="003F71F3" w:rsidRPr="006E456D" w:rsidRDefault="003F71F3" w:rsidP="00045FF2">
      <w:pPr>
        <w:pStyle w:val="Sraopastraipa"/>
        <w:numPr>
          <w:ilvl w:val="0"/>
          <w:numId w:val="29"/>
        </w:numPr>
        <w:spacing w:after="0" w:line="360" w:lineRule="auto"/>
        <w:jc w:val="both"/>
        <w:rPr>
          <w:rFonts w:ascii="Times New Roman" w:hAnsi="Times New Roman" w:cs="Times New Roman"/>
          <w:sz w:val="24"/>
          <w:szCs w:val="24"/>
        </w:rPr>
      </w:pPr>
      <w:r w:rsidRPr="006E456D">
        <w:rPr>
          <w:rFonts w:ascii="Times New Roman" w:hAnsi="Times New Roman" w:cs="Times New Roman"/>
          <w:sz w:val="24"/>
          <w:szCs w:val="24"/>
        </w:rPr>
        <w:t>M. Tamulaitienė, V. Alekna, V. Sinkevičienė. Dilbio kaulų distalinės dalies lūžių klinikinė charakteristika. Gerontologija 2009; 10(2): 71-77</w:t>
      </w:r>
    </w:p>
    <w:p w:rsidR="003F71F3" w:rsidRPr="006E456D" w:rsidRDefault="003F71F3" w:rsidP="00045FF2">
      <w:pPr>
        <w:pStyle w:val="Sraopastraipa"/>
        <w:numPr>
          <w:ilvl w:val="0"/>
          <w:numId w:val="29"/>
        </w:numPr>
        <w:spacing w:after="0" w:line="360" w:lineRule="auto"/>
        <w:jc w:val="both"/>
        <w:rPr>
          <w:rFonts w:ascii="Times New Roman" w:hAnsi="Times New Roman" w:cs="Times New Roman"/>
          <w:sz w:val="24"/>
          <w:szCs w:val="24"/>
        </w:rPr>
      </w:pPr>
      <w:r w:rsidRPr="006E456D">
        <w:rPr>
          <w:rFonts w:ascii="Times New Roman" w:hAnsi="Times New Roman" w:cs="Times New Roman"/>
          <w:sz w:val="24"/>
          <w:szCs w:val="24"/>
        </w:rPr>
        <w:t xml:space="preserve">M. Kocius, N. Porvaneckas ir kt. Ortopedija – traumatologija. Vilnius; 2014 m.; 12-17. </w:t>
      </w:r>
    </w:p>
    <w:p w:rsidR="003F71F3" w:rsidRPr="006E456D" w:rsidRDefault="003F71F3" w:rsidP="00045FF2">
      <w:pPr>
        <w:pStyle w:val="Sraopastraipa"/>
        <w:numPr>
          <w:ilvl w:val="0"/>
          <w:numId w:val="29"/>
        </w:numPr>
        <w:spacing w:after="0" w:line="360" w:lineRule="auto"/>
        <w:jc w:val="both"/>
        <w:rPr>
          <w:rFonts w:ascii="Times New Roman" w:hAnsi="Times New Roman" w:cs="Times New Roman"/>
          <w:sz w:val="24"/>
          <w:szCs w:val="24"/>
        </w:rPr>
      </w:pPr>
      <w:r w:rsidRPr="006E456D">
        <w:rPr>
          <w:rFonts w:ascii="Times New Roman" w:hAnsi="Times New Roman" w:cs="Times New Roman"/>
          <w:sz w:val="24"/>
          <w:szCs w:val="24"/>
        </w:rPr>
        <w:t>David J., Slutsky D, Andrew P. Gutow. Distal radius fractures, An Issue of hand clinics. 2005</w:t>
      </w:r>
    </w:p>
    <w:p w:rsidR="003F71F3" w:rsidRPr="006E456D" w:rsidRDefault="003F71F3" w:rsidP="00045FF2">
      <w:pPr>
        <w:pStyle w:val="Sraopastraipa"/>
        <w:numPr>
          <w:ilvl w:val="0"/>
          <w:numId w:val="29"/>
        </w:numPr>
        <w:spacing w:after="0" w:line="360" w:lineRule="auto"/>
        <w:jc w:val="both"/>
        <w:rPr>
          <w:rFonts w:ascii="Times New Roman" w:hAnsi="Times New Roman" w:cs="Times New Roman"/>
          <w:sz w:val="24"/>
          <w:szCs w:val="24"/>
        </w:rPr>
      </w:pPr>
      <w:r w:rsidRPr="006E456D">
        <w:rPr>
          <w:rFonts w:ascii="Times New Roman" w:hAnsi="Times New Roman" w:cs="Times New Roman"/>
          <w:sz w:val="24"/>
          <w:szCs w:val="24"/>
        </w:rPr>
        <w:t>Slutsky D. Principles of practice of wrist surgery. 2010 m.; 60-67.</w:t>
      </w:r>
    </w:p>
    <w:p w:rsidR="003F71F3" w:rsidRPr="006E456D" w:rsidRDefault="003F71F3" w:rsidP="00045FF2">
      <w:pPr>
        <w:pStyle w:val="Sraopastraipa"/>
        <w:numPr>
          <w:ilvl w:val="0"/>
          <w:numId w:val="29"/>
        </w:numPr>
        <w:spacing w:after="0" w:line="360" w:lineRule="auto"/>
        <w:jc w:val="both"/>
        <w:rPr>
          <w:rFonts w:ascii="Times New Roman" w:hAnsi="Times New Roman" w:cs="Times New Roman"/>
          <w:sz w:val="24"/>
          <w:szCs w:val="24"/>
        </w:rPr>
      </w:pPr>
      <w:r w:rsidRPr="006E456D">
        <w:rPr>
          <w:rFonts w:ascii="Times New Roman" w:hAnsi="Times New Roman" w:cs="Times New Roman"/>
          <w:sz w:val="24"/>
          <w:szCs w:val="24"/>
        </w:rPr>
        <w:t>Mohammad Ali Tahririan. Evaluation of instability factors in distal radius fractures. J. Res. Med. Sci. 2013 Oct.; 18(10): 892 – 896.</w:t>
      </w:r>
    </w:p>
    <w:p w:rsidR="003F71F3" w:rsidRPr="006E456D" w:rsidRDefault="003F71F3" w:rsidP="00045FF2">
      <w:pPr>
        <w:pStyle w:val="Sraopastraipa"/>
        <w:numPr>
          <w:ilvl w:val="0"/>
          <w:numId w:val="29"/>
        </w:numPr>
        <w:spacing w:after="0" w:line="360" w:lineRule="auto"/>
        <w:jc w:val="both"/>
        <w:rPr>
          <w:rFonts w:ascii="Times New Roman" w:hAnsi="Times New Roman" w:cs="Times New Roman"/>
          <w:sz w:val="24"/>
          <w:szCs w:val="24"/>
        </w:rPr>
      </w:pPr>
      <w:r w:rsidRPr="006E456D">
        <w:rPr>
          <w:rFonts w:ascii="Times New Roman" w:hAnsi="Times New Roman" w:cs="Times New Roman"/>
          <w:sz w:val="24"/>
          <w:szCs w:val="24"/>
        </w:rPr>
        <w:t>Jorge Raduan Neto, Vinicius Ynoe de Moraes, Flavio Faloppa. Treatment of reducible unstable fractures of distal radius: randomized clinical study comparing the locked volar plate and external fixator methods: study protocol. BMC musculoskeletal disorders; 2014 March 5.</w:t>
      </w:r>
    </w:p>
    <w:p w:rsidR="003F71F3" w:rsidRPr="006E456D" w:rsidRDefault="003F71F3" w:rsidP="00045FF2">
      <w:pPr>
        <w:pStyle w:val="Sraopastraipa"/>
        <w:numPr>
          <w:ilvl w:val="0"/>
          <w:numId w:val="29"/>
        </w:numPr>
        <w:spacing w:after="0" w:line="360" w:lineRule="auto"/>
        <w:jc w:val="both"/>
        <w:rPr>
          <w:rFonts w:ascii="Times New Roman" w:hAnsi="Times New Roman" w:cs="Times New Roman"/>
          <w:sz w:val="24"/>
          <w:szCs w:val="24"/>
        </w:rPr>
      </w:pPr>
      <w:r w:rsidRPr="006E456D">
        <w:rPr>
          <w:rFonts w:ascii="Times New Roman" w:hAnsi="Times New Roman" w:cs="Times New Roman"/>
          <w:sz w:val="24"/>
          <w:szCs w:val="24"/>
        </w:rPr>
        <w:t>Slutsky D. Principles of practice of wrist surgery. 2010 m.; 81-83.</w:t>
      </w:r>
    </w:p>
    <w:p w:rsidR="003F71F3" w:rsidRPr="006E456D" w:rsidRDefault="003F71F3" w:rsidP="00045FF2">
      <w:pPr>
        <w:pStyle w:val="Sraopastraipa"/>
        <w:numPr>
          <w:ilvl w:val="0"/>
          <w:numId w:val="29"/>
        </w:numPr>
        <w:spacing w:after="0" w:line="360" w:lineRule="auto"/>
        <w:jc w:val="both"/>
        <w:rPr>
          <w:rFonts w:ascii="Times New Roman" w:hAnsi="Times New Roman" w:cs="Times New Roman"/>
          <w:sz w:val="24"/>
          <w:szCs w:val="24"/>
        </w:rPr>
      </w:pPr>
      <w:r w:rsidRPr="006E456D">
        <w:rPr>
          <w:rFonts w:ascii="Times New Roman" w:hAnsi="Times New Roman" w:cs="Times New Roman"/>
          <w:sz w:val="24"/>
          <w:szCs w:val="24"/>
        </w:rPr>
        <w:t>A. Kriščiūnas. Rabilitacijos pagrindai. Kaunas, 2009 m.; 8-9.</w:t>
      </w:r>
    </w:p>
    <w:p w:rsidR="003F71F3" w:rsidRPr="006E456D" w:rsidRDefault="003F71F3" w:rsidP="00045FF2">
      <w:pPr>
        <w:pStyle w:val="Sraopastraipa"/>
        <w:numPr>
          <w:ilvl w:val="0"/>
          <w:numId w:val="29"/>
        </w:numPr>
        <w:spacing w:after="0" w:line="360" w:lineRule="auto"/>
        <w:jc w:val="both"/>
        <w:rPr>
          <w:rFonts w:ascii="Times New Roman" w:hAnsi="Times New Roman" w:cs="Times New Roman"/>
          <w:sz w:val="24"/>
          <w:szCs w:val="24"/>
        </w:rPr>
      </w:pPr>
      <w:r w:rsidRPr="006E456D">
        <w:rPr>
          <w:rFonts w:ascii="Times New Roman" w:hAnsi="Times New Roman" w:cs="Times New Roman"/>
          <w:sz w:val="24"/>
          <w:szCs w:val="24"/>
        </w:rPr>
        <w:t xml:space="preserve">A. Pranskaitytė. Asmenų, patyrusių stipinkaulio lūžį, rankos funkcijos ir savarankiškumo korekcija eroterapijos priemonėmis. </w:t>
      </w:r>
      <w:r w:rsidRPr="006E456D">
        <w:rPr>
          <w:rFonts w:ascii="Times New Roman" w:hAnsi="Times New Roman" w:cs="Times New Roman"/>
          <w:i/>
          <w:sz w:val="24"/>
          <w:szCs w:val="24"/>
        </w:rPr>
        <w:t xml:space="preserve">Aktualūs ergoterapijos klausimai: 10 metų patirtis Lietuvoje konferencija. </w:t>
      </w:r>
      <w:r w:rsidRPr="006E456D">
        <w:rPr>
          <w:rFonts w:ascii="Times New Roman" w:hAnsi="Times New Roman" w:cs="Times New Roman"/>
          <w:sz w:val="24"/>
          <w:szCs w:val="24"/>
        </w:rPr>
        <w:t>Kaunas; 2008.05.29 m.</w:t>
      </w:r>
    </w:p>
    <w:p w:rsidR="003F71F3" w:rsidRPr="006E456D" w:rsidRDefault="003F71F3" w:rsidP="00045FF2">
      <w:pPr>
        <w:pStyle w:val="Sraopastraipa"/>
        <w:numPr>
          <w:ilvl w:val="0"/>
          <w:numId w:val="29"/>
        </w:numPr>
        <w:spacing w:after="0" w:line="360" w:lineRule="auto"/>
        <w:jc w:val="both"/>
        <w:rPr>
          <w:rFonts w:ascii="Times New Roman" w:hAnsi="Times New Roman" w:cs="Times New Roman"/>
          <w:sz w:val="24"/>
          <w:szCs w:val="24"/>
        </w:rPr>
      </w:pPr>
      <w:r w:rsidRPr="006E456D">
        <w:rPr>
          <w:rFonts w:ascii="Times New Roman" w:hAnsi="Times New Roman" w:cs="Times New Roman"/>
          <w:sz w:val="24"/>
          <w:szCs w:val="24"/>
        </w:rPr>
        <w:t>A. Kriščiūnas. Reabilitacijos pagrindai. Kaunas; 2009 m; 89.</w:t>
      </w:r>
    </w:p>
    <w:p w:rsidR="003F71F3" w:rsidRPr="006E456D" w:rsidRDefault="003F71F3" w:rsidP="00045FF2">
      <w:pPr>
        <w:pStyle w:val="Sraopastraipa"/>
        <w:numPr>
          <w:ilvl w:val="0"/>
          <w:numId w:val="29"/>
        </w:numPr>
        <w:spacing w:after="0" w:line="360" w:lineRule="auto"/>
        <w:jc w:val="both"/>
        <w:rPr>
          <w:rFonts w:ascii="Times New Roman" w:hAnsi="Times New Roman" w:cs="Times New Roman"/>
          <w:sz w:val="24"/>
          <w:szCs w:val="24"/>
        </w:rPr>
      </w:pPr>
      <w:r w:rsidRPr="006E456D">
        <w:rPr>
          <w:rFonts w:ascii="Times New Roman" w:hAnsi="Times New Roman" w:cs="Times New Roman"/>
          <w:sz w:val="24"/>
          <w:szCs w:val="24"/>
        </w:rPr>
        <w:t>Finsen V., Rajabi B., Russwurm H. The significance of diplacement of dorsally angle distal radius fracture. Tidsskr Nor Laegeforen. 2013 Feb 19;133(4):411-4.</w:t>
      </w:r>
    </w:p>
    <w:p w:rsidR="003F71F3" w:rsidRPr="006E456D" w:rsidRDefault="003F71F3" w:rsidP="00045FF2">
      <w:pPr>
        <w:pStyle w:val="Sraopastraipa"/>
        <w:numPr>
          <w:ilvl w:val="0"/>
          <w:numId w:val="29"/>
        </w:numPr>
        <w:spacing w:after="0" w:line="360" w:lineRule="auto"/>
        <w:jc w:val="both"/>
        <w:rPr>
          <w:rFonts w:ascii="Times New Roman" w:hAnsi="Times New Roman" w:cs="Times New Roman"/>
          <w:sz w:val="24"/>
          <w:szCs w:val="24"/>
        </w:rPr>
      </w:pPr>
      <w:r w:rsidRPr="006E456D">
        <w:rPr>
          <w:rFonts w:ascii="Times New Roman" w:hAnsi="Times New Roman" w:cs="Times New Roman"/>
          <w:sz w:val="24"/>
          <w:szCs w:val="24"/>
        </w:rPr>
        <w:t>Philip E. Blaza, M.D. Symposia of hand and wrist. Determinants of instability: how to optimizme non – operative treatment. 2014 March 22;217.</w:t>
      </w:r>
    </w:p>
    <w:p w:rsidR="003F71F3" w:rsidRPr="006E456D" w:rsidRDefault="003F71F3" w:rsidP="00045FF2">
      <w:pPr>
        <w:pStyle w:val="Sraopastraipa"/>
        <w:numPr>
          <w:ilvl w:val="0"/>
          <w:numId w:val="29"/>
        </w:numPr>
        <w:spacing w:after="0" w:line="360" w:lineRule="auto"/>
        <w:jc w:val="both"/>
        <w:rPr>
          <w:rFonts w:ascii="Times New Roman" w:hAnsi="Times New Roman" w:cs="Times New Roman"/>
          <w:sz w:val="24"/>
          <w:szCs w:val="24"/>
        </w:rPr>
      </w:pPr>
      <w:r w:rsidRPr="006E456D">
        <w:rPr>
          <w:rFonts w:ascii="Times New Roman" w:hAnsi="Times New Roman" w:cs="Times New Roman"/>
          <w:sz w:val="24"/>
          <w:szCs w:val="24"/>
        </w:rPr>
        <w:lastRenderedPageBreak/>
        <w:t>Rafael J. Diaz-Garcia. A systematic review of outcomes and complications of treating unstable distal radius fractures in the eldery. J Hand Surg Am. May 2011; 36(5): 824-835.e2.</w:t>
      </w:r>
    </w:p>
    <w:p w:rsidR="003F71F3" w:rsidRPr="006E456D" w:rsidRDefault="003F71F3" w:rsidP="00045FF2">
      <w:pPr>
        <w:pStyle w:val="Sraopastraipa"/>
        <w:numPr>
          <w:ilvl w:val="0"/>
          <w:numId w:val="29"/>
        </w:numPr>
        <w:spacing w:after="0" w:line="360" w:lineRule="auto"/>
        <w:jc w:val="both"/>
        <w:rPr>
          <w:rFonts w:ascii="Times New Roman" w:hAnsi="Times New Roman" w:cs="Times New Roman"/>
          <w:sz w:val="24"/>
          <w:szCs w:val="24"/>
        </w:rPr>
      </w:pPr>
      <w:r w:rsidRPr="006E456D">
        <w:rPr>
          <w:rFonts w:ascii="Times New Roman" w:hAnsi="Times New Roman" w:cs="Times New Roman"/>
          <w:sz w:val="24"/>
          <w:szCs w:val="24"/>
        </w:rPr>
        <w:t>Niver GE, liyas AM. Carpal tunnel sindrome after distal radius fracture. Orthop Clin North AM. 2012 Oct;43(4):521-7.</w:t>
      </w:r>
    </w:p>
    <w:p w:rsidR="003F71F3" w:rsidRPr="006E456D" w:rsidRDefault="003F71F3" w:rsidP="00045FF2">
      <w:pPr>
        <w:pStyle w:val="Sraopastraipa"/>
        <w:numPr>
          <w:ilvl w:val="0"/>
          <w:numId w:val="29"/>
        </w:numPr>
        <w:spacing w:after="0" w:line="360" w:lineRule="auto"/>
        <w:jc w:val="both"/>
        <w:rPr>
          <w:rFonts w:ascii="Times New Roman" w:hAnsi="Times New Roman" w:cs="Times New Roman"/>
          <w:sz w:val="24"/>
          <w:szCs w:val="24"/>
        </w:rPr>
      </w:pPr>
      <w:r w:rsidRPr="006E456D">
        <w:rPr>
          <w:rFonts w:ascii="Times New Roman" w:hAnsi="Times New Roman" w:cs="Times New Roman"/>
          <w:sz w:val="24"/>
          <w:szCs w:val="24"/>
        </w:rPr>
        <w:t>Soong M, van Leerdam R. Fracture of distal radius: risk factors for complication after locked volar plate fixation. J Hand Surg Am. 2011 Jan;36(1)3-9.</w:t>
      </w:r>
    </w:p>
    <w:p w:rsidR="003F71F3" w:rsidRPr="006E456D" w:rsidRDefault="003F71F3" w:rsidP="00045FF2">
      <w:pPr>
        <w:pStyle w:val="Sraopastraipa"/>
        <w:numPr>
          <w:ilvl w:val="0"/>
          <w:numId w:val="29"/>
        </w:numPr>
        <w:spacing w:after="0" w:line="360" w:lineRule="auto"/>
        <w:jc w:val="both"/>
        <w:rPr>
          <w:sz w:val="24"/>
          <w:szCs w:val="24"/>
        </w:rPr>
      </w:pPr>
      <w:r w:rsidRPr="006E456D">
        <w:rPr>
          <w:rFonts w:ascii="Times New Roman" w:hAnsi="Times New Roman" w:cs="Times New Roman"/>
          <w:sz w:val="24"/>
          <w:szCs w:val="24"/>
        </w:rPr>
        <w:t>C. Maihofner, D. Seifert and Markovic. Complex region pain syndromes: new pathophysiological concepts of therapies. European journal of neurology. Volume 17, Issue 5, pages 649-660, May 2010.</w:t>
      </w:r>
    </w:p>
    <w:p w:rsidR="003F71F3" w:rsidRPr="006E456D" w:rsidRDefault="003F71F3" w:rsidP="00045FF2">
      <w:pPr>
        <w:pStyle w:val="Sraopastraipa"/>
        <w:numPr>
          <w:ilvl w:val="0"/>
          <w:numId w:val="29"/>
        </w:numPr>
        <w:spacing w:after="0" w:line="360" w:lineRule="auto"/>
        <w:jc w:val="both"/>
        <w:rPr>
          <w:rFonts w:ascii="Times New Roman" w:hAnsi="Times New Roman" w:cs="Times New Roman"/>
          <w:sz w:val="24"/>
          <w:szCs w:val="24"/>
        </w:rPr>
      </w:pPr>
      <w:r w:rsidRPr="006E456D">
        <w:rPr>
          <w:rFonts w:ascii="Times New Roman" w:hAnsi="Times New Roman" w:cs="Times New Roman"/>
          <w:sz w:val="24"/>
          <w:szCs w:val="24"/>
        </w:rPr>
        <w:t>Zachovajevas P. Pagrindinės traumos – pasekmės ir komplikacijos. Respublikinė praktinė konferencija „Reabilitacija traumatologijoje“. Kaunas; 2006 m.</w:t>
      </w:r>
    </w:p>
    <w:p w:rsidR="003F71F3" w:rsidRPr="006E456D" w:rsidRDefault="003F71F3" w:rsidP="00045FF2">
      <w:pPr>
        <w:pStyle w:val="Sraopastraipa"/>
        <w:numPr>
          <w:ilvl w:val="0"/>
          <w:numId w:val="29"/>
        </w:numPr>
        <w:spacing w:after="0" w:line="360" w:lineRule="auto"/>
        <w:jc w:val="both"/>
        <w:rPr>
          <w:rFonts w:ascii="Times New Roman" w:hAnsi="Times New Roman" w:cs="Times New Roman"/>
          <w:sz w:val="24"/>
          <w:szCs w:val="24"/>
        </w:rPr>
      </w:pPr>
      <w:r w:rsidRPr="006E456D">
        <w:rPr>
          <w:rFonts w:ascii="Times New Roman" w:hAnsi="Times New Roman" w:cs="Times New Roman"/>
          <w:sz w:val="24"/>
          <w:szCs w:val="24"/>
        </w:rPr>
        <w:t>J. Beaty, J. Kasser. Rockwood and Wilkins fractures in children 7th edition. Lippincott, 2010;293.</w:t>
      </w:r>
    </w:p>
    <w:p w:rsidR="003F71F3" w:rsidRPr="006E456D" w:rsidRDefault="003F71F3" w:rsidP="00045FF2">
      <w:pPr>
        <w:pStyle w:val="Sraopastraipa"/>
        <w:numPr>
          <w:ilvl w:val="0"/>
          <w:numId w:val="29"/>
        </w:numPr>
        <w:spacing w:after="0" w:line="360" w:lineRule="auto"/>
        <w:jc w:val="both"/>
        <w:rPr>
          <w:rFonts w:ascii="Times New Roman" w:hAnsi="Times New Roman" w:cs="Times New Roman"/>
          <w:sz w:val="24"/>
          <w:szCs w:val="24"/>
        </w:rPr>
      </w:pPr>
      <w:r w:rsidRPr="006E456D">
        <w:rPr>
          <w:rFonts w:ascii="Times New Roman" w:hAnsi="Times New Roman" w:cs="Times New Roman"/>
          <w:sz w:val="24"/>
          <w:szCs w:val="24"/>
        </w:rPr>
        <w:t>A. Kriščiūnas, R. Kerpė, A. Kimtys ir kt. Ergoterap</w:t>
      </w:r>
      <w:r w:rsidR="008F7ED2">
        <w:rPr>
          <w:rFonts w:ascii="Times New Roman" w:hAnsi="Times New Roman" w:cs="Times New Roman"/>
          <w:sz w:val="24"/>
          <w:szCs w:val="24"/>
        </w:rPr>
        <w:t>ijos vadovėlis. Kaunas 2008 m.</w:t>
      </w:r>
    </w:p>
    <w:p w:rsidR="003F71F3" w:rsidRPr="006E456D" w:rsidRDefault="003F71F3" w:rsidP="00045FF2">
      <w:pPr>
        <w:pStyle w:val="Sraopastraipa"/>
        <w:numPr>
          <w:ilvl w:val="0"/>
          <w:numId w:val="29"/>
        </w:numPr>
        <w:spacing w:after="0" w:line="360" w:lineRule="auto"/>
        <w:jc w:val="both"/>
        <w:rPr>
          <w:rFonts w:ascii="Times New Roman" w:hAnsi="Times New Roman" w:cs="Times New Roman"/>
          <w:sz w:val="24"/>
          <w:szCs w:val="24"/>
        </w:rPr>
      </w:pPr>
      <w:r w:rsidRPr="006E456D">
        <w:rPr>
          <w:rFonts w:ascii="Times New Roman" w:hAnsi="Times New Roman" w:cs="Times New Roman"/>
          <w:sz w:val="24"/>
          <w:szCs w:val="24"/>
        </w:rPr>
        <w:t>Nana, Avind D., et al. "Distal-Third Forearm Fractures." eMedicine. Ed. Harris Gellman. 7 Feb. 2012. Medscape. 21 Jan. 2013.</w:t>
      </w:r>
    </w:p>
    <w:p w:rsidR="003F71F3" w:rsidRPr="006E456D" w:rsidRDefault="003F71F3" w:rsidP="00045FF2">
      <w:pPr>
        <w:pStyle w:val="Sraopastraipa"/>
        <w:numPr>
          <w:ilvl w:val="0"/>
          <w:numId w:val="29"/>
        </w:numPr>
        <w:spacing w:after="0" w:line="360" w:lineRule="auto"/>
        <w:jc w:val="both"/>
        <w:rPr>
          <w:rFonts w:ascii="Times New Roman" w:hAnsi="Times New Roman" w:cs="Times New Roman"/>
          <w:sz w:val="24"/>
          <w:szCs w:val="24"/>
        </w:rPr>
      </w:pPr>
      <w:r w:rsidRPr="006E456D">
        <w:rPr>
          <w:rFonts w:ascii="Times New Roman" w:hAnsi="Times New Roman" w:cs="Times New Roman"/>
          <w:sz w:val="24"/>
          <w:szCs w:val="24"/>
        </w:rPr>
        <w:t>Hoynak, Bryan. "Wrist Fracture in Emergency Medicine ." eMedicine. Ed. Rick Kulkarni. 1 Jun. 2012. Medscape. 21 Jan. 2013.</w:t>
      </w:r>
    </w:p>
    <w:p w:rsidR="005F05E7" w:rsidRDefault="005F05E7" w:rsidP="00045FF2">
      <w:pPr>
        <w:pStyle w:val="Sraopastraipa"/>
        <w:numPr>
          <w:ilvl w:val="0"/>
          <w:numId w:val="29"/>
        </w:numPr>
        <w:spacing w:after="0" w:line="360" w:lineRule="auto"/>
        <w:jc w:val="both"/>
        <w:rPr>
          <w:rFonts w:ascii="Times New Roman" w:hAnsi="Times New Roman" w:cs="Times New Roman"/>
          <w:sz w:val="24"/>
          <w:szCs w:val="24"/>
        </w:rPr>
      </w:pPr>
      <w:r w:rsidRPr="006E456D">
        <w:rPr>
          <w:rFonts w:ascii="Times New Roman" w:hAnsi="Times New Roman" w:cs="Times New Roman"/>
          <w:sz w:val="24"/>
          <w:szCs w:val="24"/>
        </w:rPr>
        <w:t>Owen RA, Melton LJ 3rd, Johnson KA, Ilstrup DM, Riggs BL. Incidence of Colles’ fracture in a North American community. Am J Public Health. 1982;72(6):605–607.</w:t>
      </w:r>
    </w:p>
    <w:p w:rsidR="002243A4" w:rsidRDefault="002243A4" w:rsidP="00045FF2">
      <w:pPr>
        <w:pStyle w:val="Sraopastraipa"/>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 Skirven, et. Al. Rehabilitation of the hand and up</w:t>
      </w:r>
      <w:r w:rsidR="00EB50DF">
        <w:rPr>
          <w:rFonts w:ascii="Times New Roman" w:hAnsi="Times New Roman" w:cs="Times New Roman"/>
          <w:sz w:val="24"/>
          <w:szCs w:val="24"/>
        </w:rPr>
        <w:t>per extremity 6th edition. 2011;67(11):896-897</w:t>
      </w:r>
      <w:r>
        <w:rPr>
          <w:rFonts w:ascii="Times New Roman" w:hAnsi="Times New Roman" w:cs="Times New Roman"/>
          <w:sz w:val="24"/>
          <w:szCs w:val="24"/>
        </w:rPr>
        <w:t>.</w:t>
      </w:r>
    </w:p>
    <w:p w:rsidR="001A3470" w:rsidRDefault="001A3470" w:rsidP="00045FF2">
      <w:pPr>
        <w:pStyle w:val="Sraopastraipa"/>
        <w:numPr>
          <w:ilvl w:val="0"/>
          <w:numId w:val="29"/>
        </w:numPr>
        <w:spacing w:after="0" w:line="360" w:lineRule="auto"/>
        <w:jc w:val="both"/>
        <w:rPr>
          <w:rFonts w:ascii="Times New Roman" w:hAnsi="Times New Roman" w:cs="Times New Roman"/>
          <w:sz w:val="24"/>
          <w:szCs w:val="24"/>
        </w:rPr>
      </w:pPr>
      <w:r w:rsidRPr="001A3470">
        <w:rPr>
          <w:rFonts w:ascii="Times New Roman" w:hAnsi="Times New Roman" w:cs="Times New Roman"/>
          <w:sz w:val="24"/>
          <w:szCs w:val="24"/>
        </w:rPr>
        <w:t>Coopee, R. A. (2002). Kinesio taping. In E. Mackin, A. Callahan, T. Skirven, L. Schneider, A. L. Osterman (Eds.), Rehabilitation of the hand and upper extremity (pp. 1796-1807).</w:t>
      </w:r>
    </w:p>
    <w:p w:rsidR="001A4EBD" w:rsidRPr="00AC66CF" w:rsidRDefault="00A74E83" w:rsidP="00045FF2">
      <w:pPr>
        <w:pStyle w:val="Sraopastraipa"/>
        <w:numPr>
          <w:ilvl w:val="0"/>
          <w:numId w:val="29"/>
        </w:numPr>
        <w:spacing w:after="0" w:line="360" w:lineRule="auto"/>
        <w:jc w:val="both"/>
        <w:rPr>
          <w:rFonts w:ascii="Times New Roman" w:hAnsi="Times New Roman" w:cs="Times New Roman"/>
          <w:sz w:val="24"/>
          <w:szCs w:val="24"/>
        </w:rPr>
      </w:pPr>
      <w:r w:rsidRPr="00A74E83">
        <w:rPr>
          <w:rFonts w:ascii="Times New Roman" w:hAnsi="Times New Roman" w:cs="Times New Roman"/>
          <w:sz w:val="24"/>
          <w:szCs w:val="24"/>
        </w:rPr>
        <w:t>Yasukawa, A., Patel, P., &amp; Sisung, C. (2006). Pilot study: Investigating the effects of Kinesio Taping® in acute pediatric rehabilitation setting. American Journal of Occupat</w:t>
      </w:r>
      <w:r w:rsidR="001A4EBD">
        <w:rPr>
          <w:rFonts w:ascii="Times New Roman" w:hAnsi="Times New Roman" w:cs="Times New Roman"/>
          <w:sz w:val="24"/>
          <w:szCs w:val="24"/>
        </w:rPr>
        <w:t xml:space="preserve">ional Therapy, </w:t>
      </w:r>
      <w:r w:rsidR="001A4EBD" w:rsidRPr="00AC66CF">
        <w:rPr>
          <w:rFonts w:ascii="Times New Roman" w:hAnsi="Times New Roman" w:cs="Times New Roman"/>
          <w:sz w:val="24"/>
          <w:szCs w:val="24"/>
        </w:rPr>
        <w:t xml:space="preserve">60(1), 104-110. </w:t>
      </w:r>
    </w:p>
    <w:p w:rsidR="001A4EBD" w:rsidRPr="00AC66CF" w:rsidRDefault="001A4EBD" w:rsidP="00045FF2">
      <w:pPr>
        <w:pStyle w:val="Sraopastraipa"/>
        <w:numPr>
          <w:ilvl w:val="0"/>
          <w:numId w:val="29"/>
        </w:numPr>
        <w:spacing w:after="0" w:line="360" w:lineRule="auto"/>
        <w:jc w:val="both"/>
        <w:rPr>
          <w:rFonts w:ascii="Times New Roman" w:hAnsi="Times New Roman" w:cs="Times New Roman"/>
          <w:sz w:val="24"/>
          <w:szCs w:val="24"/>
        </w:rPr>
      </w:pPr>
      <w:r w:rsidRPr="00AC66CF">
        <w:rPr>
          <w:rFonts w:ascii="Times New Roman" w:hAnsi="Times New Roman" w:cs="Times New Roman"/>
          <w:sz w:val="24"/>
          <w:szCs w:val="24"/>
        </w:rPr>
        <w:t>S. Michlovitz, L. Festa. Therapist`s management of distal radius fractures. 2011;70(1): 949p.</w:t>
      </w:r>
    </w:p>
    <w:p w:rsidR="001A4EBD" w:rsidRPr="00AC66CF" w:rsidRDefault="001A4EBD" w:rsidP="00045FF2">
      <w:pPr>
        <w:pStyle w:val="Sraopastraipa"/>
        <w:numPr>
          <w:ilvl w:val="0"/>
          <w:numId w:val="29"/>
        </w:numPr>
        <w:spacing w:after="0" w:line="360" w:lineRule="auto"/>
        <w:jc w:val="both"/>
        <w:rPr>
          <w:rFonts w:ascii="Times New Roman" w:hAnsi="Times New Roman" w:cs="Times New Roman"/>
          <w:sz w:val="24"/>
          <w:szCs w:val="24"/>
        </w:rPr>
      </w:pPr>
      <w:r w:rsidRPr="00AC66CF">
        <w:rPr>
          <w:rFonts w:ascii="Times New Roman" w:hAnsi="Times New Roman" w:cs="Times New Roman"/>
          <w:color w:val="000000"/>
          <w:sz w:val="24"/>
          <w:szCs w:val="24"/>
          <w:shd w:val="clear" w:color="auto" w:fill="FFFFFF"/>
        </w:rPr>
        <w:t>MacDermid JC, Roth JH, Richards RS: </w:t>
      </w:r>
      <w:hyperlink r:id="rId35" w:history="1">
        <w:r w:rsidRPr="00AC66CF">
          <w:rPr>
            <w:rStyle w:val="Hipersaitas"/>
            <w:rFonts w:ascii="Times New Roman" w:hAnsi="Times New Roman" w:cs="Times New Roman"/>
            <w:color w:val="auto"/>
            <w:sz w:val="24"/>
            <w:szCs w:val="24"/>
            <w:u w:val="none"/>
            <w:shd w:val="clear" w:color="auto" w:fill="FFFFFF"/>
          </w:rPr>
          <w:t>Pain and disability reported in the year following a distal radius fracture: a cohort study</w:t>
        </w:r>
        <w:r w:rsidRPr="00AC66CF">
          <w:rPr>
            <w:rStyle w:val="Hipersaitas"/>
            <w:rFonts w:ascii="Times New Roman" w:hAnsi="Times New Roman" w:cs="Times New Roman"/>
            <w:color w:val="004078"/>
            <w:sz w:val="24"/>
            <w:szCs w:val="24"/>
            <w:u w:val="none"/>
            <w:shd w:val="clear" w:color="auto" w:fill="FFFFFF"/>
          </w:rPr>
          <w:t>.</w:t>
        </w:r>
      </w:hyperlink>
      <w:r w:rsidRPr="00AC66CF">
        <w:rPr>
          <w:rFonts w:ascii="Times New Roman" w:hAnsi="Times New Roman" w:cs="Times New Roman"/>
          <w:color w:val="000000"/>
          <w:sz w:val="24"/>
          <w:szCs w:val="24"/>
          <w:shd w:val="clear" w:color="auto" w:fill="FFFFFF"/>
        </w:rPr>
        <w:t> </w:t>
      </w:r>
      <w:r w:rsidRPr="00AC66CF">
        <w:rPr>
          <w:rFonts w:ascii="Times New Roman" w:hAnsi="Times New Roman" w:cs="Times New Roman"/>
          <w:i/>
          <w:iCs/>
          <w:color w:val="000000"/>
          <w:sz w:val="24"/>
          <w:szCs w:val="24"/>
          <w:shd w:val="clear" w:color="auto" w:fill="FFFFFF"/>
        </w:rPr>
        <w:t>BMC Musculoskelet Disord</w:t>
      </w:r>
      <w:r w:rsidRPr="00AC66CF">
        <w:rPr>
          <w:rFonts w:ascii="Times New Roman" w:hAnsi="Times New Roman" w:cs="Times New Roman"/>
          <w:color w:val="000000"/>
          <w:sz w:val="24"/>
          <w:szCs w:val="24"/>
          <w:shd w:val="clear" w:color="auto" w:fill="FFFFFF"/>
        </w:rPr>
        <w:t>  2003 Oct 31; 4:24.</w:t>
      </w:r>
    </w:p>
    <w:p w:rsidR="001A4EBD" w:rsidRPr="00AC66CF" w:rsidRDefault="001A4EBD" w:rsidP="00045FF2">
      <w:pPr>
        <w:pStyle w:val="Sraopastraipa"/>
        <w:numPr>
          <w:ilvl w:val="0"/>
          <w:numId w:val="29"/>
        </w:numPr>
        <w:spacing w:after="0" w:line="360" w:lineRule="auto"/>
        <w:jc w:val="both"/>
        <w:rPr>
          <w:rFonts w:ascii="Times New Roman" w:hAnsi="Times New Roman" w:cs="Times New Roman"/>
          <w:sz w:val="24"/>
          <w:szCs w:val="24"/>
        </w:rPr>
      </w:pPr>
      <w:r w:rsidRPr="00AC66CF">
        <w:rPr>
          <w:rFonts w:ascii="Times New Roman" w:hAnsi="Times New Roman" w:cs="Times New Roman"/>
          <w:color w:val="000000"/>
          <w:sz w:val="24"/>
          <w:szCs w:val="24"/>
          <w:shd w:val="clear" w:color="auto" w:fill="FFFFFF"/>
        </w:rPr>
        <w:t>Johnston TE. Muscle weakness and loss of motor performance. In: Michlovitz SL, Nolan TP, ed. Modalities for therapeutic intervention, 4 th. Ed. Philadelphia: FA Davis; 2005:253-254.</w:t>
      </w:r>
    </w:p>
    <w:p w:rsidR="001A4EBD" w:rsidRPr="00AC66CF" w:rsidRDefault="001A4EBD" w:rsidP="00045FF2">
      <w:pPr>
        <w:pStyle w:val="Sraopastraipa"/>
        <w:numPr>
          <w:ilvl w:val="0"/>
          <w:numId w:val="29"/>
        </w:numPr>
        <w:spacing w:after="0" w:line="360" w:lineRule="auto"/>
        <w:jc w:val="both"/>
        <w:rPr>
          <w:rFonts w:ascii="Times New Roman" w:hAnsi="Times New Roman" w:cs="Times New Roman"/>
          <w:sz w:val="24"/>
          <w:szCs w:val="24"/>
        </w:rPr>
      </w:pPr>
      <w:r w:rsidRPr="00AC66CF">
        <w:rPr>
          <w:rFonts w:ascii="Times New Roman" w:hAnsi="Times New Roman" w:cs="Times New Roman"/>
          <w:color w:val="000000"/>
          <w:sz w:val="24"/>
          <w:szCs w:val="24"/>
          <w:shd w:val="clear" w:color="auto" w:fill="FFFFFF"/>
        </w:rPr>
        <w:t xml:space="preserve">Hertling D, Kessler RM: Wrist and hand complex. In: Hertling D, Kessler RM, ed. Management of musculoskeletal disorders: Physical therapy. Principles and methods. 4 th ed. Philadelphia: Lippincott Williams </w:t>
      </w:r>
      <w:r w:rsidRPr="00AC66CF">
        <w:rPr>
          <w:rFonts w:ascii="Times New Roman" w:hAnsi="Times New Roman" w:cs="Times New Roman"/>
          <w:color w:val="000000"/>
          <w:sz w:val="24"/>
          <w:szCs w:val="24"/>
          <w:shd w:val="clear" w:color="auto" w:fill="FFFFFF"/>
          <w:lang w:val="en-US"/>
        </w:rPr>
        <w:t xml:space="preserve">&amp; </w:t>
      </w:r>
      <w:r w:rsidRPr="00AC66CF">
        <w:rPr>
          <w:rFonts w:ascii="Times New Roman" w:hAnsi="Times New Roman" w:cs="Times New Roman"/>
          <w:color w:val="000000"/>
          <w:sz w:val="24"/>
          <w:szCs w:val="24"/>
          <w:shd w:val="clear" w:color="auto" w:fill="FFFFFF"/>
        </w:rPr>
        <w:t>Wilkins; 2006:430-435.</w:t>
      </w:r>
    </w:p>
    <w:p w:rsidR="001A4EBD" w:rsidRPr="00AC66CF" w:rsidRDefault="001A4EBD" w:rsidP="00045FF2">
      <w:pPr>
        <w:pStyle w:val="Sraopastraipa"/>
        <w:numPr>
          <w:ilvl w:val="0"/>
          <w:numId w:val="29"/>
        </w:numPr>
        <w:spacing w:after="0" w:line="360" w:lineRule="auto"/>
        <w:jc w:val="both"/>
        <w:rPr>
          <w:rFonts w:ascii="Times New Roman" w:hAnsi="Times New Roman" w:cs="Times New Roman"/>
          <w:b/>
          <w:sz w:val="24"/>
          <w:szCs w:val="24"/>
        </w:rPr>
      </w:pPr>
      <w:r w:rsidRPr="00AC66CF">
        <w:rPr>
          <w:rFonts w:ascii="Times New Roman" w:hAnsi="Times New Roman" w:cs="Times New Roman"/>
          <w:color w:val="000000"/>
          <w:sz w:val="24"/>
          <w:szCs w:val="24"/>
          <w:shd w:val="clear" w:color="auto" w:fill="FFFFFF"/>
        </w:rPr>
        <w:lastRenderedPageBreak/>
        <w:t>Vicenzino B, Branjerdporn M, Teys P, Jordan K: </w:t>
      </w:r>
      <w:hyperlink r:id="rId36" w:history="1">
        <w:r w:rsidRPr="00AC66CF">
          <w:rPr>
            <w:rStyle w:val="Hipersaitas"/>
            <w:rFonts w:ascii="Times New Roman" w:hAnsi="Times New Roman" w:cs="Times New Roman"/>
            <w:color w:val="auto"/>
            <w:sz w:val="24"/>
            <w:szCs w:val="24"/>
            <w:u w:val="none"/>
            <w:shd w:val="clear" w:color="auto" w:fill="FFFFFF"/>
          </w:rPr>
          <w:t>Initial changes in posterior talar glide and dorsiflexion of the ankle after mobilization with movement in individuals with recurrent ankle sprain.</w:t>
        </w:r>
      </w:hyperlink>
      <w:r w:rsidRPr="00AC66CF">
        <w:rPr>
          <w:rFonts w:ascii="Times New Roman" w:hAnsi="Times New Roman" w:cs="Times New Roman"/>
          <w:sz w:val="24"/>
          <w:szCs w:val="24"/>
          <w:shd w:val="clear" w:color="auto" w:fill="FFFFFF"/>
        </w:rPr>
        <w:t> </w:t>
      </w:r>
      <w:r w:rsidRPr="00AC66CF">
        <w:rPr>
          <w:rFonts w:ascii="Times New Roman" w:hAnsi="Times New Roman" w:cs="Times New Roman"/>
          <w:i/>
          <w:iCs/>
          <w:sz w:val="24"/>
          <w:szCs w:val="24"/>
          <w:shd w:val="clear" w:color="auto" w:fill="FFFFFF"/>
        </w:rPr>
        <w:t>J Orthop Sports Phys Ther</w:t>
      </w:r>
      <w:r w:rsidRPr="00AC66CF">
        <w:rPr>
          <w:rFonts w:ascii="Times New Roman" w:hAnsi="Times New Roman" w:cs="Times New Roman"/>
          <w:sz w:val="24"/>
          <w:szCs w:val="24"/>
          <w:shd w:val="clear" w:color="auto" w:fill="FFFFFF"/>
        </w:rPr>
        <w:t>  2006; 36(7):464-471.</w:t>
      </w:r>
    </w:p>
    <w:p w:rsidR="001A4EBD" w:rsidRPr="00AC66CF" w:rsidRDefault="00444151" w:rsidP="00045FF2">
      <w:pPr>
        <w:pStyle w:val="Sraopastraipa"/>
        <w:numPr>
          <w:ilvl w:val="0"/>
          <w:numId w:val="29"/>
        </w:numPr>
        <w:spacing w:after="0" w:line="360" w:lineRule="auto"/>
        <w:jc w:val="both"/>
        <w:rPr>
          <w:rFonts w:ascii="Times New Roman" w:hAnsi="Times New Roman" w:cs="Times New Roman"/>
          <w:b/>
          <w:sz w:val="24"/>
          <w:szCs w:val="24"/>
        </w:rPr>
      </w:pPr>
      <w:r w:rsidRPr="00AC66CF">
        <w:rPr>
          <w:rFonts w:ascii="Times New Roman" w:hAnsi="Times New Roman" w:cs="Times New Roman"/>
          <w:sz w:val="24"/>
          <w:szCs w:val="24"/>
          <w:shd w:val="clear" w:color="auto" w:fill="FFFFFF"/>
        </w:rPr>
        <w:t>Lyngcoln A, Taylor N, Pizzari T, Baskus K: </w:t>
      </w:r>
      <w:hyperlink r:id="rId37" w:history="1">
        <w:r w:rsidRPr="00AC66CF">
          <w:rPr>
            <w:rStyle w:val="Hipersaitas"/>
            <w:rFonts w:ascii="Times New Roman" w:hAnsi="Times New Roman" w:cs="Times New Roman"/>
            <w:color w:val="auto"/>
            <w:sz w:val="24"/>
            <w:szCs w:val="24"/>
            <w:u w:val="none"/>
            <w:shd w:val="clear" w:color="auto" w:fill="FFFFFF"/>
          </w:rPr>
          <w:t>The relationship between adherence to hand therapy and short-term outcome after distal radius fracture.</w:t>
        </w:r>
      </w:hyperlink>
      <w:r w:rsidRPr="00AC66CF">
        <w:rPr>
          <w:rFonts w:ascii="Times New Roman" w:hAnsi="Times New Roman" w:cs="Times New Roman"/>
          <w:sz w:val="24"/>
          <w:szCs w:val="24"/>
          <w:shd w:val="clear" w:color="auto" w:fill="FFFFFF"/>
        </w:rPr>
        <w:t> </w:t>
      </w:r>
      <w:r w:rsidRPr="00AC66CF">
        <w:rPr>
          <w:rFonts w:ascii="Times New Roman" w:hAnsi="Times New Roman" w:cs="Times New Roman"/>
          <w:i/>
          <w:iCs/>
          <w:sz w:val="24"/>
          <w:szCs w:val="24"/>
          <w:shd w:val="clear" w:color="auto" w:fill="FFFFFF"/>
        </w:rPr>
        <w:t>J Hand Ther</w:t>
      </w:r>
      <w:r w:rsidRPr="00AC66CF">
        <w:rPr>
          <w:rFonts w:ascii="Times New Roman" w:hAnsi="Times New Roman" w:cs="Times New Roman"/>
          <w:sz w:val="24"/>
          <w:szCs w:val="24"/>
          <w:shd w:val="clear" w:color="auto" w:fill="FFFFFF"/>
        </w:rPr>
        <w:t>  2005; 18:2-8.</w:t>
      </w:r>
    </w:p>
    <w:p w:rsidR="000C238D" w:rsidRPr="00AC66CF" w:rsidRDefault="000C238D" w:rsidP="00045FF2">
      <w:pPr>
        <w:pStyle w:val="Sraopastraipa"/>
        <w:numPr>
          <w:ilvl w:val="0"/>
          <w:numId w:val="29"/>
        </w:numPr>
        <w:spacing w:after="0" w:line="360" w:lineRule="auto"/>
        <w:jc w:val="both"/>
        <w:rPr>
          <w:rFonts w:ascii="Times New Roman" w:hAnsi="Times New Roman" w:cs="Times New Roman"/>
          <w:b/>
          <w:sz w:val="24"/>
          <w:szCs w:val="24"/>
        </w:rPr>
      </w:pPr>
      <w:r w:rsidRPr="00AC66CF">
        <w:rPr>
          <w:rFonts w:ascii="Times New Roman" w:hAnsi="Times New Roman" w:cs="Times New Roman"/>
          <w:sz w:val="24"/>
          <w:szCs w:val="24"/>
          <w:shd w:val="clear" w:color="auto" w:fill="FFFFFF"/>
        </w:rPr>
        <w:t>Capo JT, Swan Jr KG, Tan V: </w:t>
      </w:r>
      <w:hyperlink r:id="rId38" w:history="1">
        <w:r w:rsidRPr="00AC66CF">
          <w:rPr>
            <w:rStyle w:val="Hipersaitas"/>
            <w:rFonts w:ascii="Times New Roman" w:hAnsi="Times New Roman" w:cs="Times New Roman"/>
            <w:color w:val="auto"/>
            <w:sz w:val="24"/>
            <w:szCs w:val="24"/>
            <w:u w:val="none"/>
            <w:shd w:val="clear" w:color="auto" w:fill="FFFFFF"/>
          </w:rPr>
          <w:t>External fixation techniques for distal radius fractures.</w:t>
        </w:r>
      </w:hyperlink>
      <w:r w:rsidRPr="00AC66CF">
        <w:rPr>
          <w:rFonts w:ascii="Times New Roman" w:hAnsi="Times New Roman" w:cs="Times New Roman"/>
          <w:sz w:val="24"/>
          <w:szCs w:val="24"/>
          <w:shd w:val="clear" w:color="auto" w:fill="FFFFFF"/>
        </w:rPr>
        <w:t> </w:t>
      </w:r>
      <w:r w:rsidRPr="00AC66CF">
        <w:rPr>
          <w:rFonts w:ascii="Times New Roman" w:hAnsi="Times New Roman" w:cs="Times New Roman"/>
          <w:i/>
          <w:iCs/>
          <w:sz w:val="24"/>
          <w:szCs w:val="24"/>
          <w:shd w:val="clear" w:color="auto" w:fill="FFFFFF"/>
        </w:rPr>
        <w:t>Clin Orthop Relat Res</w:t>
      </w:r>
      <w:r w:rsidRPr="00AC66CF">
        <w:rPr>
          <w:rFonts w:ascii="Times New Roman" w:hAnsi="Times New Roman" w:cs="Times New Roman"/>
          <w:sz w:val="24"/>
          <w:szCs w:val="24"/>
          <w:shd w:val="clear" w:color="auto" w:fill="FFFFFF"/>
        </w:rPr>
        <w:t>  2006 Apr; 445:30-41.</w:t>
      </w:r>
    </w:p>
    <w:p w:rsidR="00AC66CF" w:rsidRPr="00777455" w:rsidRDefault="00AC66CF" w:rsidP="00045FF2">
      <w:pPr>
        <w:pStyle w:val="Sraopastraipa"/>
        <w:numPr>
          <w:ilvl w:val="0"/>
          <w:numId w:val="29"/>
        </w:numPr>
        <w:spacing w:after="0" w:line="360" w:lineRule="auto"/>
        <w:jc w:val="both"/>
        <w:rPr>
          <w:rFonts w:ascii="Times New Roman" w:hAnsi="Times New Roman" w:cs="Times New Roman"/>
          <w:b/>
          <w:sz w:val="24"/>
          <w:szCs w:val="24"/>
        </w:rPr>
      </w:pPr>
      <w:r w:rsidRPr="00AC66CF">
        <w:rPr>
          <w:rFonts w:ascii="Times New Roman" w:hAnsi="Times New Roman" w:cs="Times New Roman"/>
          <w:sz w:val="24"/>
          <w:szCs w:val="24"/>
          <w:shd w:val="clear" w:color="auto" w:fill="FFFFFF"/>
        </w:rPr>
        <w:t>Egol KA, Paksima N, Puopolo S, et al: </w:t>
      </w:r>
      <w:hyperlink r:id="rId39" w:history="1">
        <w:r w:rsidRPr="00AC66CF">
          <w:rPr>
            <w:rStyle w:val="Hipersaitas"/>
            <w:rFonts w:ascii="Times New Roman" w:hAnsi="Times New Roman" w:cs="Times New Roman"/>
            <w:color w:val="auto"/>
            <w:sz w:val="24"/>
            <w:szCs w:val="24"/>
            <w:u w:val="none"/>
            <w:shd w:val="clear" w:color="auto" w:fill="FFFFFF"/>
          </w:rPr>
          <w:t>Treatment of external fixation pins about the wrist: a prospective, randomized trial.</w:t>
        </w:r>
      </w:hyperlink>
      <w:r w:rsidRPr="00AC66CF">
        <w:rPr>
          <w:rFonts w:ascii="Times New Roman" w:hAnsi="Times New Roman" w:cs="Times New Roman"/>
          <w:sz w:val="24"/>
          <w:szCs w:val="24"/>
          <w:shd w:val="clear" w:color="auto" w:fill="FFFFFF"/>
        </w:rPr>
        <w:t> </w:t>
      </w:r>
      <w:r w:rsidRPr="00AC66CF">
        <w:rPr>
          <w:rFonts w:ascii="Times New Roman" w:hAnsi="Times New Roman" w:cs="Times New Roman"/>
          <w:i/>
          <w:iCs/>
          <w:sz w:val="24"/>
          <w:szCs w:val="24"/>
          <w:shd w:val="clear" w:color="auto" w:fill="FFFFFF"/>
        </w:rPr>
        <w:t>J Bone Joint Surg</w:t>
      </w:r>
      <w:r w:rsidRPr="00AC66CF">
        <w:rPr>
          <w:rFonts w:ascii="Times New Roman" w:hAnsi="Times New Roman" w:cs="Times New Roman"/>
          <w:sz w:val="24"/>
          <w:szCs w:val="24"/>
          <w:shd w:val="clear" w:color="auto" w:fill="FFFFFF"/>
        </w:rPr>
        <w:t>  2006; 88A:349-354</w:t>
      </w:r>
      <w:r w:rsidR="00777455">
        <w:rPr>
          <w:rFonts w:ascii="Times New Roman" w:hAnsi="Times New Roman" w:cs="Times New Roman"/>
          <w:sz w:val="24"/>
          <w:szCs w:val="24"/>
          <w:shd w:val="clear" w:color="auto" w:fill="FFFFFF"/>
        </w:rPr>
        <w:t>.</w:t>
      </w:r>
    </w:p>
    <w:p w:rsidR="00777455" w:rsidRPr="004225EB" w:rsidRDefault="00777455" w:rsidP="00045FF2">
      <w:pPr>
        <w:pStyle w:val="Sraopastraipa"/>
        <w:numPr>
          <w:ilvl w:val="0"/>
          <w:numId w:val="29"/>
        </w:numPr>
        <w:spacing w:after="0" w:line="360" w:lineRule="auto"/>
        <w:jc w:val="both"/>
        <w:rPr>
          <w:rFonts w:ascii="Times New Roman" w:hAnsi="Times New Roman" w:cs="Times New Roman"/>
          <w:b/>
          <w:sz w:val="24"/>
          <w:szCs w:val="24"/>
        </w:rPr>
      </w:pPr>
      <w:r w:rsidRPr="00777455">
        <w:rPr>
          <w:rFonts w:ascii="Times New Roman" w:hAnsi="Times New Roman" w:cs="Times New Roman"/>
          <w:sz w:val="24"/>
          <w:szCs w:val="24"/>
          <w:shd w:val="clear" w:color="auto" w:fill="FFFFFF"/>
        </w:rPr>
        <w:t>Lozano-Calderón SA, Souer S, Mudgal C, et al: </w:t>
      </w:r>
      <w:hyperlink r:id="rId40" w:history="1">
        <w:r w:rsidRPr="00777455">
          <w:rPr>
            <w:rStyle w:val="Hipersaitas"/>
            <w:rFonts w:ascii="Times New Roman" w:hAnsi="Times New Roman" w:cs="Times New Roman"/>
            <w:color w:val="auto"/>
            <w:sz w:val="24"/>
            <w:szCs w:val="24"/>
            <w:u w:val="none"/>
            <w:shd w:val="clear" w:color="auto" w:fill="FFFFFF"/>
          </w:rPr>
          <w:t>Wrist mobilization following volar plate fixation of fractures of the distal part of the radius.</w:t>
        </w:r>
      </w:hyperlink>
      <w:r w:rsidRPr="00777455">
        <w:rPr>
          <w:rFonts w:ascii="Times New Roman" w:hAnsi="Times New Roman" w:cs="Times New Roman"/>
          <w:sz w:val="24"/>
          <w:szCs w:val="24"/>
          <w:shd w:val="clear" w:color="auto" w:fill="FFFFFF"/>
        </w:rPr>
        <w:t> </w:t>
      </w:r>
      <w:r w:rsidRPr="00777455">
        <w:rPr>
          <w:rFonts w:ascii="Times New Roman" w:hAnsi="Times New Roman" w:cs="Times New Roman"/>
          <w:i/>
          <w:iCs/>
          <w:sz w:val="24"/>
          <w:szCs w:val="24"/>
          <w:shd w:val="clear" w:color="auto" w:fill="FFFFFF"/>
        </w:rPr>
        <w:t>J Bone Joint Surg</w:t>
      </w:r>
      <w:r w:rsidRPr="00777455">
        <w:rPr>
          <w:rFonts w:ascii="Times New Roman" w:hAnsi="Times New Roman" w:cs="Times New Roman"/>
          <w:sz w:val="24"/>
          <w:szCs w:val="24"/>
          <w:shd w:val="clear" w:color="auto" w:fill="FFFFFF"/>
        </w:rPr>
        <w:t>  2008; 90A(6):1297-1304.</w:t>
      </w:r>
    </w:p>
    <w:p w:rsidR="004225EB" w:rsidRPr="004225EB" w:rsidRDefault="004225EB" w:rsidP="00045FF2">
      <w:pPr>
        <w:pStyle w:val="Sraopastraipa"/>
        <w:numPr>
          <w:ilvl w:val="0"/>
          <w:numId w:val="29"/>
        </w:numPr>
        <w:spacing w:after="0" w:line="360" w:lineRule="auto"/>
        <w:jc w:val="both"/>
        <w:rPr>
          <w:rFonts w:ascii="Times New Roman" w:hAnsi="Times New Roman" w:cs="Times New Roman"/>
          <w:b/>
          <w:sz w:val="24"/>
          <w:szCs w:val="24"/>
        </w:rPr>
      </w:pPr>
      <w:r w:rsidRPr="004225EB">
        <w:rPr>
          <w:rFonts w:ascii="Times New Roman" w:hAnsi="Times New Roman" w:cs="Times New Roman"/>
          <w:sz w:val="24"/>
          <w:szCs w:val="24"/>
          <w:shd w:val="clear" w:color="auto" w:fill="FFFFFF"/>
        </w:rPr>
        <w:t>Kamath AF, Zurakowski D, Day CS: </w:t>
      </w:r>
      <w:hyperlink r:id="rId41" w:history="1">
        <w:r w:rsidRPr="004225EB">
          <w:rPr>
            <w:rStyle w:val="Hipersaitas"/>
            <w:rFonts w:ascii="Times New Roman" w:hAnsi="Times New Roman" w:cs="Times New Roman"/>
            <w:color w:val="auto"/>
            <w:sz w:val="24"/>
            <w:szCs w:val="24"/>
            <w:u w:val="none"/>
            <w:shd w:val="clear" w:color="auto" w:fill="FFFFFF"/>
          </w:rPr>
          <w:t>Low-profile dorsal plating for dorsally angulated distal radius fractures: an outcomes study.</w:t>
        </w:r>
      </w:hyperlink>
      <w:r w:rsidRPr="004225EB">
        <w:rPr>
          <w:rFonts w:ascii="Times New Roman" w:hAnsi="Times New Roman" w:cs="Times New Roman"/>
          <w:sz w:val="24"/>
          <w:szCs w:val="24"/>
          <w:shd w:val="clear" w:color="auto" w:fill="FFFFFF"/>
        </w:rPr>
        <w:t> </w:t>
      </w:r>
      <w:r w:rsidRPr="004225EB">
        <w:rPr>
          <w:rFonts w:ascii="Times New Roman" w:hAnsi="Times New Roman" w:cs="Times New Roman"/>
          <w:i/>
          <w:iCs/>
          <w:sz w:val="24"/>
          <w:szCs w:val="24"/>
          <w:shd w:val="clear" w:color="auto" w:fill="FFFFFF"/>
        </w:rPr>
        <w:t>J Hand Surg</w:t>
      </w:r>
      <w:r w:rsidRPr="004225EB">
        <w:rPr>
          <w:rFonts w:ascii="Times New Roman" w:hAnsi="Times New Roman" w:cs="Times New Roman"/>
          <w:sz w:val="24"/>
          <w:szCs w:val="24"/>
          <w:shd w:val="clear" w:color="auto" w:fill="FFFFFF"/>
        </w:rPr>
        <w:t>  2006; 31A(7):1061-1067.</w:t>
      </w:r>
    </w:p>
    <w:p w:rsidR="00D924BB" w:rsidRPr="00D924BB" w:rsidRDefault="00A0698E" w:rsidP="00045FF2">
      <w:pPr>
        <w:pStyle w:val="Sraopastraipa"/>
        <w:numPr>
          <w:ilvl w:val="0"/>
          <w:numId w:val="29"/>
        </w:numPr>
        <w:spacing w:after="0" w:line="360" w:lineRule="auto"/>
        <w:jc w:val="both"/>
        <w:rPr>
          <w:rFonts w:ascii="Times New Roman" w:hAnsi="Times New Roman" w:cs="Times New Roman"/>
          <w:sz w:val="24"/>
          <w:szCs w:val="24"/>
        </w:rPr>
      </w:pPr>
      <w:r w:rsidRPr="00D924BB">
        <w:rPr>
          <w:rFonts w:ascii="Times New Roman" w:hAnsi="Times New Roman" w:cs="Times New Roman"/>
          <w:sz w:val="24"/>
          <w:szCs w:val="24"/>
          <w:shd w:val="clear" w:color="auto" w:fill="FFFFFF"/>
        </w:rPr>
        <w:t>Sánchez T, Jakubietz M, Jakubietz R, et al: </w:t>
      </w:r>
      <w:hyperlink r:id="rId42" w:history="1">
        <w:r w:rsidRPr="00D924BB">
          <w:rPr>
            <w:rStyle w:val="Hipersaitas"/>
            <w:rFonts w:ascii="Times New Roman" w:hAnsi="Times New Roman" w:cs="Times New Roman"/>
            <w:color w:val="auto"/>
            <w:sz w:val="24"/>
            <w:szCs w:val="24"/>
            <w:u w:val="none"/>
            <w:shd w:val="clear" w:color="auto" w:fill="FFFFFF"/>
          </w:rPr>
          <w:t>Complications after Pi Plate osteosynthesis.</w:t>
        </w:r>
      </w:hyperlink>
      <w:r w:rsidRPr="00D924BB">
        <w:rPr>
          <w:rFonts w:ascii="Times New Roman" w:hAnsi="Times New Roman" w:cs="Times New Roman"/>
          <w:sz w:val="24"/>
          <w:szCs w:val="24"/>
          <w:shd w:val="clear" w:color="auto" w:fill="FFFFFF"/>
        </w:rPr>
        <w:t> </w:t>
      </w:r>
      <w:r w:rsidRPr="00D924BB">
        <w:rPr>
          <w:rFonts w:ascii="Times New Roman" w:hAnsi="Times New Roman" w:cs="Times New Roman"/>
          <w:i/>
          <w:iCs/>
          <w:sz w:val="24"/>
          <w:szCs w:val="24"/>
          <w:shd w:val="clear" w:color="auto" w:fill="FFFFFF"/>
        </w:rPr>
        <w:t>Plast Reconstr Surg</w:t>
      </w:r>
      <w:r w:rsidRPr="00D924BB">
        <w:rPr>
          <w:rFonts w:ascii="Times New Roman" w:hAnsi="Times New Roman" w:cs="Times New Roman"/>
          <w:sz w:val="24"/>
          <w:szCs w:val="24"/>
          <w:shd w:val="clear" w:color="auto" w:fill="FFFFFF"/>
        </w:rPr>
        <w:t>  2006; 118(1):273-274.</w:t>
      </w:r>
    </w:p>
    <w:p w:rsidR="00D924BB" w:rsidRPr="00894660" w:rsidRDefault="00D924BB" w:rsidP="00045FF2">
      <w:pPr>
        <w:pStyle w:val="Sraopastraipa"/>
        <w:numPr>
          <w:ilvl w:val="0"/>
          <w:numId w:val="29"/>
        </w:numPr>
        <w:spacing w:after="0" w:line="360" w:lineRule="auto"/>
        <w:jc w:val="both"/>
        <w:rPr>
          <w:rFonts w:ascii="Times New Roman" w:hAnsi="Times New Roman" w:cs="Times New Roman"/>
          <w:sz w:val="24"/>
          <w:szCs w:val="24"/>
        </w:rPr>
      </w:pPr>
      <w:r w:rsidRPr="00D924BB">
        <w:rPr>
          <w:rFonts w:ascii="Times New Roman" w:hAnsi="Times New Roman" w:cs="Times New Roman"/>
          <w:sz w:val="24"/>
          <w:szCs w:val="24"/>
          <w:shd w:val="clear" w:color="auto" w:fill="FFFFFF"/>
        </w:rPr>
        <w:t>Fedorczyk J: </w:t>
      </w:r>
      <w:hyperlink r:id="rId43" w:history="1">
        <w:r w:rsidRPr="00D924BB">
          <w:rPr>
            <w:rStyle w:val="Hipersaitas"/>
            <w:rFonts w:ascii="Times New Roman" w:hAnsi="Times New Roman" w:cs="Times New Roman"/>
            <w:color w:val="auto"/>
            <w:sz w:val="24"/>
            <w:szCs w:val="24"/>
            <w:u w:val="none"/>
            <w:shd w:val="clear" w:color="auto" w:fill="FFFFFF"/>
          </w:rPr>
          <w:t>The role of physical agents in modulating pain.</w:t>
        </w:r>
      </w:hyperlink>
      <w:r w:rsidRPr="00D924BB">
        <w:rPr>
          <w:rFonts w:ascii="Times New Roman" w:hAnsi="Times New Roman" w:cs="Times New Roman"/>
          <w:sz w:val="24"/>
          <w:szCs w:val="24"/>
          <w:shd w:val="clear" w:color="auto" w:fill="FFFFFF"/>
        </w:rPr>
        <w:t> </w:t>
      </w:r>
      <w:r w:rsidRPr="00D924BB">
        <w:rPr>
          <w:rFonts w:ascii="Times New Roman" w:hAnsi="Times New Roman" w:cs="Times New Roman"/>
          <w:i/>
          <w:iCs/>
          <w:sz w:val="24"/>
          <w:szCs w:val="24"/>
          <w:shd w:val="clear" w:color="auto" w:fill="FFFFFF"/>
        </w:rPr>
        <w:t>J Hand Ther</w:t>
      </w:r>
      <w:r w:rsidRPr="00D924BB">
        <w:rPr>
          <w:rFonts w:ascii="Times New Roman" w:hAnsi="Times New Roman" w:cs="Times New Roman"/>
          <w:sz w:val="24"/>
          <w:szCs w:val="24"/>
          <w:shd w:val="clear" w:color="auto" w:fill="FFFFFF"/>
        </w:rPr>
        <w:t>  1997; 10:110-121.</w:t>
      </w:r>
    </w:p>
    <w:p w:rsidR="00894660" w:rsidRPr="007E6E67" w:rsidRDefault="00894660" w:rsidP="00045FF2">
      <w:pPr>
        <w:pStyle w:val="Sraopastraipa"/>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G. Tankevičius. Reabilitacija po stipinkaulio tipinės vietos lūžių.</w:t>
      </w:r>
      <w:r w:rsidRPr="00894660">
        <w:rPr>
          <w:rFonts w:ascii="Times New Roman" w:hAnsi="Times New Roman" w:cs="Times New Roman"/>
          <w:i/>
          <w:sz w:val="24"/>
          <w:szCs w:val="24"/>
        </w:rPr>
        <w:t xml:space="preserve"> Lietuvos ortopedų traumatologų draugijos konferencija</w:t>
      </w:r>
      <w:r>
        <w:rPr>
          <w:rFonts w:ascii="Times New Roman" w:hAnsi="Times New Roman" w:cs="Times New Roman"/>
          <w:i/>
          <w:sz w:val="24"/>
          <w:szCs w:val="24"/>
        </w:rPr>
        <w:t xml:space="preserve">. </w:t>
      </w:r>
      <w:r>
        <w:rPr>
          <w:rFonts w:ascii="Times New Roman" w:hAnsi="Times New Roman" w:cs="Times New Roman"/>
          <w:sz w:val="24"/>
          <w:szCs w:val="24"/>
        </w:rPr>
        <w:t>Kaunas; 2013m.</w:t>
      </w:r>
      <w:r>
        <w:rPr>
          <w:rFonts w:ascii="Times New Roman" w:hAnsi="Times New Roman" w:cs="Times New Roman"/>
          <w:i/>
          <w:sz w:val="24"/>
          <w:szCs w:val="24"/>
        </w:rPr>
        <w:t xml:space="preserve">   </w:t>
      </w:r>
    </w:p>
    <w:p w:rsidR="007E6E67" w:rsidRDefault="007E6E67" w:rsidP="00045FF2">
      <w:pPr>
        <w:pStyle w:val="Sraopastraipa"/>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 Brasiulis. Lūžių epidemiologija, mechanizmai. Klinikinis ištyrimas ir galimi lydintys sužalojimai. </w:t>
      </w:r>
      <w:r w:rsidRPr="00894660">
        <w:rPr>
          <w:rFonts w:ascii="Times New Roman" w:hAnsi="Times New Roman" w:cs="Times New Roman"/>
          <w:i/>
          <w:sz w:val="24"/>
          <w:szCs w:val="24"/>
        </w:rPr>
        <w:t>Lietuvos ortopedų traumatologų draugijos konferencija</w:t>
      </w:r>
      <w:r>
        <w:rPr>
          <w:rFonts w:ascii="Times New Roman" w:hAnsi="Times New Roman" w:cs="Times New Roman"/>
          <w:i/>
          <w:sz w:val="24"/>
          <w:szCs w:val="24"/>
        </w:rPr>
        <w:t xml:space="preserve">. </w:t>
      </w:r>
      <w:r>
        <w:rPr>
          <w:rFonts w:ascii="Times New Roman" w:hAnsi="Times New Roman" w:cs="Times New Roman"/>
          <w:sz w:val="24"/>
          <w:szCs w:val="24"/>
        </w:rPr>
        <w:t>Kaunas; 2013m.</w:t>
      </w:r>
    </w:p>
    <w:p w:rsidR="00281974" w:rsidRDefault="00281974" w:rsidP="00045FF2">
      <w:pPr>
        <w:pStyle w:val="Sraopastraipa"/>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 Brasiulis. Stipinkaulio distalinio galo lūžių konservatyvus gydymas. </w:t>
      </w:r>
      <w:r w:rsidRPr="00894660">
        <w:rPr>
          <w:rFonts w:ascii="Times New Roman" w:hAnsi="Times New Roman" w:cs="Times New Roman"/>
          <w:i/>
          <w:sz w:val="24"/>
          <w:szCs w:val="24"/>
        </w:rPr>
        <w:t>Lietuvos ortopedų traumatologų draugijos konferencija</w:t>
      </w:r>
      <w:r>
        <w:rPr>
          <w:rFonts w:ascii="Times New Roman" w:hAnsi="Times New Roman" w:cs="Times New Roman"/>
          <w:i/>
          <w:sz w:val="24"/>
          <w:szCs w:val="24"/>
        </w:rPr>
        <w:t xml:space="preserve">. </w:t>
      </w:r>
      <w:r>
        <w:rPr>
          <w:rFonts w:ascii="Times New Roman" w:hAnsi="Times New Roman" w:cs="Times New Roman"/>
          <w:sz w:val="24"/>
          <w:szCs w:val="24"/>
        </w:rPr>
        <w:t>Kaunas; 2013m</w:t>
      </w:r>
      <w:r w:rsidR="006B6059">
        <w:rPr>
          <w:rFonts w:ascii="Times New Roman" w:hAnsi="Times New Roman" w:cs="Times New Roman"/>
          <w:sz w:val="24"/>
          <w:szCs w:val="24"/>
        </w:rPr>
        <w:t>.</w:t>
      </w:r>
    </w:p>
    <w:p w:rsidR="00911885" w:rsidRPr="00571556" w:rsidRDefault="00911885" w:rsidP="00045FF2">
      <w:pPr>
        <w:pStyle w:val="Sraopastraipa"/>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 Kielhofner. Model of Human Occupation Theory and Application. 4th Ed. Baltimore: Lippincott Williams </w:t>
      </w:r>
      <w:r>
        <w:rPr>
          <w:rFonts w:ascii="Times New Roman" w:hAnsi="Times New Roman" w:cs="Times New Roman"/>
          <w:sz w:val="24"/>
          <w:szCs w:val="24"/>
          <w:lang w:val="en-US"/>
        </w:rPr>
        <w:t>&amp; Wilkins. 2008m.</w:t>
      </w:r>
    </w:p>
    <w:p w:rsidR="00571556" w:rsidRPr="00571556" w:rsidRDefault="00571556" w:rsidP="00045FF2">
      <w:pPr>
        <w:pStyle w:val="Sraopastraipa"/>
        <w:numPr>
          <w:ilvl w:val="0"/>
          <w:numId w:val="29"/>
        </w:numPr>
        <w:spacing w:after="0" w:line="360" w:lineRule="auto"/>
        <w:jc w:val="both"/>
        <w:rPr>
          <w:rFonts w:ascii="Times New Roman" w:hAnsi="Times New Roman" w:cs="Times New Roman"/>
          <w:sz w:val="24"/>
          <w:szCs w:val="24"/>
        </w:rPr>
      </w:pPr>
      <w:r w:rsidRPr="00571556">
        <w:rPr>
          <w:rFonts w:ascii="Times New Roman" w:hAnsi="Times New Roman" w:cs="Times New Roman"/>
          <w:sz w:val="24"/>
          <w:szCs w:val="24"/>
        </w:rPr>
        <w:t>American Occupational Therapy Association (AOTA). Occupational therapy practice framework: Domain and process (2nd ed.). American Journal of Occupational Therapy, 2008; 62, 625–683.</w:t>
      </w:r>
    </w:p>
    <w:p w:rsidR="0017030D" w:rsidRDefault="0017030D" w:rsidP="00045FF2">
      <w:pPr>
        <w:pStyle w:val="Sraopastraipa"/>
        <w:numPr>
          <w:ilvl w:val="0"/>
          <w:numId w:val="29"/>
        </w:numPr>
        <w:spacing w:after="0" w:line="360" w:lineRule="auto"/>
        <w:jc w:val="both"/>
        <w:rPr>
          <w:rFonts w:ascii="Times New Roman" w:hAnsi="Times New Roman" w:cs="Times New Roman"/>
          <w:sz w:val="24"/>
          <w:szCs w:val="24"/>
        </w:rPr>
      </w:pPr>
      <w:r w:rsidRPr="0017030D">
        <w:rPr>
          <w:rFonts w:ascii="Times New Roman" w:hAnsi="Times New Roman" w:cs="Times New Roman"/>
          <w:sz w:val="24"/>
          <w:szCs w:val="24"/>
        </w:rPr>
        <w:t>Cooper, C. Hand impairments. Occupational therapy for physical dysfunction (6th ed.). In M. V. Radomski &amp; C. A. Trombly Latham (Eds.), Philadelphia, PA</w:t>
      </w:r>
      <w:r>
        <w:rPr>
          <w:rFonts w:ascii="Times New Roman" w:hAnsi="Times New Roman" w:cs="Times New Roman"/>
          <w:sz w:val="24"/>
          <w:szCs w:val="24"/>
        </w:rPr>
        <w:t>: Lippincott Williams &amp; Wilkins</w:t>
      </w:r>
      <w:r w:rsidRPr="0017030D">
        <w:rPr>
          <w:rFonts w:ascii="Times New Roman" w:hAnsi="Times New Roman" w:cs="Times New Roman"/>
          <w:sz w:val="24"/>
          <w:szCs w:val="24"/>
        </w:rPr>
        <w:t xml:space="preserve"> (2008).</w:t>
      </w:r>
    </w:p>
    <w:p w:rsidR="0017030D" w:rsidRDefault="0017030D" w:rsidP="00045FF2">
      <w:pPr>
        <w:pStyle w:val="Sraopastraipa"/>
        <w:numPr>
          <w:ilvl w:val="0"/>
          <w:numId w:val="29"/>
        </w:numPr>
        <w:spacing w:after="0" w:line="360" w:lineRule="auto"/>
        <w:jc w:val="both"/>
        <w:rPr>
          <w:rFonts w:ascii="Times New Roman" w:hAnsi="Times New Roman" w:cs="Times New Roman"/>
          <w:sz w:val="24"/>
          <w:szCs w:val="24"/>
        </w:rPr>
      </w:pPr>
      <w:r w:rsidRPr="0017030D">
        <w:rPr>
          <w:rFonts w:ascii="Times New Roman" w:hAnsi="Times New Roman" w:cs="Times New Roman"/>
          <w:sz w:val="24"/>
          <w:szCs w:val="24"/>
        </w:rPr>
        <w:t>Dal Bello-Haas, V. Neuromusculoskeletal and movement function. In B. R. Bonder &amp; V. Dal Bello- Haas (Eds.), Functional performance in older adults (pp. 130–176</w:t>
      </w:r>
      <w:r>
        <w:rPr>
          <w:rFonts w:ascii="Times New Roman" w:hAnsi="Times New Roman" w:cs="Times New Roman"/>
          <w:sz w:val="24"/>
          <w:szCs w:val="24"/>
        </w:rPr>
        <w:t>). Philadelphia, PA: F.A. Davis</w:t>
      </w:r>
      <w:r w:rsidRPr="0017030D">
        <w:rPr>
          <w:rFonts w:ascii="Times New Roman" w:hAnsi="Times New Roman" w:cs="Times New Roman"/>
          <w:sz w:val="24"/>
          <w:szCs w:val="24"/>
        </w:rPr>
        <w:t xml:space="preserve"> (2009).</w:t>
      </w:r>
    </w:p>
    <w:p w:rsidR="00823C0F" w:rsidRDefault="00823C0F" w:rsidP="00045FF2">
      <w:pPr>
        <w:pStyle w:val="Sraopastraipa"/>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 Monney, C. Ireson. Occupational therapy in orthopeadics and trauma. 200</w:t>
      </w:r>
      <w:r w:rsidR="0066022D">
        <w:rPr>
          <w:rFonts w:ascii="Times New Roman" w:hAnsi="Times New Roman" w:cs="Times New Roman"/>
          <w:sz w:val="24"/>
          <w:szCs w:val="24"/>
        </w:rPr>
        <w:t>9;13,244</w:t>
      </w:r>
      <w:r>
        <w:rPr>
          <w:rFonts w:ascii="Times New Roman" w:hAnsi="Times New Roman" w:cs="Times New Roman"/>
          <w:sz w:val="24"/>
          <w:szCs w:val="24"/>
        </w:rPr>
        <w:t>.</w:t>
      </w:r>
    </w:p>
    <w:p w:rsidR="00EA4DA0" w:rsidRPr="00616E37" w:rsidRDefault="00EA4DA0" w:rsidP="00045FF2">
      <w:pPr>
        <w:pStyle w:val="Sraopastraipa"/>
        <w:numPr>
          <w:ilvl w:val="0"/>
          <w:numId w:val="29"/>
        </w:numPr>
        <w:spacing w:after="0" w:line="360" w:lineRule="auto"/>
        <w:jc w:val="both"/>
        <w:rPr>
          <w:rFonts w:ascii="Times New Roman" w:hAnsi="Times New Roman" w:cs="Times New Roman"/>
          <w:sz w:val="24"/>
          <w:szCs w:val="24"/>
        </w:rPr>
      </w:pPr>
      <w:r w:rsidRPr="00EA4DA0">
        <w:rPr>
          <w:rFonts w:ascii="Times New Roman" w:hAnsi="Times New Roman" w:cs="Times New Roman"/>
          <w:color w:val="000000"/>
          <w:sz w:val="24"/>
          <w:szCs w:val="24"/>
          <w:shd w:val="clear" w:color="auto" w:fill="FFFFFF"/>
        </w:rPr>
        <w:lastRenderedPageBreak/>
        <w:t>Colditz JC: </w:t>
      </w:r>
      <w:r w:rsidRPr="00EA4DA0">
        <w:rPr>
          <w:rFonts w:ascii="Times New Roman" w:hAnsi="Times New Roman" w:cs="Times New Roman"/>
          <w:i/>
          <w:iCs/>
          <w:color w:val="000000"/>
          <w:sz w:val="24"/>
          <w:szCs w:val="24"/>
          <w:shd w:val="clear" w:color="auto" w:fill="FFFFFF"/>
        </w:rPr>
        <w:t>Therapists's management of the stiff hand</w:t>
      </w:r>
      <w:r w:rsidRPr="00EA4DA0">
        <w:rPr>
          <w:rFonts w:ascii="Times New Roman" w:hAnsi="Times New Roman" w:cs="Times New Roman"/>
          <w:color w:val="000000"/>
          <w:sz w:val="24"/>
          <w:szCs w:val="24"/>
          <w:shd w:val="clear" w:color="auto" w:fill="FFFFFF"/>
        </w:rPr>
        <w:t>.   In: Hunter JM, et al ed. </w:t>
      </w:r>
      <w:r w:rsidRPr="00EA4DA0">
        <w:rPr>
          <w:rFonts w:ascii="Times New Roman" w:hAnsi="Times New Roman" w:cs="Times New Roman"/>
          <w:i/>
          <w:iCs/>
          <w:color w:val="000000"/>
          <w:sz w:val="24"/>
          <w:szCs w:val="24"/>
          <w:shd w:val="clear" w:color="auto" w:fill="FFFFFF"/>
        </w:rPr>
        <w:t>Rehabilitation of the Hand</w:t>
      </w:r>
      <w:r w:rsidRPr="00EA4DA0">
        <w:rPr>
          <w:rFonts w:ascii="Times New Roman" w:hAnsi="Times New Roman" w:cs="Times New Roman"/>
          <w:color w:val="000000"/>
          <w:sz w:val="24"/>
          <w:szCs w:val="24"/>
          <w:shd w:val="clear" w:color="auto" w:fill="FFFFFF"/>
        </w:rPr>
        <w:t>,  5th ed. St Louis: Mosby; 2002.</w:t>
      </w:r>
    </w:p>
    <w:p w:rsidR="00616E37" w:rsidRPr="00F97B0E" w:rsidRDefault="00616E37" w:rsidP="00045FF2">
      <w:pPr>
        <w:pStyle w:val="Sraopastraipa"/>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J. Paškevičienė. Kineziteipavimo poveikis patyrusiųjų galvos smegenų infarktą rankos funkcijai pirmuoju reabilitacijos etapu. Kaunas; 2012 m. </w:t>
      </w:r>
    </w:p>
    <w:p w:rsidR="003F71F3" w:rsidRDefault="003F71F3">
      <w:pPr>
        <w:rPr>
          <w:rFonts w:ascii="Times New Roman" w:hAnsi="Times New Roman" w:cs="Times New Roman"/>
          <w:b/>
          <w:sz w:val="32"/>
          <w:szCs w:val="32"/>
        </w:rPr>
      </w:pPr>
    </w:p>
    <w:p w:rsidR="009346FF" w:rsidRPr="009346FF" w:rsidRDefault="009346FF" w:rsidP="009346FF">
      <w:pPr>
        <w:tabs>
          <w:tab w:val="left" w:pos="4440"/>
        </w:tabs>
        <w:rPr>
          <w:rFonts w:ascii="Times New Roman" w:hAnsi="Times New Roman" w:cs="Times New Roman"/>
          <w:sz w:val="24"/>
          <w:szCs w:val="24"/>
        </w:rPr>
      </w:pPr>
    </w:p>
    <w:sectPr w:rsidR="009346FF" w:rsidRPr="009346FF" w:rsidSect="00045FF2">
      <w:pgSz w:w="11906" w:h="16838"/>
      <w:pgMar w:top="1134" w:right="567" w:bottom="1134" w:left="1418"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E0F" w:rsidRDefault="005D2E0F" w:rsidP="00EA4B80">
      <w:pPr>
        <w:spacing w:after="0" w:line="240" w:lineRule="auto"/>
      </w:pPr>
      <w:r>
        <w:separator/>
      </w:r>
    </w:p>
  </w:endnote>
  <w:endnote w:type="continuationSeparator" w:id="0">
    <w:p w:rsidR="005D2E0F" w:rsidRDefault="005D2E0F" w:rsidP="00EA4B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E0F" w:rsidRDefault="005D2E0F" w:rsidP="00EA4B80">
      <w:pPr>
        <w:spacing w:after="0" w:line="240" w:lineRule="auto"/>
      </w:pPr>
      <w:r>
        <w:separator/>
      </w:r>
    </w:p>
  </w:footnote>
  <w:footnote w:type="continuationSeparator" w:id="0">
    <w:p w:rsidR="005D2E0F" w:rsidRDefault="005D2E0F" w:rsidP="00EA4B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298" w:rsidRPr="00455298" w:rsidRDefault="00455298">
    <w:pPr>
      <w:pStyle w:val="Antrats"/>
      <w:jc w:val="center"/>
      <w:rPr>
        <w:rFonts w:ascii="Times New Roman" w:hAnsi="Times New Roman" w:cs="Times New Roman"/>
        <w:sz w:val="20"/>
        <w:szCs w:val="20"/>
      </w:rPr>
    </w:pPr>
  </w:p>
  <w:p w:rsidR="00B3638A" w:rsidRDefault="00B3638A">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4747985"/>
      <w:docPartObj>
        <w:docPartGallery w:val="Page Numbers (Top of Page)"/>
        <w:docPartUnique/>
      </w:docPartObj>
    </w:sdtPr>
    <w:sdtEndPr>
      <w:rPr>
        <w:rFonts w:ascii="Times New Roman" w:hAnsi="Times New Roman" w:cs="Times New Roman"/>
        <w:sz w:val="20"/>
        <w:szCs w:val="20"/>
      </w:rPr>
    </w:sdtEndPr>
    <w:sdtContent>
      <w:p w:rsidR="00455298" w:rsidRPr="00455298" w:rsidRDefault="00455298">
        <w:pPr>
          <w:pStyle w:val="Antrats"/>
          <w:jc w:val="center"/>
          <w:rPr>
            <w:rFonts w:ascii="Times New Roman" w:hAnsi="Times New Roman" w:cs="Times New Roman"/>
            <w:sz w:val="20"/>
            <w:szCs w:val="20"/>
          </w:rPr>
        </w:pPr>
        <w:r w:rsidRPr="00455298">
          <w:rPr>
            <w:rFonts w:ascii="Times New Roman" w:hAnsi="Times New Roman" w:cs="Times New Roman"/>
            <w:sz w:val="20"/>
            <w:szCs w:val="20"/>
          </w:rPr>
          <w:fldChar w:fldCharType="begin"/>
        </w:r>
        <w:r w:rsidRPr="00455298">
          <w:rPr>
            <w:rFonts w:ascii="Times New Roman" w:hAnsi="Times New Roman" w:cs="Times New Roman"/>
            <w:sz w:val="20"/>
            <w:szCs w:val="20"/>
          </w:rPr>
          <w:instrText>PAGE   \* MERGEFORMAT</w:instrText>
        </w:r>
        <w:r w:rsidRPr="00455298">
          <w:rPr>
            <w:rFonts w:ascii="Times New Roman" w:hAnsi="Times New Roman" w:cs="Times New Roman"/>
            <w:sz w:val="20"/>
            <w:szCs w:val="20"/>
          </w:rPr>
          <w:fldChar w:fldCharType="separate"/>
        </w:r>
        <w:r w:rsidR="00AC19EF">
          <w:rPr>
            <w:rFonts w:ascii="Times New Roman" w:hAnsi="Times New Roman" w:cs="Times New Roman"/>
            <w:noProof/>
            <w:sz w:val="20"/>
            <w:szCs w:val="20"/>
          </w:rPr>
          <w:t>57</w:t>
        </w:r>
        <w:r w:rsidRPr="00455298">
          <w:rPr>
            <w:rFonts w:ascii="Times New Roman" w:hAnsi="Times New Roman" w:cs="Times New Roman"/>
            <w:sz w:val="20"/>
            <w:szCs w:val="20"/>
          </w:rPr>
          <w:fldChar w:fldCharType="end"/>
        </w:r>
      </w:p>
    </w:sdtContent>
  </w:sdt>
  <w:p w:rsidR="00455298" w:rsidRDefault="00455298">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338D5"/>
    <w:multiLevelType w:val="hybridMultilevel"/>
    <w:tmpl w:val="FFFC179C"/>
    <w:lvl w:ilvl="0" w:tplc="C208493A">
      <w:start w:val="2013"/>
      <w:numFmt w:val="bullet"/>
      <w:lvlText w:val="-"/>
      <w:lvlJc w:val="left"/>
      <w:pPr>
        <w:ind w:left="1440" w:hanging="360"/>
      </w:pPr>
      <w:rPr>
        <w:rFonts w:ascii="Times New Roman" w:eastAsiaTheme="minorHAnsi" w:hAnsi="Times New Roman" w:cs="Times New Roman"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
    <w:nsid w:val="02047D2E"/>
    <w:multiLevelType w:val="hybridMultilevel"/>
    <w:tmpl w:val="4D9E20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038D750E"/>
    <w:multiLevelType w:val="hybridMultilevel"/>
    <w:tmpl w:val="62EC8C32"/>
    <w:lvl w:ilvl="0" w:tplc="A6C2F50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nsid w:val="091B0B9F"/>
    <w:multiLevelType w:val="hybridMultilevel"/>
    <w:tmpl w:val="940624C6"/>
    <w:lvl w:ilvl="0" w:tplc="352AE066">
      <w:start w:val="1"/>
      <w:numFmt w:val="decimal"/>
      <w:lvlText w:val="%1)"/>
      <w:lvlJc w:val="left"/>
      <w:pPr>
        <w:ind w:left="720" w:hanging="360"/>
      </w:pPr>
      <w:rPr>
        <w:rFonts w:hint="default"/>
        <w:b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0C4E46AF"/>
    <w:multiLevelType w:val="hybridMultilevel"/>
    <w:tmpl w:val="7AD0DDC0"/>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128E025B"/>
    <w:multiLevelType w:val="multilevel"/>
    <w:tmpl w:val="424483D2"/>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82A2D2F"/>
    <w:multiLevelType w:val="hybridMultilevel"/>
    <w:tmpl w:val="28EC6D5C"/>
    <w:lvl w:ilvl="0" w:tplc="E69232C0">
      <w:start w:val="1"/>
      <w:numFmt w:val="bullet"/>
      <w:lvlText w:val="•"/>
      <w:lvlJc w:val="left"/>
      <w:pPr>
        <w:tabs>
          <w:tab w:val="num" w:pos="720"/>
        </w:tabs>
        <w:ind w:left="720" w:hanging="360"/>
      </w:pPr>
      <w:rPr>
        <w:rFonts w:ascii="Arial" w:hAnsi="Arial" w:hint="default"/>
      </w:rPr>
    </w:lvl>
    <w:lvl w:ilvl="1" w:tplc="7AEE708E" w:tentative="1">
      <w:start w:val="1"/>
      <w:numFmt w:val="bullet"/>
      <w:lvlText w:val="•"/>
      <w:lvlJc w:val="left"/>
      <w:pPr>
        <w:tabs>
          <w:tab w:val="num" w:pos="1440"/>
        </w:tabs>
        <w:ind w:left="1440" w:hanging="360"/>
      </w:pPr>
      <w:rPr>
        <w:rFonts w:ascii="Arial" w:hAnsi="Arial" w:hint="default"/>
      </w:rPr>
    </w:lvl>
    <w:lvl w:ilvl="2" w:tplc="84509B7C" w:tentative="1">
      <w:start w:val="1"/>
      <w:numFmt w:val="bullet"/>
      <w:lvlText w:val="•"/>
      <w:lvlJc w:val="left"/>
      <w:pPr>
        <w:tabs>
          <w:tab w:val="num" w:pos="2160"/>
        </w:tabs>
        <w:ind w:left="2160" w:hanging="360"/>
      </w:pPr>
      <w:rPr>
        <w:rFonts w:ascii="Arial" w:hAnsi="Arial" w:hint="default"/>
      </w:rPr>
    </w:lvl>
    <w:lvl w:ilvl="3" w:tplc="5FF6E8C8" w:tentative="1">
      <w:start w:val="1"/>
      <w:numFmt w:val="bullet"/>
      <w:lvlText w:val="•"/>
      <w:lvlJc w:val="left"/>
      <w:pPr>
        <w:tabs>
          <w:tab w:val="num" w:pos="2880"/>
        </w:tabs>
        <w:ind w:left="2880" w:hanging="360"/>
      </w:pPr>
      <w:rPr>
        <w:rFonts w:ascii="Arial" w:hAnsi="Arial" w:hint="default"/>
      </w:rPr>
    </w:lvl>
    <w:lvl w:ilvl="4" w:tplc="FE4EA754" w:tentative="1">
      <w:start w:val="1"/>
      <w:numFmt w:val="bullet"/>
      <w:lvlText w:val="•"/>
      <w:lvlJc w:val="left"/>
      <w:pPr>
        <w:tabs>
          <w:tab w:val="num" w:pos="3600"/>
        </w:tabs>
        <w:ind w:left="3600" w:hanging="360"/>
      </w:pPr>
      <w:rPr>
        <w:rFonts w:ascii="Arial" w:hAnsi="Arial" w:hint="default"/>
      </w:rPr>
    </w:lvl>
    <w:lvl w:ilvl="5" w:tplc="CA747478" w:tentative="1">
      <w:start w:val="1"/>
      <w:numFmt w:val="bullet"/>
      <w:lvlText w:val="•"/>
      <w:lvlJc w:val="left"/>
      <w:pPr>
        <w:tabs>
          <w:tab w:val="num" w:pos="4320"/>
        </w:tabs>
        <w:ind w:left="4320" w:hanging="360"/>
      </w:pPr>
      <w:rPr>
        <w:rFonts w:ascii="Arial" w:hAnsi="Arial" w:hint="default"/>
      </w:rPr>
    </w:lvl>
    <w:lvl w:ilvl="6" w:tplc="BFF0D56A" w:tentative="1">
      <w:start w:val="1"/>
      <w:numFmt w:val="bullet"/>
      <w:lvlText w:val="•"/>
      <w:lvlJc w:val="left"/>
      <w:pPr>
        <w:tabs>
          <w:tab w:val="num" w:pos="5040"/>
        </w:tabs>
        <w:ind w:left="5040" w:hanging="360"/>
      </w:pPr>
      <w:rPr>
        <w:rFonts w:ascii="Arial" w:hAnsi="Arial" w:hint="default"/>
      </w:rPr>
    </w:lvl>
    <w:lvl w:ilvl="7" w:tplc="D94E2CDC" w:tentative="1">
      <w:start w:val="1"/>
      <w:numFmt w:val="bullet"/>
      <w:lvlText w:val="•"/>
      <w:lvlJc w:val="left"/>
      <w:pPr>
        <w:tabs>
          <w:tab w:val="num" w:pos="5760"/>
        </w:tabs>
        <w:ind w:left="5760" w:hanging="360"/>
      </w:pPr>
      <w:rPr>
        <w:rFonts w:ascii="Arial" w:hAnsi="Arial" w:hint="default"/>
      </w:rPr>
    </w:lvl>
    <w:lvl w:ilvl="8" w:tplc="7E005064" w:tentative="1">
      <w:start w:val="1"/>
      <w:numFmt w:val="bullet"/>
      <w:lvlText w:val="•"/>
      <w:lvlJc w:val="left"/>
      <w:pPr>
        <w:tabs>
          <w:tab w:val="num" w:pos="6480"/>
        </w:tabs>
        <w:ind w:left="6480" w:hanging="360"/>
      </w:pPr>
      <w:rPr>
        <w:rFonts w:ascii="Arial" w:hAnsi="Arial" w:hint="default"/>
      </w:rPr>
    </w:lvl>
  </w:abstractNum>
  <w:abstractNum w:abstractNumId="7">
    <w:nsid w:val="19B90CCA"/>
    <w:multiLevelType w:val="hybridMultilevel"/>
    <w:tmpl w:val="BB149EB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F2D44D8"/>
    <w:multiLevelType w:val="hybridMultilevel"/>
    <w:tmpl w:val="940624C6"/>
    <w:lvl w:ilvl="0" w:tplc="352AE066">
      <w:start w:val="1"/>
      <w:numFmt w:val="decimal"/>
      <w:lvlText w:val="%1)"/>
      <w:lvlJc w:val="left"/>
      <w:pPr>
        <w:ind w:left="720" w:hanging="360"/>
      </w:pPr>
      <w:rPr>
        <w:rFonts w:hint="default"/>
        <w:b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nsid w:val="1FCA4D6C"/>
    <w:multiLevelType w:val="hybridMultilevel"/>
    <w:tmpl w:val="C26652C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0">
    <w:nsid w:val="20AA5C0E"/>
    <w:multiLevelType w:val="hybridMultilevel"/>
    <w:tmpl w:val="FCD4184C"/>
    <w:lvl w:ilvl="0" w:tplc="EA8E03B8">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nsid w:val="20F50158"/>
    <w:multiLevelType w:val="hybridMultilevel"/>
    <w:tmpl w:val="A83A5F7E"/>
    <w:lvl w:ilvl="0" w:tplc="C208493A">
      <w:start w:val="2013"/>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nsid w:val="248779CA"/>
    <w:multiLevelType w:val="hybridMultilevel"/>
    <w:tmpl w:val="692E7E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nsid w:val="258D47A6"/>
    <w:multiLevelType w:val="hybridMultilevel"/>
    <w:tmpl w:val="82520E3C"/>
    <w:lvl w:ilvl="0" w:tplc="6A60601C">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4">
    <w:nsid w:val="2D067B8F"/>
    <w:multiLevelType w:val="hybridMultilevel"/>
    <w:tmpl w:val="9EDAAC38"/>
    <w:lvl w:ilvl="0" w:tplc="04270001">
      <w:start w:val="1"/>
      <w:numFmt w:val="bullet"/>
      <w:lvlText w:val=""/>
      <w:lvlJc w:val="left"/>
      <w:pPr>
        <w:ind w:left="720" w:hanging="360"/>
      </w:pPr>
      <w:rPr>
        <w:rFonts w:ascii="Symbol" w:hAnsi="Symbo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nsid w:val="304B7A82"/>
    <w:multiLevelType w:val="hybridMultilevel"/>
    <w:tmpl w:val="3ECEF62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nsid w:val="35897CCB"/>
    <w:multiLevelType w:val="hybridMultilevel"/>
    <w:tmpl w:val="45C04D84"/>
    <w:lvl w:ilvl="0" w:tplc="E2183652">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nsid w:val="35F94EA1"/>
    <w:multiLevelType w:val="hybridMultilevel"/>
    <w:tmpl w:val="805E3B1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nsid w:val="36004FB6"/>
    <w:multiLevelType w:val="hybridMultilevel"/>
    <w:tmpl w:val="A1EED0EA"/>
    <w:lvl w:ilvl="0" w:tplc="04270001">
      <w:start w:val="1"/>
      <w:numFmt w:val="bullet"/>
      <w:lvlText w:val=""/>
      <w:lvlJc w:val="left"/>
      <w:pPr>
        <w:ind w:left="840" w:hanging="360"/>
      </w:pPr>
      <w:rPr>
        <w:rFonts w:ascii="Symbol" w:hAnsi="Symbol" w:hint="default"/>
      </w:rPr>
    </w:lvl>
    <w:lvl w:ilvl="1" w:tplc="04270003" w:tentative="1">
      <w:start w:val="1"/>
      <w:numFmt w:val="bullet"/>
      <w:lvlText w:val="o"/>
      <w:lvlJc w:val="left"/>
      <w:pPr>
        <w:ind w:left="1560" w:hanging="360"/>
      </w:pPr>
      <w:rPr>
        <w:rFonts w:ascii="Courier New" w:hAnsi="Courier New" w:cs="Courier New" w:hint="default"/>
      </w:rPr>
    </w:lvl>
    <w:lvl w:ilvl="2" w:tplc="04270005" w:tentative="1">
      <w:start w:val="1"/>
      <w:numFmt w:val="bullet"/>
      <w:lvlText w:val=""/>
      <w:lvlJc w:val="left"/>
      <w:pPr>
        <w:ind w:left="2280" w:hanging="360"/>
      </w:pPr>
      <w:rPr>
        <w:rFonts w:ascii="Wingdings" w:hAnsi="Wingdings" w:hint="default"/>
      </w:rPr>
    </w:lvl>
    <w:lvl w:ilvl="3" w:tplc="04270001" w:tentative="1">
      <w:start w:val="1"/>
      <w:numFmt w:val="bullet"/>
      <w:lvlText w:val=""/>
      <w:lvlJc w:val="left"/>
      <w:pPr>
        <w:ind w:left="3000" w:hanging="360"/>
      </w:pPr>
      <w:rPr>
        <w:rFonts w:ascii="Symbol" w:hAnsi="Symbol" w:hint="default"/>
      </w:rPr>
    </w:lvl>
    <w:lvl w:ilvl="4" w:tplc="04270003" w:tentative="1">
      <w:start w:val="1"/>
      <w:numFmt w:val="bullet"/>
      <w:lvlText w:val="o"/>
      <w:lvlJc w:val="left"/>
      <w:pPr>
        <w:ind w:left="3720" w:hanging="360"/>
      </w:pPr>
      <w:rPr>
        <w:rFonts w:ascii="Courier New" w:hAnsi="Courier New" w:cs="Courier New" w:hint="default"/>
      </w:rPr>
    </w:lvl>
    <w:lvl w:ilvl="5" w:tplc="04270005" w:tentative="1">
      <w:start w:val="1"/>
      <w:numFmt w:val="bullet"/>
      <w:lvlText w:val=""/>
      <w:lvlJc w:val="left"/>
      <w:pPr>
        <w:ind w:left="4440" w:hanging="360"/>
      </w:pPr>
      <w:rPr>
        <w:rFonts w:ascii="Wingdings" w:hAnsi="Wingdings" w:hint="default"/>
      </w:rPr>
    </w:lvl>
    <w:lvl w:ilvl="6" w:tplc="04270001" w:tentative="1">
      <w:start w:val="1"/>
      <w:numFmt w:val="bullet"/>
      <w:lvlText w:val=""/>
      <w:lvlJc w:val="left"/>
      <w:pPr>
        <w:ind w:left="5160" w:hanging="360"/>
      </w:pPr>
      <w:rPr>
        <w:rFonts w:ascii="Symbol" w:hAnsi="Symbol" w:hint="default"/>
      </w:rPr>
    </w:lvl>
    <w:lvl w:ilvl="7" w:tplc="04270003" w:tentative="1">
      <w:start w:val="1"/>
      <w:numFmt w:val="bullet"/>
      <w:lvlText w:val="o"/>
      <w:lvlJc w:val="left"/>
      <w:pPr>
        <w:ind w:left="5880" w:hanging="360"/>
      </w:pPr>
      <w:rPr>
        <w:rFonts w:ascii="Courier New" w:hAnsi="Courier New" w:cs="Courier New" w:hint="default"/>
      </w:rPr>
    </w:lvl>
    <w:lvl w:ilvl="8" w:tplc="04270005" w:tentative="1">
      <w:start w:val="1"/>
      <w:numFmt w:val="bullet"/>
      <w:lvlText w:val=""/>
      <w:lvlJc w:val="left"/>
      <w:pPr>
        <w:ind w:left="6600" w:hanging="360"/>
      </w:pPr>
      <w:rPr>
        <w:rFonts w:ascii="Wingdings" w:hAnsi="Wingdings" w:hint="default"/>
      </w:rPr>
    </w:lvl>
  </w:abstractNum>
  <w:abstractNum w:abstractNumId="19">
    <w:nsid w:val="37602780"/>
    <w:multiLevelType w:val="hybridMultilevel"/>
    <w:tmpl w:val="57FE32BC"/>
    <w:lvl w:ilvl="0" w:tplc="04090001">
      <w:start w:val="1"/>
      <w:numFmt w:val="bullet"/>
      <w:lvlText w:val=""/>
      <w:lvlJc w:val="left"/>
      <w:pPr>
        <w:tabs>
          <w:tab w:val="num" w:pos="720"/>
        </w:tabs>
        <w:ind w:left="720" w:hanging="360"/>
      </w:pPr>
      <w:rPr>
        <w:rFonts w:ascii="Symbol" w:hAnsi="Symbol" w:hint="default"/>
      </w:rPr>
    </w:lvl>
    <w:lvl w:ilvl="1" w:tplc="E858FE3A">
      <w:start w:val="22"/>
      <w:numFmt w:val="decimal"/>
      <w:lvlText w:val="%2."/>
      <w:lvlJc w:val="left"/>
      <w:pPr>
        <w:tabs>
          <w:tab w:val="num" w:pos="720"/>
        </w:tabs>
        <w:ind w:left="720" w:firstLine="204"/>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82824F6"/>
    <w:multiLevelType w:val="hybridMultilevel"/>
    <w:tmpl w:val="3230E9D8"/>
    <w:lvl w:ilvl="0" w:tplc="352AE066">
      <w:start w:val="1"/>
      <w:numFmt w:val="decimal"/>
      <w:lvlText w:val="%1)"/>
      <w:lvlJc w:val="left"/>
      <w:pPr>
        <w:ind w:left="720" w:hanging="360"/>
      </w:pPr>
      <w:rPr>
        <w:rFonts w:hint="default"/>
        <w:b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nsid w:val="38D15F66"/>
    <w:multiLevelType w:val="hybridMultilevel"/>
    <w:tmpl w:val="2E2A59A6"/>
    <w:lvl w:ilvl="0" w:tplc="C208493A">
      <w:start w:val="2013"/>
      <w:numFmt w:val="bullet"/>
      <w:lvlText w:val="-"/>
      <w:lvlJc w:val="left"/>
      <w:pPr>
        <w:ind w:left="1440" w:hanging="360"/>
      </w:pPr>
      <w:rPr>
        <w:rFonts w:ascii="Times New Roman" w:eastAsiaTheme="minorHAnsi" w:hAnsi="Times New Roman" w:cs="Times New Roman"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2">
    <w:nsid w:val="3A010693"/>
    <w:multiLevelType w:val="hybridMultilevel"/>
    <w:tmpl w:val="E4226E6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nsid w:val="3FC22C30"/>
    <w:multiLevelType w:val="hybridMultilevel"/>
    <w:tmpl w:val="E1D8D96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nsid w:val="40B779E2"/>
    <w:multiLevelType w:val="hybridMultilevel"/>
    <w:tmpl w:val="ECC24E40"/>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nsid w:val="477C32EC"/>
    <w:multiLevelType w:val="hybridMultilevel"/>
    <w:tmpl w:val="80388B2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nsid w:val="47F30B39"/>
    <w:multiLevelType w:val="hybridMultilevel"/>
    <w:tmpl w:val="7F8CC4E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nsid w:val="4CFC14AC"/>
    <w:multiLevelType w:val="hybridMultilevel"/>
    <w:tmpl w:val="AD729D66"/>
    <w:lvl w:ilvl="0" w:tplc="E2AC95C8">
      <w:start w:val="1"/>
      <w:numFmt w:val="decimal"/>
      <w:lvlText w:val="%1)"/>
      <w:lvlJc w:val="left"/>
      <w:pPr>
        <w:ind w:left="720" w:hanging="360"/>
      </w:pPr>
      <w:rPr>
        <w:rFonts w:hint="default"/>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nsid w:val="4DFB6C8D"/>
    <w:multiLevelType w:val="hybridMultilevel"/>
    <w:tmpl w:val="557867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nsid w:val="535D516D"/>
    <w:multiLevelType w:val="hybridMultilevel"/>
    <w:tmpl w:val="73C00B34"/>
    <w:lvl w:ilvl="0" w:tplc="C208493A">
      <w:start w:val="2013"/>
      <w:numFmt w:val="bullet"/>
      <w:lvlText w:val="-"/>
      <w:lvlJc w:val="left"/>
      <w:pPr>
        <w:ind w:left="1440" w:hanging="360"/>
      </w:pPr>
      <w:rPr>
        <w:rFonts w:ascii="Times New Roman" w:eastAsiaTheme="minorHAnsi" w:hAnsi="Times New Roman" w:cs="Times New Roman"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0">
    <w:nsid w:val="57081DBA"/>
    <w:multiLevelType w:val="hybridMultilevel"/>
    <w:tmpl w:val="19DEBDA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nsid w:val="5E314391"/>
    <w:multiLevelType w:val="hybridMultilevel"/>
    <w:tmpl w:val="BAC4A706"/>
    <w:lvl w:ilvl="0" w:tplc="C208493A">
      <w:start w:val="2013"/>
      <w:numFmt w:val="bullet"/>
      <w:lvlText w:val="-"/>
      <w:lvlJc w:val="left"/>
      <w:pPr>
        <w:ind w:left="1440" w:hanging="360"/>
      </w:pPr>
      <w:rPr>
        <w:rFonts w:ascii="Times New Roman" w:eastAsiaTheme="minorHAnsi" w:hAnsi="Times New Roman" w:cs="Times New Roman"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2">
    <w:nsid w:val="61513784"/>
    <w:multiLevelType w:val="hybridMultilevel"/>
    <w:tmpl w:val="2864CDBC"/>
    <w:lvl w:ilvl="0" w:tplc="352AE066">
      <w:start w:val="1"/>
      <w:numFmt w:val="decimal"/>
      <w:lvlText w:val="%1)"/>
      <w:lvlJc w:val="left"/>
      <w:pPr>
        <w:ind w:left="720" w:hanging="360"/>
      </w:pPr>
      <w:rPr>
        <w:rFonts w:hint="default"/>
        <w:b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nsid w:val="64A83EE0"/>
    <w:multiLevelType w:val="hybridMultilevel"/>
    <w:tmpl w:val="96BAF770"/>
    <w:lvl w:ilvl="0" w:tplc="2C0C517E">
      <w:start w:val="1"/>
      <w:numFmt w:val="bullet"/>
      <w:lvlText w:val="•"/>
      <w:lvlJc w:val="left"/>
      <w:pPr>
        <w:tabs>
          <w:tab w:val="num" w:pos="720"/>
        </w:tabs>
        <w:ind w:left="720" w:hanging="360"/>
      </w:pPr>
      <w:rPr>
        <w:rFonts w:ascii="Arial" w:hAnsi="Arial" w:hint="default"/>
      </w:rPr>
    </w:lvl>
    <w:lvl w:ilvl="1" w:tplc="B9BCE798" w:tentative="1">
      <w:start w:val="1"/>
      <w:numFmt w:val="bullet"/>
      <w:lvlText w:val="•"/>
      <w:lvlJc w:val="left"/>
      <w:pPr>
        <w:tabs>
          <w:tab w:val="num" w:pos="1440"/>
        </w:tabs>
        <w:ind w:left="1440" w:hanging="360"/>
      </w:pPr>
      <w:rPr>
        <w:rFonts w:ascii="Arial" w:hAnsi="Arial" w:hint="default"/>
      </w:rPr>
    </w:lvl>
    <w:lvl w:ilvl="2" w:tplc="7632F83E" w:tentative="1">
      <w:start w:val="1"/>
      <w:numFmt w:val="bullet"/>
      <w:lvlText w:val="•"/>
      <w:lvlJc w:val="left"/>
      <w:pPr>
        <w:tabs>
          <w:tab w:val="num" w:pos="2160"/>
        </w:tabs>
        <w:ind w:left="2160" w:hanging="360"/>
      </w:pPr>
      <w:rPr>
        <w:rFonts w:ascii="Arial" w:hAnsi="Arial" w:hint="default"/>
      </w:rPr>
    </w:lvl>
    <w:lvl w:ilvl="3" w:tplc="EE746F4C" w:tentative="1">
      <w:start w:val="1"/>
      <w:numFmt w:val="bullet"/>
      <w:lvlText w:val="•"/>
      <w:lvlJc w:val="left"/>
      <w:pPr>
        <w:tabs>
          <w:tab w:val="num" w:pos="2880"/>
        </w:tabs>
        <w:ind w:left="2880" w:hanging="360"/>
      </w:pPr>
      <w:rPr>
        <w:rFonts w:ascii="Arial" w:hAnsi="Arial" w:hint="default"/>
      </w:rPr>
    </w:lvl>
    <w:lvl w:ilvl="4" w:tplc="4E2EB45E" w:tentative="1">
      <w:start w:val="1"/>
      <w:numFmt w:val="bullet"/>
      <w:lvlText w:val="•"/>
      <w:lvlJc w:val="left"/>
      <w:pPr>
        <w:tabs>
          <w:tab w:val="num" w:pos="3600"/>
        </w:tabs>
        <w:ind w:left="3600" w:hanging="360"/>
      </w:pPr>
      <w:rPr>
        <w:rFonts w:ascii="Arial" w:hAnsi="Arial" w:hint="default"/>
      </w:rPr>
    </w:lvl>
    <w:lvl w:ilvl="5" w:tplc="291EDA3C" w:tentative="1">
      <w:start w:val="1"/>
      <w:numFmt w:val="bullet"/>
      <w:lvlText w:val="•"/>
      <w:lvlJc w:val="left"/>
      <w:pPr>
        <w:tabs>
          <w:tab w:val="num" w:pos="4320"/>
        </w:tabs>
        <w:ind w:left="4320" w:hanging="360"/>
      </w:pPr>
      <w:rPr>
        <w:rFonts w:ascii="Arial" w:hAnsi="Arial" w:hint="default"/>
      </w:rPr>
    </w:lvl>
    <w:lvl w:ilvl="6" w:tplc="B602F18A" w:tentative="1">
      <w:start w:val="1"/>
      <w:numFmt w:val="bullet"/>
      <w:lvlText w:val="•"/>
      <w:lvlJc w:val="left"/>
      <w:pPr>
        <w:tabs>
          <w:tab w:val="num" w:pos="5040"/>
        </w:tabs>
        <w:ind w:left="5040" w:hanging="360"/>
      </w:pPr>
      <w:rPr>
        <w:rFonts w:ascii="Arial" w:hAnsi="Arial" w:hint="default"/>
      </w:rPr>
    </w:lvl>
    <w:lvl w:ilvl="7" w:tplc="062C492A" w:tentative="1">
      <w:start w:val="1"/>
      <w:numFmt w:val="bullet"/>
      <w:lvlText w:val="•"/>
      <w:lvlJc w:val="left"/>
      <w:pPr>
        <w:tabs>
          <w:tab w:val="num" w:pos="5760"/>
        </w:tabs>
        <w:ind w:left="5760" w:hanging="360"/>
      </w:pPr>
      <w:rPr>
        <w:rFonts w:ascii="Arial" w:hAnsi="Arial" w:hint="default"/>
      </w:rPr>
    </w:lvl>
    <w:lvl w:ilvl="8" w:tplc="5D0857DA" w:tentative="1">
      <w:start w:val="1"/>
      <w:numFmt w:val="bullet"/>
      <w:lvlText w:val="•"/>
      <w:lvlJc w:val="left"/>
      <w:pPr>
        <w:tabs>
          <w:tab w:val="num" w:pos="6480"/>
        </w:tabs>
        <w:ind w:left="6480" w:hanging="360"/>
      </w:pPr>
      <w:rPr>
        <w:rFonts w:ascii="Arial" w:hAnsi="Arial" w:hint="default"/>
      </w:rPr>
    </w:lvl>
  </w:abstractNum>
  <w:abstractNum w:abstractNumId="34">
    <w:nsid w:val="692E4E02"/>
    <w:multiLevelType w:val="hybridMultilevel"/>
    <w:tmpl w:val="116822C6"/>
    <w:lvl w:ilvl="0" w:tplc="82EE8C2C">
      <w:start w:val="1"/>
      <w:numFmt w:val="decimal"/>
      <w:lvlText w:val="%1."/>
      <w:lvlJc w:val="left"/>
      <w:pPr>
        <w:ind w:left="720" w:hanging="360"/>
      </w:pPr>
      <w:rPr>
        <w:strike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nsid w:val="698E382C"/>
    <w:multiLevelType w:val="hybridMultilevel"/>
    <w:tmpl w:val="63E83DB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nsid w:val="6DB33F9E"/>
    <w:multiLevelType w:val="hybridMultilevel"/>
    <w:tmpl w:val="99085008"/>
    <w:lvl w:ilvl="0" w:tplc="C208493A">
      <w:start w:val="2013"/>
      <w:numFmt w:val="bullet"/>
      <w:lvlText w:val="-"/>
      <w:lvlJc w:val="left"/>
      <w:pPr>
        <w:ind w:left="1440" w:hanging="360"/>
      </w:pPr>
      <w:rPr>
        <w:rFonts w:ascii="Times New Roman" w:eastAsiaTheme="minorHAnsi" w:hAnsi="Times New Roman" w:cs="Times New Roman"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7">
    <w:nsid w:val="6FEF00CF"/>
    <w:multiLevelType w:val="hybridMultilevel"/>
    <w:tmpl w:val="0CB85986"/>
    <w:lvl w:ilvl="0" w:tplc="EA7072D0">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8">
    <w:nsid w:val="707E50ED"/>
    <w:multiLevelType w:val="hybridMultilevel"/>
    <w:tmpl w:val="0CE4D88C"/>
    <w:lvl w:ilvl="0" w:tplc="DB70FC3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nsid w:val="71A63021"/>
    <w:multiLevelType w:val="hybridMultilevel"/>
    <w:tmpl w:val="A7ECA056"/>
    <w:lvl w:ilvl="0" w:tplc="04270001">
      <w:start w:val="1"/>
      <w:numFmt w:val="bullet"/>
      <w:lvlText w:val=""/>
      <w:lvlJc w:val="left"/>
      <w:pPr>
        <w:ind w:left="720" w:hanging="360"/>
      </w:pPr>
      <w:rPr>
        <w:rFonts w:ascii="Symbol" w:hAnsi="Symbo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nsid w:val="71F80878"/>
    <w:multiLevelType w:val="hybridMultilevel"/>
    <w:tmpl w:val="41BAD1DE"/>
    <w:lvl w:ilvl="0" w:tplc="28665F54">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41">
    <w:nsid w:val="721F5E1E"/>
    <w:multiLevelType w:val="hybridMultilevel"/>
    <w:tmpl w:val="CDEC7CB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nsid w:val="724A529B"/>
    <w:multiLevelType w:val="hybridMultilevel"/>
    <w:tmpl w:val="76F899A2"/>
    <w:lvl w:ilvl="0" w:tplc="352AE066">
      <w:start w:val="1"/>
      <w:numFmt w:val="decimal"/>
      <w:lvlText w:val="%1)"/>
      <w:lvlJc w:val="left"/>
      <w:pPr>
        <w:ind w:left="360" w:hanging="360"/>
      </w:pPr>
      <w:rPr>
        <w:rFonts w:hint="default"/>
        <w:b w:val="0"/>
        <w:sz w:val="24"/>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3">
    <w:nsid w:val="7351303B"/>
    <w:multiLevelType w:val="hybridMultilevel"/>
    <w:tmpl w:val="EA6A7AA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nsid w:val="76AB3CF5"/>
    <w:multiLevelType w:val="hybridMultilevel"/>
    <w:tmpl w:val="97CAB320"/>
    <w:lvl w:ilvl="0" w:tplc="352AE066">
      <w:start w:val="1"/>
      <w:numFmt w:val="decimal"/>
      <w:lvlText w:val="%1)"/>
      <w:lvlJc w:val="left"/>
      <w:pPr>
        <w:ind w:left="1080" w:hanging="360"/>
      </w:pPr>
      <w:rPr>
        <w:rFonts w:hint="default"/>
        <w:b w:val="0"/>
        <w:sz w:val="24"/>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5">
    <w:nsid w:val="793B29F9"/>
    <w:multiLevelType w:val="hybridMultilevel"/>
    <w:tmpl w:val="C23AA07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nsid w:val="7D395689"/>
    <w:multiLevelType w:val="hybridMultilevel"/>
    <w:tmpl w:val="8F2AC89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7">
    <w:nsid w:val="7D39587D"/>
    <w:multiLevelType w:val="hybridMultilevel"/>
    <w:tmpl w:val="1B388EA8"/>
    <w:lvl w:ilvl="0" w:tplc="DB70FC3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6"/>
  </w:num>
  <w:num w:numId="2">
    <w:abstractNumId w:val="11"/>
  </w:num>
  <w:num w:numId="3">
    <w:abstractNumId w:val="7"/>
  </w:num>
  <w:num w:numId="4">
    <w:abstractNumId w:val="41"/>
  </w:num>
  <w:num w:numId="5">
    <w:abstractNumId w:val="18"/>
  </w:num>
  <w:num w:numId="6">
    <w:abstractNumId w:val="45"/>
  </w:num>
  <w:num w:numId="7">
    <w:abstractNumId w:val="25"/>
  </w:num>
  <w:num w:numId="8">
    <w:abstractNumId w:val="29"/>
  </w:num>
  <w:num w:numId="9">
    <w:abstractNumId w:val="28"/>
  </w:num>
  <w:num w:numId="10">
    <w:abstractNumId w:val="15"/>
  </w:num>
  <w:num w:numId="11">
    <w:abstractNumId w:val="9"/>
  </w:num>
  <w:num w:numId="12">
    <w:abstractNumId w:val="43"/>
  </w:num>
  <w:num w:numId="13">
    <w:abstractNumId w:val="12"/>
  </w:num>
  <w:num w:numId="14">
    <w:abstractNumId w:val="24"/>
  </w:num>
  <w:num w:numId="15">
    <w:abstractNumId w:val="39"/>
  </w:num>
  <w:num w:numId="16">
    <w:abstractNumId w:val="31"/>
  </w:num>
  <w:num w:numId="17">
    <w:abstractNumId w:val="21"/>
  </w:num>
  <w:num w:numId="18">
    <w:abstractNumId w:val="0"/>
  </w:num>
  <w:num w:numId="19">
    <w:abstractNumId w:val="46"/>
  </w:num>
  <w:num w:numId="20">
    <w:abstractNumId w:val="10"/>
  </w:num>
  <w:num w:numId="21">
    <w:abstractNumId w:val="5"/>
  </w:num>
  <w:num w:numId="22">
    <w:abstractNumId w:val="14"/>
  </w:num>
  <w:num w:numId="23">
    <w:abstractNumId w:val="13"/>
  </w:num>
  <w:num w:numId="24">
    <w:abstractNumId w:val="36"/>
  </w:num>
  <w:num w:numId="25">
    <w:abstractNumId w:val="2"/>
  </w:num>
  <w:num w:numId="26">
    <w:abstractNumId w:val="37"/>
  </w:num>
  <w:num w:numId="27">
    <w:abstractNumId w:val="38"/>
  </w:num>
  <w:num w:numId="28">
    <w:abstractNumId w:val="47"/>
  </w:num>
  <w:num w:numId="29">
    <w:abstractNumId w:val="3"/>
  </w:num>
  <w:num w:numId="30">
    <w:abstractNumId w:val="33"/>
  </w:num>
  <w:num w:numId="31">
    <w:abstractNumId w:val="6"/>
  </w:num>
  <w:num w:numId="32">
    <w:abstractNumId w:val="34"/>
  </w:num>
  <w:num w:numId="33">
    <w:abstractNumId w:val="27"/>
  </w:num>
  <w:num w:numId="34">
    <w:abstractNumId w:val="42"/>
  </w:num>
  <w:num w:numId="35">
    <w:abstractNumId w:val="1"/>
  </w:num>
  <w:num w:numId="36">
    <w:abstractNumId w:val="44"/>
  </w:num>
  <w:num w:numId="37">
    <w:abstractNumId w:val="22"/>
  </w:num>
  <w:num w:numId="38">
    <w:abstractNumId w:val="23"/>
  </w:num>
  <w:num w:numId="39">
    <w:abstractNumId w:val="20"/>
  </w:num>
  <w:num w:numId="40">
    <w:abstractNumId w:val="32"/>
  </w:num>
  <w:num w:numId="41">
    <w:abstractNumId w:val="30"/>
  </w:num>
  <w:num w:numId="42">
    <w:abstractNumId w:val="17"/>
  </w:num>
  <w:num w:numId="43">
    <w:abstractNumId w:val="35"/>
  </w:num>
  <w:num w:numId="44">
    <w:abstractNumId w:val="8"/>
  </w:num>
  <w:num w:numId="45">
    <w:abstractNumId w:val="26"/>
  </w:num>
  <w:num w:numId="46">
    <w:abstractNumId w:val="4"/>
  </w:num>
  <w:num w:numId="47">
    <w:abstractNumId w:val="19"/>
  </w:num>
  <w:num w:numId="4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851"/>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064"/>
    <w:rsid w:val="00004601"/>
    <w:rsid w:val="0002182D"/>
    <w:rsid w:val="00034CFB"/>
    <w:rsid w:val="00040A6C"/>
    <w:rsid w:val="00043C0F"/>
    <w:rsid w:val="00045FF2"/>
    <w:rsid w:val="000501F7"/>
    <w:rsid w:val="00053714"/>
    <w:rsid w:val="00064DF1"/>
    <w:rsid w:val="00064EDF"/>
    <w:rsid w:val="00081CF9"/>
    <w:rsid w:val="000A39DA"/>
    <w:rsid w:val="000A533A"/>
    <w:rsid w:val="000A77E7"/>
    <w:rsid w:val="000B1724"/>
    <w:rsid w:val="000B6D01"/>
    <w:rsid w:val="000C238D"/>
    <w:rsid w:val="000C2F91"/>
    <w:rsid w:val="000C404F"/>
    <w:rsid w:val="000D0847"/>
    <w:rsid w:val="000D29FC"/>
    <w:rsid w:val="000E2D64"/>
    <w:rsid w:val="000E4FF4"/>
    <w:rsid w:val="000F39D1"/>
    <w:rsid w:val="000F5BC8"/>
    <w:rsid w:val="000F62BB"/>
    <w:rsid w:val="0010287D"/>
    <w:rsid w:val="001103F0"/>
    <w:rsid w:val="0012498C"/>
    <w:rsid w:val="00142F46"/>
    <w:rsid w:val="00157DC6"/>
    <w:rsid w:val="001611EB"/>
    <w:rsid w:val="00164FFB"/>
    <w:rsid w:val="0017030D"/>
    <w:rsid w:val="00192BE0"/>
    <w:rsid w:val="00194AA6"/>
    <w:rsid w:val="001A3470"/>
    <w:rsid w:val="001A4189"/>
    <w:rsid w:val="001A4EBD"/>
    <w:rsid w:val="001A5BCA"/>
    <w:rsid w:val="001C0C59"/>
    <w:rsid w:val="001C55BA"/>
    <w:rsid w:val="001D429C"/>
    <w:rsid w:val="001E0967"/>
    <w:rsid w:val="001E5ABC"/>
    <w:rsid w:val="001E6DCE"/>
    <w:rsid w:val="001F1422"/>
    <w:rsid w:val="001F2466"/>
    <w:rsid w:val="001F465D"/>
    <w:rsid w:val="0020207C"/>
    <w:rsid w:val="00211A6E"/>
    <w:rsid w:val="00212A42"/>
    <w:rsid w:val="002151CE"/>
    <w:rsid w:val="00224213"/>
    <w:rsid w:val="002243A4"/>
    <w:rsid w:val="00227CED"/>
    <w:rsid w:val="00231337"/>
    <w:rsid w:val="00231FFF"/>
    <w:rsid w:val="00243B09"/>
    <w:rsid w:val="0026360A"/>
    <w:rsid w:val="00264064"/>
    <w:rsid w:val="00273953"/>
    <w:rsid w:val="00277A24"/>
    <w:rsid w:val="00281974"/>
    <w:rsid w:val="00281F7F"/>
    <w:rsid w:val="002836D2"/>
    <w:rsid w:val="002847B6"/>
    <w:rsid w:val="00290E72"/>
    <w:rsid w:val="002948E5"/>
    <w:rsid w:val="002A15E0"/>
    <w:rsid w:val="002B27EF"/>
    <w:rsid w:val="002C2D60"/>
    <w:rsid w:val="002C46A3"/>
    <w:rsid w:val="002C4765"/>
    <w:rsid w:val="002D3D6B"/>
    <w:rsid w:val="002D49DB"/>
    <w:rsid w:val="002D7163"/>
    <w:rsid w:val="002E7AF6"/>
    <w:rsid w:val="002F05EA"/>
    <w:rsid w:val="002F2793"/>
    <w:rsid w:val="002F5501"/>
    <w:rsid w:val="00304C0A"/>
    <w:rsid w:val="003212BB"/>
    <w:rsid w:val="00321377"/>
    <w:rsid w:val="00323951"/>
    <w:rsid w:val="003277A8"/>
    <w:rsid w:val="003308E3"/>
    <w:rsid w:val="0033186F"/>
    <w:rsid w:val="003352DA"/>
    <w:rsid w:val="00346514"/>
    <w:rsid w:val="00353A92"/>
    <w:rsid w:val="00355088"/>
    <w:rsid w:val="00355C35"/>
    <w:rsid w:val="00360DA0"/>
    <w:rsid w:val="0037157A"/>
    <w:rsid w:val="0039225F"/>
    <w:rsid w:val="00397BEB"/>
    <w:rsid w:val="003A559D"/>
    <w:rsid w:val="003C00B5"/>
    <w:rsid w:val="003C11D9"/>
    <w:rsid w:val="003C169F"/>
    <w:rsid w:val="003C2625"/>
    <w:rsid w:val="003D3A96"/>
    <w:rsid w:val="003E5367"/>
    <w:rsid w:val="003E5AD1"/>
    <w:rsid w:val="003F05CC"/>
    <w:rsid w:val="003F1070"/>
    <w:rsid w:val="003F1493"/>
    <w:rsid w:val="003F26E4"/>
    <w:rsid w:val="003F683B"/>
    <w:rsid w:val="003F71F3"/>
    <w:rsid w:val="00400CBA"/>
    <w:rsid w:val="00403734"/>
    <w:rsid w:val="0040645A"/>
    <w:rsid w:val="004149CA"/>
    <w:rsid w:val="0041646C"/>
    <w:rsid w:val="00420F28"/>
    <w:rsid w:val="004225EB"/>
    <w:rsid w:val="00440007"/>
    <w:rsid w:val="00443FE7"/>
    <w:rsid w:val="00444151"/>
    <w:rsid w:val="00455298"/>
    <w:rsid w:val="004634A0"/>
    <w:rsid w:val="0046581E"/>
    <w:rsid w:val="004679FB"/>
    <w:rsid w:val="00495644"/>
    <w:rsid w:val="00495FA8"/>
    <w:rsid w:val="004B3C99"/>
    <w:rsid w:val="004B4225"/>
    <w:rsid w:val="004B4CF5"/>
    <w:rsid w:val="004B5E9C"/>
    <w:rsid w:val="004B64AA"/>
    <w:rsid w:val="004B7BCA"/>
    <w:rsid w:val="004C4A6D"/>
    <w:rsid w:val="004C6621"/>
    <w:rsid w:val="004D3A35"/>
    <w:rsid w:val="004D3BEB"/>
    <w:rsid w:val="004D4F92"/>
    <w:rsid w:val="004E74E7"/>
    <w:rsid w:val="004F02D1"/>
    <w:rsid w:val="004F21BD"/>
    <w:rsid w:val="005004E4"/>
    <w:rsid w:val="00537A2B"/>
    <w:rsid w:val="00540FDD"/>
    <w:rsid w:val="00557B41"/>
    <w:rsid w:val="005614D0"/>
    <w:rsid w:val="00571556"/>
    <w:rsid w:val="005738CA"/>
    <w:rsid w:val="00577F93"/>
    <w:rsid w:val="00581564"/>
    <w:rsid w:val="0059132C"/>
    <w:rsid w:val="005929B1"/>
    <w:rsid w:val="005A7ACF"/>
    <w:rsid w:val="005B37D5"/>
    <w:rsid w:val="005B65B2"/>
    <w:rsid w:val="005C0C69"/>
    <w:rsid w:val="005C427E"/>
    <w:rsid w:val="005C5ABD"/>
    <w:rsid w:val="005D2E0F"/>
    <w:rsid w:val="005F05E7"/>
    <w:rsid w:val="005F411B"/>
    <w:rsid w:val="00610C01"/>
    <w:rsid w:val="00613B5B"/>
    <w:rsid w:val="00616E37"/>
    <w:rsid w:val="00632EC1"/>
    <w:rsid w:val="00643040"/>
    <w:rsid w:val="0065628F"/>
    <w:rsid w:val="006567FF"/>
    <w:rsid w:val="0066022D"/>
    <w:rsid w:val="00662332"/>
    <w:rsid w:val="0066266B"/>
    <w:rsid w:val="00672B79"/>
    <w:rsid w:val="006760DE"/>
    <w:rsid w:val="0068007E"/>
    <w:rsid w:val="006A1BCD"/>
    <w:rsid w:val="006B6059"/>
    <w:rsid w:val="006C5119"/>
    <w:rsid w:val="006C6A6A"/>
    <w:rsid w:val="006D60EC"/>
    <w:rsid w:val="006D7E6A"/>
    <w:rsid w:val="006E041A"/>
    <w:rsid w:val="006E13ED"/>
    <w:rsid w:val="006E15A2"/>
    <w:rsid w:val="006E456D"/>
    <w:rsid w:val="006F5175"/>
    <w:rsid w:val="006F65BF"/>
    <w:rsid w:val="006F7DEB"/>
    <w:rsid w:val="00730367"/>
    <w:rsid w:val="007328FD"/>
    <w:rsid w:val="00740C0E"/>
    <w:rsid w:val="00742D9D"/>
    <w:rsid w:val="007667D0"/>
    <w:rsid w:val="00774303"/>
    <w:rsid w:val="00777455"/>
    <w:rsid w:val="007920E0"/>
    <w:rsid w:val="007A35B9"/>
    <w:rsid w:val="007C3F77"/>
    <w:rsid w:val="007C4200"/>
    <w:rsid w:val="007D5A1A"/>
    <w:rsid w:val="007D6930"/>
    <w:rsid w:val="007E2959"/>
    <w:rsid w:val="007E6E67"/>
    <w:rsid w:val="007F798D"/>
    <w:rsid w:val="008048B5"/>
    <w:rsid w:val="008132DD"/>
    <w:rsid w:val="00813DB1"/>
    <w:rsid w:val="00823C0F"/>
    <w:rsid w:val="00830A77"/>
    <w:rsid w:val="00833238"/>
    <w:rsid w:val="0084262F"/>
    <w:rsid w:val="00844D59"/>
    <w:rsid w:val="00884B8F"/>
    <w:rsid w:val="008854D0"/>
    <w:rsid w:val="00894660"/>
    <w:rsid w:val="008A0583"/>
    <w:rsid w:val="008B7ECD"/>
    <w:rsid w:val="008D779A"/>
    <w:rsid w:val="008E0B67"/>
    <w:rsid w:val="008E61FF"/>
    <w:rsid w:val="008F2C67"/>
    <w:rsid w:val="008F7ED2"/>
    <w:rsid w:val="009018DD"/>
    <w:rsid w:val="00902CAC"/>
    <w:rsid w:val="00907A48"/>
    <w:rsid w:val="00911885"/>
    <w:rsid w:val="00914832"/>
    <w:rsid w:val="00917416"/>
    <w:rsid w:val="00917CFD"/>
    <w:rsid w:val="00921535"/>
    <w:rsid w:val="00922F75"/>
    <w:rsid w:val="00925163"/>
    <w:rsid w:val="00925382"/>
    <w:rsid w:val="00927C4A"/>
    <w:rsid w:val="009346FF"/>
    <w:rsid w:val="00941FDC"/>
    <w:rsid w:val="00950676"/>
    <w:rsid w:val="0096222B"/>
    <w:rsid w:val="0096392E"/>
    <w:rsid w:val="009647F6"/>
    <w:rsid w:val="00971F8C"/>
    <w:rsid w:val="009A38E3"/>
    <w:rsid w:val="009B08D9"/>
    <w:rsid w:val="009D06B6"/>
    <w:rsid w:val="009D2E46"/>
    <w:rsid w:val="009D3283"/>
    <w:rsid w:val="009D7F19"/>
    <w:rsid w:val="009E65AA"/>
    <w:rsid w:val="009E737A"/>
    <w:rsid w:val="00A0698E"/>
    <w:rsid w:val="00A14338"/>
    <w:rsid w:val="00A1485F"/>
    <w:rsid w:val="00A209B6"/>
    <w:rsid w:val="00A3315A"/>
    <w:rsid w:val="00A334B5"/>
    <w:rsid w:val="00A33860"/>
    <w:rsid w:val="00A376CC"/>
    <w:rsid w:val="00A4368B"/>
    <w:rsid w:val="00A4688A"/>
    <w:rsid w:val="00A56E17"/>
    <w:rsid w:val="00A57CA4"/>
    <w:rsid w:val="00A630F7"/>
    <w:rsid w:val="00A64EF6"/>
    <w:rsid w:val="00A70299"/>
    <w:rsid w:val="00A73E9D"/>
    <w:rsid w:val="00A74563"/>
    <w:rsid w:val="00A747EA"/>
    <w:rsid w:val="00A74E83"/>
    <w:rsid w:val="00A77A99"/>
    <w:rsid w:val="00A80F8D"/>
    <w:rsid w:val="00A91B7A"/>
    <w:rsid w:val="00A9605D"/>
    <w:rsid w:val="00AA096F"/>
    <w:rsid w:val="00AB0D26"/>
    <w:rsid w:val="00AC19EF"/>
    <w:rsid w:val="00AC66CF"/>
    <w:rsid w:val="00AD524D"/>
    <w:rsid w:val="00AE277A"/>
    <w:rsid w:val="00B12910"/>
    <w:rsid w:val="00B22E97"/>
    <w:rsid w:val="00B24364"/>
    <w:rsid w:val="00B32DA7"/>
    <w:rsid w:val="00B351BF"/>
    <w:rsid w:val="00B3527A"/>
    <w:rsid w:val="00B3638A"/>
    <w:rsid w:val="00B365DB"/>
    <w:rsid w:val="00B37D64"/>
    <w:rsid w:val="00B472F6"/>
    <w:rsid w:val="00B65937"/>
    <w:rsid w:val="00B65C9D"/>
    <w:rsid w:val="00B66A3D"/>
    <w:rsid w:val="00B74856"/>
    <w:rsid w:val="00B97951"/>
    <w:rsid w:val="00BA4D19"/>
    <w:rsid w:val="00BB4559"/>
    <w:rsid w:val="00BC2173"/>
    <w:rsid w:val="00BD15EB"/>
    <w:rsid w:val="00BD70D2"/>
    <w:rsid w:val="00BD7B74"/>
    <w:rsid w:val="00BE7684"/>
    <w:rsid w:val="00BF719A"/>
    <w:rsid w:val="00C02438"/>
    <w:rsid w:val="00C105EC"/>
    <w:rsid w:val="00C11140"/>
    <w:rsid w:val="00C24E99"/>
    <w:rsid w:val="00C32198"/>
    <w:rsid w:val="00C3225A"/>
    <w:rsid w:val="00C3475F"/>
    <w:rsid w:val="00C456F5"/>
    <w:rsid w:val="00C50491"/>
    <w:rsid w:val="00C62674"/>
    <w:rsid w:val="00C62D46"/>
    <w:rsid w:val="00C672E4"/>
    <w:rsid w:val="00C77FCC"/>
    <w:rsid w:val="00C91ECD"/>
    <w:rsid w:val="00CA42EB"/>
    <w:rsid w:val="00CB0754"/>
    <w:rsid w:val="00CC4550"/>
    <w:rsid w:val="00CD13A6"/>
    <w:rsid w:val="00CD4DF2"/>
    <w:rsid w:val="00CE0009"/>
    <w:rsid w:val="00CE4D99"/>
    <w:rsid w:val="00CF2827"/>
    <w:rsid w:val="00D11F5D"/>
    <w:rsid w:val="00D20737"/>
    <w:rsid w:val="00D21746"/>
    <w:rsid w:val="00D25F72"/>
    <w:rsid w:val="00D33E91"/>
    <w:rsid w:val="00D402E9"/>
    <w:rsid w:val="00D54845"/>
    <w:rsid w:val="00D671AA"/>
    <w:rsid w:val="00D75719"/>
    <w:rsid w:val="00D817E4"/>
    <w:rsid w:val="00D82157"/>
    <w:rsid w:val="00D87C47"/>
    <w:rsid w:val="00D924BB"/>
    <w:rsid w:val="00D949C9"/>
    <w:rsid w:val="00D9504E"/>
    <w:rsid w:val="00DB5ADA"/>
    <w:rsid w:val="00DE7702"/>
    <w:rsid w:val="00E00CE3"/>
    <w:rsid w:val="00E06970"/>
    <w:rsid w:val="00E10B46"/>
    <w:rsid w:val="00E11A08"/>
    <w:rsid w:val="00E12433"/>
    <w:rsid w:val="00E15439"/>
    <w:rsid w:val="00E25119"/>
    <w:rsid w:val="00E30FBE"/>
    <w:rsid w:val="00E406B2"/>
    <w:rsid w:val="00E6384F"/>
    <w:rsid w:val="00E73BB6"/>
    <w:rsid w:val="00E743BF"/>
    <w:rsid w:val="00E77F4D"/>
    <w:rsid w:val="00E80A45"/>
    <w:rsid w:val="00E84D8F"/>
    <w:rsid w:val="00EA4B80"/>
    <w:rsid w:val="00EA4DA0"/>
    <w:rsid w:val="00EB36BC"/>
    <w:rsid w:val="00EB50DF"/>
    <w:rsid w:val="00EC29A8"/>
    <w:rsid w:val="00EF39ED"/>
    <w:rsid w:val="00EF73A0"/>
    <w:rsid w:val="00F06AF7"/>
    <w:rsid w:val="00F07D1E"/>
    <w:rsid w:val="00F10C72"/>
    <w:rsid w:val="00F307A8"/>
    <w:rsid w:val="00F37C1F"/>
    <w:rsid w:val="00F46A36"/>
    <w:rsid w:val="00F53840"/>
    <w:rsid w:val="00F55EE2"/>
    <w:rsid w:val="00F6593D"/>
    <w:rsid w:val="00F76281"/>
    <w:rsid w:val="00F83038"/>
    <w:rsid w:val="00F84E96"/>
    <w:rsid w:val="00F972D5"/>
    <w:rsid w:val="00F97B0E"/>
    <w:rsid w:val="00FA3471"/>
    <w:rsid w:val="00FA7DEE"/>
    <w:rsid w:val="00FC3455"/>
    <w:rsid w:val="00FC3E43"/>
    <w:rsid w:val="00FD3B9C"/>
    <w:rsid w:val="00FE58A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schemas-tilde-lt/tildestengine" w:name="templat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paragraph" w:styleId="Antrat1">
    <w:name w:val="heading 1"/>
    <w:basedOn w:val="prastasis"/>
    <w:next w:val="prastasis"/>
    <w:link w:val="Antrat1Diagrama"/>
    <w:uiPriority w:val="9"/>
    <w:qFormat/>
    <w:rsid w:val="00045F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uiPriority w:val="9"/>
    <w:unhideWhenUsed/>
    <w:qFormat/>
    <w:rsid w:val="00045F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Antrat3">
    <w:name w:val="heading 3"/>
    <w:basedOn w:val="prastasis"/>
    <w:next w:val="prastasis"/>
    <w:link w:val="Antrat3Diagrama"/>
    <w:uiPriority w:val="9"/>
    <w:unhideWhenUsed/>
    <w:qFormat/>
    <w:rsid w:val="00FA7D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59"/>
    <w:rsid w:val="002640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ebesliotekstas">
    <w:name w:val="Balloon Text"/>
    <w:basedOn w:val="prastasis"/>
    <w:link w:val="DebesliotekstasDiagrama"/>
    <w:uiPriority w:val="99"/>
    <w:semiHidden/>
    <w:unhideWhenUsed/>
    <w:rsid w:val="007328FD"/>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7328FD"/>
    <w:rPr>
      <w:rFonts w:ascii="Tahoma" w:hAnsi="Tahoma" w:cs="Tahoma"/>
      <w:sz w:val="16"/>
      <w:szCs w:val="16"/>
    </w:rPr>
  </w:style>
  <w:style w:type="paragraph" w:styleId="Sraopastraipa">
    <w:name w:val="List Paragraph"/>
    <w:basedOn w:val="prastasis"/>
    <w:uiPriority w:val="34"/>
    <w:qFormat/>
    <w:rsid w:val="00360DA0"/>
    <w:pPr>
      <w:ind w:left="720"/>
      <w:contextualSpacing/>
    </w:pPr>
  </w:style>
  <w:style w:type="character" w:customStyle="1" w:styleId="apple-converted-space">
    <w:name w:val="apple-converted-space"/>
    <w:basedOn w:val="Numatytasispastraiposriftas"/>
    <w:rsid w:val="00A630F7"/>
  </w:style>
  <w:style w:type="paragraph" w:styleId="Pagrindinistekstas">
    <w:name w:val="Body Text"/>
    <w:basedOn w:val="prastasis"/>
    <w:link w:val="PagrindinistekstasDiagrama"/>
    <w:rsid w:val="00A630F7"/>
    <w:pPr>
      <w:spacing w:after="120" w:line="240" w:lineRule="auto"/>
    </w:pPr>
    <w:rPr>
      <w:rFonts w:ascii="Times New Roman" w:eastAsia="Times New Roman" w:hAnsi="Times New Roman" w:cs="Times New Roman"/>
      <w:sz w:val="24"/>
      <w:szCs w:val="24"/>
      <w:lang w:val="en-GB"/>
    </w:rPr>
  </w:style>
  <w:style w:type="character" w:customStyle="1" w:styleId="PagrindinistekstasDiagrama">
    <w:name w:val="Pagrindinis tekstas Diagrama"/>
    <w:basedOn w:val="Numatytasispastraiposriftas"/>
    <w:link w:val="Pagrindinistekstas"/>
    <w:rsid w:val="00A630F7"/>
    <w:rPr>
      <w:rFonts w:ascii="Times New Roman" w:eastAsia="Times New Roman" w:hAnsi="Times New Roman" w:cs="Times New Roman"/>
      <w:sz w:val="24"/>
      <w:szCs w:val="24"/>
      <w:lang w:val="en-GB"/>
    </w:rPr>
  </w:style>
  <w:style w:type="character" w:styleId="Hipersaitas">
    <w:name w:val="Hyperlink"/>
    <w:basedOn w:val="Numatytasispastraiposriftas"/>
    <w:uiPriority w:val="99"/>
    <w:unhideWhenUsed/>
    <w:rsid w:val="00043C0F"/>
    <w:rPr>
      <w:color w:val="0000FF"/>
      <w:u w:val="single"/>
    </w:rPr>
  </w:style>
  <w:style w:type="paragraph" w:styleId="Antrats">
    <w:name w:val="header"/>
    <w:basedOn w:val="prastasis"/>
    <w:link w:val="AntratsDiagrama"/>
    <w:uiPriority w:val="99"/>
    <w:unhideWhenUsed/>
    <w:rsid w:val="00EA4B80"/>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A4B80"/>
  </w:style>
  <w:style w:type="paragraph" w:styleId="Porat">
    <w:name w:val="footer"/>
    <w:basedOn w:val="prastasis"/>
    <w:link w:val="PoratDiagrama"/>
    <w:uiPriority w:val="99"/>
    <w:unhideWhenUsed/>
    <w:rsid w:val="00EA4B80"/>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A4B80"/>
  </w:style>
  <w:style w:type="character" w:customStyle="1" w:styleId="Antrat1Diagrama">
    <w:name w:val="Antraštė 1 Diagrama"/>
    <w:basedOn w:val="Numatytasispastraiposriftas"/>
    <w:link w:val="Antrat1"/>
    <w:uiPriority w:val="9"/>
    <w:rsid w:val="00045FF2"/>
    <w:rPr>
      <w:rFonts w:asciiTheme="majorHAnsi" w:eastAsiaTheme="majorEastAsia" w:hAnsiTheme="majorHAnsi" w:cstheme="majorBidi"/>
      <w:b/>
      <w:bCs/>
      <w:color w:val="365F91" w:themeColor="accent1" w:themeShade="BF"/>
      <w:sz w:val="28"/>
      <w:szCs w:val="28"/>
    </w:rPr>
  </w:style>
  <w:style w:type="character" w:customStyle="1" w:styleId="Antrat2Diagrama">
    <w:name w:val="Antraštė 2 Diagrama"/>
    <w:basedOn w:val="Numatytasispastraiposriftas"/>
    <w:link w:val="Antrat2"/>
    <w:uiPriority w:val="9"/>
    <w:rsid w:val="00045FF2"/>
    <w:rPr>
      <w:rFonts w:asciiTheme="majorHAnsi" w:eastAsiaTheme="majorEastAsia" w:hAnsiTheme="majorHAnsi" w:cstheme="majorBidi"/>
      <w:b/>
      <w:bCs/>
      <w:color w:val="4F81BD" w:themeColor="accent1"/>
      <w:sz w:val="26"/>
      <w:szCs w:val="26"/>
    </w:rPr>
  </w:style>
  <w:style w:type="paragraph" w:styleId="Turinioantrat">
    <w:name w:val="TOC Heading"/>
    <w:basedOn w:val="Antrat1"/>
    <w:next w:val="prastasis"/>
    <w:uiPriority w:val="39"/>
    <w:unhideWhenUsed/>
    <w:qFormat/>
    <w:rsid w:val="00FE58A0"/>
    <w:pPr>
      <w:outlineLvl w:val="9"/>
    </w:pPr>
    <w:rPr>
      <w:lang w:eastAsia="lt-LT"/>
    </w:rPr>
  </w:style>
  <w:style w:type="paragraph" w:styleId="Turinys1">
    <w:name w:val="toc 1"/>
    <w:basedOn w:val="prastasis"/>
    <w:next w:val="prastasis"/>
    <w:autoRedefine/>
    <w:uiPriority w:val="39"/>
    <w:unhideWhenUsed/>
    <w:rsid w:val="00FE58A0"/>
    <w:pPr>
      <w:spacing w:after="100"/>
    </w:pPr>
  </w:style>
  <w:style w:type="paragraph" w:styleId="Turinys2">
    <w:name w:val="toc 2"/>
    <w:basedOn w:val="prastasis"/>
    <w:next w:val="prastasis"/>
    <w:autoRedefine/>
    <w:uiPriority w:val="39"/>
    <w:unhideWhenUsed/>
    <w:rsid w:val="00FE58A0"/>
    <w:pPr>
      <w:spacing w:after="100"/>
      <w:ind w:left="220"/>
    </w:pPr>
  </w:style>
  <w:style w:type="character" w:customStyle="1" w:styleId="Antrat3Diagrama">
    <w:name w:val="Antraštė 3 Diagrama"/>
    <w:basedOn w:val="Numatytasispastraiposriftas"/>
    <w:link w:val="Antrat3"/>
    <w:uiPriority w:val="9"/>
    <w:rsid w:val="00FA7DEE"/>
    <w:rPr>
      <w:rFonts w:asciiTheme="majorHAnsi" w:eastAsiaTheme="majorEastAsia" w:hAnsiTheme="majorHAnsi" w:cstheme="majorBidi"/>
      <w:b/>
      <w:bCs/>
      <w:color w:val="4F81BD" w:themeColor="accent1"/>
    </w:rPr>
  </w:style>
  <w:style w:type="paragraph" w:styleId="Turinys3">
    <w:name w:val="toc 3"/>
    <w:basedOn w:val="prastasis"/>
    <w:next w:val="prastasis"/>
    <w:autoRedefine/>
    <w:uiPriority w:val="39"/>
    <w:unhideWhenUsed/>
    <w:rsid w:val="00B22E97"/>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paragraph" w:styleId="Antrat1">
    <w:name w:val="heading 1"/>
    <w:basedOn w:val="prastasis"/>
    <w:next w:val="prastasis"/>
    <w:link w:val="Antrat1Diagrama"/>
    <w:uiPriority w:val="9"/>
    <w:qFormat/>
    <w:rsid w:val="00045F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uiPriority w:val="9"/>
    <w:unhideWhenUsed/>
    <w:qFormat/>
    <w:rsid w:val="00045F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Antrat3">
    <w:name w:val="heading 3"/>
    <w:basedOn w:val="prastasis"/>
    <w:next w:val="prastasis"/>
    <w:link w:val="Antrat3Diagrama"/>
    <w:uiPriority w:val="9"/>
    <w:unhideWhenUsed/>
    <w:qFormat/>
    <w:rsid w:val="00FA7D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59"/>
    <w:rsid w:val="002640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ebesliotekstas">
    <w:name w:val="Balloon Text"/>
    <w:basedOn w:val="prastasis"/>
    <w:link w:val="DebesliotekstasDiagrama"/>
    <w:uiPriority w:val="99"/>
    <w:semiHidden/>
    <w:unhideWhenUsed/>
    <w:rsid w:val="007328FD"/>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7328FD"/>
    <w:rPr>
      <w:rFonts w:ascii="Tahoma" w:hAnsi="Tahoma" w:cs="Tahoma"/>
      <w:sz w:val="16"/>
      <w:szCs w:val="16"/>
    </w:rPr>
  </w:style>
  <w:style w:type="paragraph" w:styleId="Sraopastraipa">
    <w:name w:val="List Paragraph"/>
    <w:basedOn w:val="prastasis"/>
    <w:uiPriority w:val="34"/>
    <w:qFormat/>
    <w:rsid w:val="00360DA0"/>
    <w:pPr>
      <w:ind w:left="720"/>
      <w:contextualSpacing/>
    </w:pPr>
  </w:style>
  <w:style w:type="character" w:customStyle="1" w:styleId="apple-converted-space">
    <w:name w:val="apple-converted-space"/>
    <w:basedOn w:val="Numatytasispastraiposriftas"/>
    <w:rsid w:val="00A630F7"/>
  </w:style>
  <w:style w:type="paragraph" w:styleId="Pagrindinistekstas">
    <w:name w:val="Body Text"/>
    <w:basedOn w:val="prastasis"/>
    <w:link w:val="PagrindinistekstasDiagrama"/>
    <w:rsid w:val="00A630F7"/>
    <w:pPr>
      <w:spacing w:after="120" w:line="240" w:lineRule="auto"/>
    </w:pPr>
    <w:rPr>
      <w:rFonts w:ascii="Times New Roman" w:eastAsia="Times New Roman" w:hAnsi="Times New Roman" w:cs="Times New Roman"/>
      <w:sz w:val="24"/>
      <w:szCs w:val="24"/>
      <w:lang w:val="en-GB"/>
    </w:rPr>
  </w:style>
  <w:style w:type="character" w:customStyle="1" w:styleId="PagrindinistekstasDiagrama">
    <w:name w:val="Pagrindinis tekstas Diagrama"/>
    <w:basedOn w:val="Numatytasispastraiposriftas"/>
    <w:link w:val="Pagrindinistekstas"/>
    <w:rsid w:val="00A630F7"/>
    <w:rPr>
      <w:rFonts w:ascii="Times New Roman" w:eastAsia="Times New Roman" w:hAnsi="Times New Roman" w:cs="Times New Roman"/>
      <w:sz w:val="24"/>
      <w:szCs w:val="24"/>
      <w:lang w:val="en-GB"/>
    </w:rPr>
  </w:style>
  <w:style w:type="character" w:styleId="Hipersaitas">
    <w:name w:val="Hyperlink"/>
    <w:basedOn w:val="Numatytasispastraiposriftas"/>
    <w:uiPriority w:val="99"/>
    <w:unhideWhenUsed/>
    <w:rsid w:val="00043C0F"/>
    <w:rPr>
      <w:color w:val="0000FF"/>
      <w:u w:val="single"/>
    </w:rPr>
  </w:style>
  <w:style w:type="paragraph" w:styleId="Antrats">
    <w:name w:val="header"/>
    <w:basedOn w:val="prastasis"/>
    <w:link w:val="AntratsDiagrama"/>
    <w:uiPriority w:val="99"/>
    <w:unhideWhenUsed/>
    <w:rsid w:val="00EA4B80"/>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A4B80"/>
  </w:style>
  <w:style w:type="paragraph" w:styleId="Porat">
    <w:name w:val="footer"/>
    <w:basedOn w:val="prastasis"/>
    <w:link w:val="PoratDiagrama"/>
    <w:uiPriority w:val="99"/>
    <w:unhideWhenUsed/>
    <w:rsid w:val="00EA4B80"/>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A4B80"/>
  </w:style>
  <w:style w:type="character" w:customStyle="1" w:styleId="Antrat1Diagrama">
    <w:name w:val="Antraštė 1 Diagrama"/>
    <w:basedOn w:val="Numatytasispastraiposriftas"/>
    <w:link w:val="Antrat1"/>
    <w:uiPriority w:val="9"/>
    <w:rsid w:val="00045FF2"/>
    <w:rPr>
      <w:rFonts w:asciiTheme="majorHAnsi" w:eastAsiaTheme="majorEastAsia" w:hAnsiTheme="majorHAnsi" w:cstheme="majorBidi"/>
      <w:b/>
      <w:bCs/>
      <w:color w:val="365F91" w:themeColor="accent1" w:themeShade="BF"/>
      <w:sz w:val="28"/>
      <w:szCs w:val="28"/>
    </w:rPr>
  </w:style>
  <w:style w:type="character" w:customStyle="1" w:styleId="Antrat2Diagrama">
    <w:name w:val="Antraštė 2 Diagrama"/>
    <w:basedOn w:val="Numatytasispastraiposriftas"/>
    <w:link w:val="Antrat2"/>
    <w:uiPriority w:val="9"/>
    <w:rsid w:val="00045FF2"/>
    <w:rPr>
      <w:rFonts w:asciiTheme="majorHAnsi" w:eastAsiaTheme="majorEastAsia" w:hAnsiTheme="majorHAnsi" w:cstheme="majorBidi"/>
      <w:b/>
      <w:bCs/>
      <w:color w:val="4F81BD" w:themeColor="accent1"/>
      <w:sz w:val="26"/>
      <w:szCs w:val="26"/>
    </w:rPr>
  </w:style>
  <w:style w:type="paragraph" w:styleId="Turinioantrat">
    <w:name w:val="TOC Heading"/>
    <w:basedOn w:val="Antrat1"/>
    <w:next w:val="prastasis"/>
    <w:uiPriority w:val="39"/>
    <w:unhideWhenUsed/>
    <w:qFormat/>
    <w:rsid w:val="00FE58A0"/>
    <w:pPr>
      <w:outlineLvl w:val="9"/>
    </w:pPr>
    <w:rPr>
      <w:lang w:eastAsia="lt-LT"/>
    </w:rPr>
  </w:style>
  <w:style w:type="paragraph" w:styleId="Turinys1">
    <w:name w:val="toc 1"/>
    <w:basedOn w:val="prastasis"/>
    <w:next w:val="prastasis"/>
    <w:autoRedefine/>
    <w:uiPriority w:val="39"/>
    <w:unhideWhenUsed/>
    <w:rsid w:val="00FE58A0"/>
    <w:pPr>
      <w:spacing w:after="100"/>
    </w:pPr>
  </w:style>
  <w:style w:type="paragraph" w:styleId="Turinys2">
    <w:name w:val="toc 2"/>
    <w:basedOn w:val="prastasis"/>
    <w:next w:val="prastasis"/>
    <w:autoRedefine/>
    <w:uiPriority w:val="39"/>
    <w:unhideWhenUsed/>
    <w:rsid w:val="00FE58A0"/>
    <w:pPr>
      <w:spacing w:after="100"/>
      <w:ind w:left="220"/>
    </w:pPr>
  </w:style>
  <w:style w:type="character" w:customStyle="1" w:styleId="Antrat3Diagrama">
    <w:name w:val="Antraštė 3 Diagrama"/>
    <w:basedOn w:val="Numatytasispastraiposriftas"/>
    <w:link w:val="Antrat3"/>
    <w:uiPriority w:val="9"/>
    <w:rsid w:val="00FA7DEE"/>
    <w:rPr>
      <w:rFonts w:asciiTheme="majorHAnsi" w:eastAsiaTheme="majorEastAsia" w:hAnsiTheme="majorHAnsi" w:cstheme="majorBidi"/>
      <w:b/>
      <w:bCs/>
      <w:color w:val="4F81BD" w:themeColor="accent1"/>
    </w:rPr>
  </w:style>
  <w:style w:type="paragraph" w:styleId="Turinys3">
    <w:name w:val="toc 3"/>
    <w:basedOn w:val="prastasis"/>
    <w:next w:val="prastasis"/>
    <w:autoRedefine/>
    <w:uiPriority w:val="39"/>
    <w:unhideWhenUsed/>
    <w:rsid w:val="00B22E9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028706">
      <w:bodyDiv w:val="1"/>
      <w:marLeft w:val="0"/>
      <w:marRight w:val="0"/>
      <w:marTop w:val="0"/>
      <w:marBottom w:val="0"/>
      <w:divBdr>
        <w:top w:val="none" w:sz="0" w:space="0" w:color="auto"/>
        <w:left w:val="none" w:sz="0" w:space="0" w:color="auto"/>
        <w:bottom w:val="none" w:sz="0" w:space="0" w:color="auto"/>
        <w:right w:val="none" w:sz="0" w:space="0" w:color="auto"/>
      </w:divBdr>
      <w:divsChild>
        <w:div w:id="65959758">
          <w:marLeft w:val="547"/>
          <w:marRight w:val="0"/>
          <w:marTop w:val="115"/>
          <w:marBottom w:val="0"/>
          <w:divBdr>
            <w:top w:val="none" w:sz="0" w:space="0" w:color="auto"/>
            <w:left w:val="none" w:sz="0" w:space="0" w:color="auto"/>
            <w:bottom w:val="none" w:sz="0" w:space="0" w:color="auto"/>
            <w:right w:val="none" w:sz="0" w:space="0" w:color="auto"/>
          </w:divBdr>
        </w:div>
        <w:div w:id="1126778782">
          <w:marLeft w:val="547"/>
          <w:marRight w:val="0"/>
          <w:marTop w:val="115"/>
          <w:marBottom w:val="0"/>
          <w:divBdr>
            <w:top w:val="none" w:sz="0" w:space="0" w:color="auto"/>
            <w:left w:val="none" w:sz="0" w:space="0" w:color="auto"/>
            <w:bottom w:val="none" w:sz="0" w:space="0" w:color="auto"/>
            <w:right w:val="none" w:sz="0" w:space="0" w:color="auto"/>
          </w:divBdr>
        </w:div>
        <w:div w:id="361172173">
          <w:marLeft w:val="547"/>
          <w:marRight w:val="0"/>
          <w:marTop w:val="115"/>
          <w:marBottom w:val="0"/>
          <w:divBdr>
            <w:top w:val="none" w:sz="0" w:space="0" w:color="auto"/>
            <w:left w:val="none" w:sz="0" w:space="0" w:color="auto"/>
            <w:bottom w:val="none" w:sz="0" w:space="0" w:color="auto"/>
            <w:right w:val="none" w:sz="0" w:space="0" w:color="auto"/>
          </w:divBdr>
        </w:div>
      </w:divsChild>
    </w:div>
    <w:div w:id="543098909">
      <w:bodyDiv w:val="1"/>
      <w:marLeft w:val="0"/>
      <w:marRight w:val="0"/>
      <w:marTop w:val="0"/>
      <w:marBottom w:val="0"/>
      <w:divBdr>
        <w:top w:val="none" w:sz="0" w:space="0" w:color="auto"/>
        <w:left w:val="none" w:sz="0" w:space="0" w:color="auto"/>
        <w:bottom w:val="none" w:sz="0" w:space="0" w:color="auto"/>
        <w:right w:val="none" w:sz="0" w:space="0" w:color="auto"/>
      </w:divBdr>
      <w:divsChild>
        <w:div w:id="1794403745">
          <w:marLeft w:val="547"/>
          <w:marRight w:val="0"/>
          <w:marTop w:val="115"/>
          <w:marBottom w:val="0"/>
          <w:divBdr>
            <w:top w:val="none" w:sz="0" w:space="0" w:color="auto"/>
            <w:left w:val="none" w:sz="0" w:space="0" w:color="auto"/>
            <w:bottom w:val="none" w:sz="0" w:space="0" w:color="auto"/>
            <w:right w:val="none" w:sz="0" w:space="0" w:color="auto"/>
          </w:divBdr>
        </w:div>
        <w:div w:id="249508791">
          <w:marLeft w:val="547"/>
          <w:marRight w:val="0"/>
          <w:marTop w:val="115"/>
          <w:marBottom w:val="0"/>
          <w:divBdr>
            <w:top w:val="none" w:sz="0" w:space="0" w:color="auto"/>
            <w:left w:val="none" w:sz="0" w:space="0" w:color="auto"/>
            <w:bottom w:val="none" w:sz="0" w:space="0" w:color="auto"/>
            <w:right w:val="none" w:sz="0" w:space="0" w:color="auto"/>
          </w:divBdr>
        </w:div>
        <w:div w:id="1359626105">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hyperlink" Target="http://www.expertconsultbook.com/expertconsult/ob/linkTo?type=journalArticle&amp;isbn=978-0-323-05602-1&amp;title=Treatment+of+external+fixation+pins+about+the+wrist%3A+a+prospective%2C+randomized+trial&amp;author=Egol%C2%A0KA+Paksima%C2%A0N+Puopolo%C2%A0S&amp;date=2006&amp;volume=88A&amp;issue=&amp;firstPage=349&amp;shortTitle=J%20Bone%20Joint%20Surg" TargetMode="Externa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hyperlink" Target="http://www.expertconsultbook.com/expertconsult/ob/linkTo?type=journalArticle&amp;isbn=978-0-323-05602-1&amp;title=Complications+after+Pi+Plate+osteosynthesis&amp;author=S%C3%A1nchez%C2%A0T+Jakubietz%C2%A0M+Jakubietz%C2%A0R&amp;date=2006&amp;volume=118&amp;issue=1&amp;firstPage=273&amp;shortTitle=Plast%20Reconstr%20Surg"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hyperlink" Target="http://www.expertconsultbook.com/expertconsult/ob/linkTo?type=journalArticle&amp;isbn=978-0-323-05602-1&amp;title=The+relationship+between+adherence+to+hand+therapy+and+short-term+outcome+after+distal+radius+fracture&amp;author=Lyngcoln%C2%A0A+Taylor%C2%A0N+Pizzari%C2%A0T+Baskus%C2%A0K&amp;date=2005&amp;volume=18&amp;issue=&amp;firstPage=2&amp;shortTitle=J%20Hand%20Ther" TargetMode="External"/><Relationship Id="rId40" Type="http://schemas.openxmlformats.org/officeDocument/2006/relationships/hyperlink" Target="http://www.expertconsultbook.com/expertconsult/ob/linkTo?type=journalArticle&amp;isbn=978-0-323-05602-1&amp;title=Wrist+mobilization+following+volar+plate+fixation+of+fractures+of+the+distal+part+of+the+radius&amp;author=Lozano-Calder%C3%B3n%C2%A0SA+Souer%C2%A0S+Mudgal%C2%A0C&amp;date=2008&amp;volume=90A&amp;issue=6&amp;firstPage=1297&amp;shortTitle=J%20Bone%20Joint%20Surg"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hyperlink" Target="http://www.expertconsultbook.com/expertconsult/ob/linkTo?type=journalArticle&amp;isbn=978-0-323-05602-1&amp;title=Initial+changes+in+posterior+talar+glide+and+dorsiflexion+of+the+ankle+after+mobilization+with+movement+in+individuals+with+recurrent+ankle+sprain&amp;author=Vicenzino%C2%A0B+Branjerdporn%C2%A0M+Teys%C2%A0P+Jordan%C2%A0K&amp;date=2006&amp;volume=36&amp;issue=7&amp;firstPage=464&amp;shortTitle=J%20Orthop%20Sports%20Phys%20Ther" TargetMode="External"/><Relationship Id="rId10" Type="http://schemas.openxmlformats.org/officeDocument/2006/relationships/image" Target="media/image1.png"/><Relationship Id="rId19" Type="http://schemas.openxmlformats.org/officeDocument/2006/relationships/chart" Target="charts/chart7.xml"/><Relationship Id="rId31" Type="http://schemas.openxmlformats.org/officeDocument/2006/relationships/chart" Target="charts/chart19.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hyperlink" Target="http://www.expertconsultbook.com/expertconsult/ob/linkTo?type=journalArticle&amp;isbn=978-0-323-05602-1&amp;title=Pain+and+disability+reported+in+the+year+following+a+distal+radius+fracture%3A+a+cohort+study&amp;author=MacDermid%C2%A0JC+Roth%C2%A0JH+Richards%C2%A0RS&amp;date=2003%20Oct%2031&amp;volume=4&amp;issue=&amp;firstPage=24&amp;shortTitle=BMC%20Musculoskelet%20Disord" TargetMode="External"/><Relationship Id="rId43" Type="http://schemas.openxmlformats.org/officeDocument/2006/relationships/hyperlink" Target="http://www.expertconsultbook.com/expertconsult/ob/linkTo?type=journalArticle&amp;isbn=978-0-323-05602-1&amp;title=The+role+of+physical+agents+in+modulating+pain&amp;author=Fedorczyk%C2%A0J&amp;date=1997&amp;volume=10&amp;issue=&amp;firstPage=110&amp;shortTitle=J%20Hand%20Ther"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eader" Target="header2.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hyperlink" Target="http://www.expertconsultbook.com/expertconsult/ob/linkTo?type=journalArticle&amp;isbn=978-0-323-05602-1&amp;title=External+fixation+techniques+for+distal+radius+fractures&amp;author=Capo%C2%A0JT+Swan%C2%A0KG+Tan%C2%A0V&amp;date=2006%20Apr&amp;volume=445&amp;issue=&amp;firstPage=30&amp;shortTitle=Clin%20Orthop%20Relat%20Res" TargetMode="External"/><Relationship Id="rId20" Type="http://schemas.openxmlformats.org/officeDocument/2006/relationships/chart" Target="charts/chart8.xml"/><Relationship Id="rId41" Type="http://schemas.openxmlformats.org/officeDocument/2006/relationships/hyperlink" Target="http://www.expertconsultbook.com/expertconsult/ob/linkTo?type=journalArticle&amp;isbn=978-0-323-05602-1&amp;title=Low-profile+dorsal+plating+for+dorsally+angulated+distal+radius+fractures%3A+an+outcomes+study&amp;author=Kamath%C2%A0AF+Zurakowski%C2%A0D+Day%C2%A0CS&amp;date=2006&amp;volume=31A&amp;issue=7&amp;firstPage=1061&amp;shortTitle=J%20Hand%20Sur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embeddings/oleObject6.bin"/></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embeddings/oleObject7.bin"/></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embeddings/oleObject8.bin"/></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embeddings/oleObject9.bin"/></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Worksheet1.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Worksheet2.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Audrius\Desktop\anketa_mag_2014.xls"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Microsoft_Excel_Worksheet8.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Audrius\Desktop\anketa_mag_2014.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udrius\Desktop\anketa_mag_2014.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udrius\Desktop\anketa_mag_2014.xls"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2.bin"/></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embeddings/oleObject3.bin"/></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embeddings/oleObject4.bin"/></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embeddings/oleObject5.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pattFill prst="pct70">
              <a:fgClr>
                <a:schemeClr val="tx1"/>
              </a:fgClr>
              <a:bgClr>
                <a:schemeClr val="bg1"/>
              </a:bgClr>
            </a:pattFill>
            <a:ln w="12700">
              <a:solidFill>
                <a:schemeClr val="tx1"/>
              </a:solidFill>
            </a:ln>
          </c:spPr>
          <c:invertIfNegative val="0"/>
          <c:dLbls>
            <c:dLbl>
              <c:idx val="0"/>
              <c:layout>
                <c:manualLayout>
                  <c:x val="-2.7777777777777779E-3"/>
                  <c:y val="-0.132013201320132"/>
                </c:manualLayout>
              </c:layout>
              <c:dLblPos val="outEnd"/>
              <c:showLegendKey val="0"/>
              <c:showVal val="1"/>
              <c:showCatName val="0"/>
              <c:showSerName val="0"/>
              <c:showPercent val="0"/>
              <c:showBubbleSize val="0"/>
            </c:dLbl>
            <c:dLbl>
              <c:idx val="1"/>
              <c:layout>
                <c:manualLayout>
                  <c:x val="-2.7777777777777779E-3"/>
                  <c:y val="-0.1452145214521452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errBars>
            <c:errBarType val="both"/>
            <c:errValType val="cust"/>
            <c:noEndCap val="0"/>
            <c:plus>
              <c:numRef>
                <c:f>'[anketa_mag_2014 - Copy.xls]Lapas1'!$E$54:$E$55</c:f>
                <c:numCache>
                  <c:formatCode>General</c:formatCode>
                  <c:ptCount val="2"/>
                  <c:pt idx="0">
                    <c:v>11.718219432433695</c:v>
                  </c:pt>
                  <c:pt idx="1">
                    <c:v>12.961320663162892</c:v>
                  </c:pt>
                </c:numCache>
              </c:numRef>
            </c:plus>
            <c:minus>
              <c:numRef>
                <c:f>'[anketa_mag_2014 - Copy.xls]Lapas1'!$E$54:$E$55</c:f>
                <c:numCache>
                  <c:formatCode>General</c:formatCode>
                  <c:ptCount val="2"/>
                  <c:pt idx="0">
                    <c:v>11.718219432433695</c:v>
                  </c:pt>
                  <c:pt idx="1">
                    <c:v>12.961320663162892</c:v>
                  </c:pt>
                </c:numCache>
              </c:numRef>
            </c:minus>
            <c:spPr>
              <a:ln w="12700">
                <a:solidFill>
                  <a:schemeClr val="tx1"/>
                </a:solidFill>
              </a:ln>
            </c:spPr>
          </c:errBars>
          <c:cat>
            <c:strRef>
              <c:f>'[anketa_mag_2014 - Copy.xls]Lapas1'!$B$54:$B$55</c:f>
              <c:strCache>
                <c:ptCount val="2"/>
                <c:pt idx="0">
                  <c:v>Tiriamoji grupė</c:v>
                </c:pt>
                <c:pt idx="1">
                  <c:v>Kontrolinė grupė</c:v>
                </c:pt>
              </c:strCache>
            </c:strRef>
          </c:cat>
          <c:val>
            <c:numRef>
              <c:f>'[anketa_mag_2014 - Copy.xls]Lapas1'!$D$54:$D$55</c:f>
              <c:numCache>
                <c:formatCode>####.00</c:formatCode>
                <c:ptCount val="2"/>
                <c:pt idx="0">
                  <c:v>52.125</c:v>
                </c:pt>
                <c:pt idx="1">
                  <c:v>56.4375</c:v>
                </c:pt>
              </c:numCache>
            </c:numRef>
          </c:val>
        </c:ser>
        <c:dLbls>
          <c:dLblPos val="outEnd"/>
          <c:showLegendKey val="0"/>
          <c:showVal val="1"/>
          <c:showCatName val="0"/>
          <c:showSerName val="0"/>
          <c:showPercent val="0"/>
          <c:showBubbleSize val="0"/>
        </c:dLbls>
        <c:gapWidth val="150"/>
        <c:axId val="169748480"/>
        <c:axId val="173349632"/>
      </c:barChart>
      <c:catAx>
        <c:axId val="169748480"/>
        <c:scaling>
          <c:orientation val="minMax"/>
        </c:scaling>
        <c:delete val="0"/>
        <c:axPos val="b"/>
        <c:majorTickMark val="out"/>
        <c:minorTickMark val="none"/>
        <c:tickLblPos val="nextTo"/>
        <c:crossAx val="173349632"/>
        <c:crosses val="autoZero"/>
        <c:auto val="1"/>
        <c:lblAlgn val="ctr"/>
        <c:lblOffset val="100"/>
        <c:noMultiLvlLbl val="0"/>
      </c:catAx>
      <c:valAx>
        <c:axId val="173349632"/>
        <c:scaling>
          <c:orientation val="minMax"/>
        </c:scaling>
        <c:delete val="0"/>
        <c:axPos val="l"/>
        <c:majorGridlines/>
        <c:title>
          <c:tx>
            <c:rich>
              <a:bodyPr rot="-5400000" vert="horz"/>
              <a:lstStyle/>
              <a:p>
                <a:pPr>
                  <a:defRPr/>
                </a:pPr>
                <a:r>
                  <a:rPr lang="lt-LT"/>
                  <a:t>metai</a:t>
                </a:r>
              </a:p>
            </c:rich>
          </c:tx>
          <c:layout>
            <c:manualLayout>
              <c:xMode val="edge"/>
              <c:yMode val="edge"/>
              <c:x val="1.6666666666666666E-2"/>
              <c:y val="0.40775586220039328"/>
            </c:manualLayout>
          </c:layout>
          <c:overlay val="0"/>
        </c:title>
        <c:numFmt formatCode="General" sourceLinked="0"/>
        <c:majorTickMark val="out"/>
        <c:minorTickMark val="none"/>
        <c:tickLblPos val="nextTo"/>
        <c:txPr>
          <a:bodyPr/>
          <a:lstStyle/>
          <a:p>
            <a:pPr>
              <a:defRPr sz="1000"/>
            </a:pPr>
            <a:endParaRPr lang="lt-LT"/>
          </a:p>
        </c:txPr>
        <c:crossAx val="169748480"/>
        <c:crosses val="autoZero"/>
        <c:crossBetween val="between"/>
      </c:valAx>
    </c:plotArea>
    <c:plotVisOnly val="1"/>
    <c:dispBlanksAs val="gap"/>
    <c:showDLblsOverMax val="0"/>
  </c:chart>
  <c:txPr>
    <a:bodyPr/>
    <a:lstStyle/>
    <a:p>
      <a:pPr>
        <a:defRPr sz="1200" b="1">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'[anketa_mag_2014 - Copy.xls]Lapas1'!$H$80</c:f>
              <c:strCache>
                <c:ptCount val="1"/>
                <c:pt idx="0">
                  <c:v>prieš procedūras</c:v>
                </c:pt>
              </c:strCache>
            </c:strRef>
          </c:tx>
          <c:spPr>
            <a:pattFill prst="pct70">
              <a:fgClr>
                <a:schemeClr val="tx1"/>
              </a:fgClr>
              <a:bgClr>
                <a:schemeClr val="bg1"/>
              </a:bgClr>
            </a:pattFill>
            <a:ln w="12700">
              <a:solidFill>
                <a:schemeClr val="tx1"/>
              </a:solidFill>
            </a:ln>
          </c:spPr>
          <c:invertIfNegative val="0"/>
          <c:dLbls>
            <c:dLbl>
              <c:idx val="0"/>
              <c:layout>
                <c:manualLayout>
                  <c:x val="0"/>
                  <c:y val="-0.18041804180418042"/>
                </c:manualLayout>
              </c:layout>
              <c:dLblPos val="outEnd"/>
              <c:showLegendKey val="0"/>
              <c:showVal val="1"/>
              <c:showCatName val="0"/>
              <c:showSerName val="0"/>
              <c:showPercent val="0"/>
              <c:showBubbleSize val="0"/>
            </c:dLbl>
            <c:dLbl>
              <c:idx val="1"/>
              <c:layout>
                <c:manualLayout>
                  <c:x val="-2.7777777777777779E-3"/>
                  <c:y val="-0.1452145214521452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errBars>
            <c:errBarType val="both"/>
            <c:errValType val="cust"/>
            <c:noEndCap val="0"/>
            <c:plus>
              <c:numRef>
                <c:f>'[anketa_mag_2014 - Copy.xls]Lapas1'!$N$66:$N$67</c:f>
                <c:numCache>
                  <c:formatCode>General</c:formatCode>
                  <c:ptCount val="2"/>
                  <c:pt idx="0">
                    <c:v>1.4390889145857999</c:v>
                  </c:pt>
                  <c:pt idx="1">
                    <c:v>1.249219304078</c:v>
                  </c:pt>
                </c:numCache>
              </c:numRef>
            </c:plus>
            <c:minus>
              <c:numRef>
                <c:f>'[anketa_mag_2014 - Copy.xls]Lapas1'!$N$66:$N$67</c:f>
                <c:numCache>
                  <c:formatCode>General</c:formatCode>
                  <c:ptCount val="2"/>
                  <c:pt idx="0">
                    <c:v>1.4390889145857999</c:v>
                  </c:pt>
                  <c:pt idx="1">
                    <c:v>1.249219304078</c:v>
                  </c:pt>
                </c:numCache>
              </c:numRef>
            </c:minus>
          </c:errBars>
          <c:cat>
            <c:strRef>
              <c:f>'[anketa_mag_2014 - Copy.xls]Lapas1'!$I$62:$I$63</c:f>
              <c:strCache>
                <c:ptCount val="2"/>
                <c:pt idx="0">
                  <c:v>skausmas</c:v>
                </c:pt>
                <c:pt idx="1">
                  <c:v>sustingimas</c:v>
                </c:pt>
              </c:strCache>
            </c:strRef>
          </c:cat>
          <c:val>
            <c:numRef>
              <c:f>'[anketa_mag_2014 - Copy.xls]Lapas1'!$L$66:$L$67</c:f>
              <c:numCache>
                <c:formatCode>####.00</c:formatCode>
                <c:ptCount val="2"/>
                <c:pt idx="0">
                  <c:v>4.7499999999999991</c:v>
                </c:pt>
                <c:pt idx="1">
                  <c:v>4.75</c:v>
                </c:pt>
              </c:numCache>
            </c:numRef>
          </c:val>
        </c:ser>
        <c:ser>
          <c:idx val="1"/>
          <c:order val="1"/>
          <c:tx>
            <c:strRef>
              <c:f>'[anketa_mag_2014 - Copy.xls]Lapas1'!$H$81</c:f>
              <c:strCache>
                <c:ptCount val="1"/>
                <c:pt idx="0">
                  <c:v>po procedūrų</c:v>
                </c:pt>
              </c:strCache>
            </c:strRef>
          </c:tx>
          <c:spPr>
            <a:pattFill prst="pct70">
              <a:fgClr>
                <a:schemeClr val="accent2">
                  <a:lumMod val="75000"/>
                </a:schemeClr>
              </a:fgClr>
              <a:bgClr>
                <a:schemeClr val="bg1"/>
              </a:bgClr>
            </a:pattFill>
            <a:ln w="12700">
              <a:solidFill>
                <a:schemeClr val="tx1"/>
              </a:solidFill>
            </a:ln>
          </c:spPr>
          <c:invertIfNegative val="0"/>
          <c:dLbls>
            <c:dLbl>
              <c:idx val="0"/>
              <c:layout>
                <c:manualLayout>
                  <c:x val="0"/>
                  <c:y val="-0.17161716171617167"/>
                </c:manualLayout>
              </c:layout>
              <c:dLblPos val="outEnd"/>
              <c:showLegendKey val="0"/>
              <c:showVal val="1"/>
              <c:showCatName val="0"/>
              <c:showSerName val="0"/>
              <c:showPercent val="0"/>
              <c:showBubbleSize val="0"/>
            </c:dLbl>
            <c:dLbl>
              <c:idx val="1"/>
              <c:layout>
                <c:manualLayout>
                  <c:x val="0"/>
                  <c:y val="-0.16721672167216725"/>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errBars>
            <c:errBarType val="both"/>
            <c:errValType val="cust"/>
            <c:noEndCap val="0"/>
            <c:plus>
              <c:numRef>
                <c:f>'[anketa_mag_2014 - Copy.xls]Lapas1'!$O$66:$O$67</c:f>
                <c:numCache>
                  <c:formatCode>General</c:formatCode>
                  <c:ptCount val="2"/>
                  <c:pt idx="0">
                    <c:v>1.3971647412707999</c:v>
                  </c:pt>
                  <c:pt idx="1">
                    <c:v>1.2776266472769999</c:v>
                  </c:pt>
                </c:numCache>
              </c:numRef>
            </c:plus>
            <c:minus>
              <c:numRef>
                <c:f>'[anketa_mag_2014 - Copy.xls]Lapas1'!$O$66:$O$67</c:f>
                <c:numCache>
                  <c:formatCode>General</c:formatCode>
                  <c:ptCount val="2"/>
                  <c:pt idx="0">
                    <c:v>1.3971647412707999</c:v>
                  </c:pt>
                  <c:pt idx="1">
                    <c:v>1.2776266472769999</c:v>
                  </c:pt>
                </c:numCache>
              </c:numRef>
            </c:minus>
          </c:errBars>
          <c:cat>
            <c:strRef>
              <c:f>'[anketa_mag_2014 - Copy.xls]Lapas1'!$I$62:$I$63</c:f>
              <c:strCache>
                <c:ptCount val="2"/>
                <c:pt idx="0">
                  <c:v>skausmas</c:v>
                </c:pt>
                <c:pt idx="1">
                  <c:v>sustingimas</c:v>
                </c:pt>
              </c:strCache>
            </c:strRef>
          </c:cat>
          <c:val>
            <c:numRef>
              <c:f>'[anketa_mag_2014 - Copy.xls]Lapas1'!$M$66:$M$67</c:f>
              <c:numCache>
                <c:formatCode>####.00</c:formatCode>
                <c:ptCount val="2"/>
                <c:pt idx="0">
                  <c:v>3.8125</c:v>
                </c:pt>
                <c:pt idx="1">
                  <c:v>3.625</c:v>
                </c:pt>
              </c:numCache>
            </c:numRef>
          </c:val>
        </c:ser>
        <c:dLbls>
          <c:dLblPos val="outEnd"/>
          <c:showLegendKey val="0"/>
          <c:showVal val="1"/>
          <c:showCatName val="0"/>
          <c:showSerName val="0"/>
          <c:showPercent val="0"/>
          <c:showBubbleSize val="0"/>
        </c:dLbls>
        <c:gapWidth val="150"/>
        <c:axId val="140424704"/>
        <c:axId val="34476544"/>
      </c:barChart>
      <c:catAx>
        <c:axId val="140424704"/>
        <c:scaling>
          <c:orientation val="minMax"/>
        </c:scaling>
        <c:delete val="0"/>
        <c:axPos val="b"/>
        <c:majorTickMark val="out"/>
        <c:minorTickMark val="none"/>
        <c:tickLblPos val="nextTo"/>
        <c:crossAx val="34476544"/>
        <c:crosses val="autoZero"/>
        <c:auto val="1"/>
        <c:lblAlgn val="ctr"/>
        <c:lblOffset val="100"/>
        <c:noMultiLvlLbl val="0"/>
      </c:catAx>
      <c:valAx>
        <c:axId val="34476544"/>
        <c:scaling>
          <c:orientation val="minMax"/>
        </c:scaling>
        <c:delete val="0"/>
        <c:axPos val="l"/>
        <c:majorGridlines/>
        <c:title>
          <c:tx>
            <c:rich>
              <a:bodyPr rot="-5400000" vert="horz"/>
              <a:lstStyle/>
              <a:p>
                <a:pPr>
                  <a:defRPr/>
                </a:pPr>
                <a:r>
                  <a:rPr lang="lt-LT"/>
                  <a:t>balai </a:t>
                </a:r>
              </a:p>
            </c:rich>
          </c:tx>
          <c:layout>
            <c:manualLayout>
              <c:xMode val="edge"/>
              <c:yMode val="edge"/>
              <c:x val="1.6666666666666666E-2"/>
              <c:y val="0.40775586220039328"/>
            </c:manualLayout>
          </c:layout>
          <c:overlay val="0"/>
        </c:title>
        <c:numFmt formatCode="General" sourceLinked="0"/>
        <c:majorTickMark val="out"/>
        <c:minorTickMark val="none"/>
        <c:tickLblPos val="nextTo"/>
        <c:txPr>
          <a:bodyPr/>
          <a:lstStyle/>
          <a:p>
            <a:pPr>
              <a:defRPr sz="1000"/>
            </a:pPr>
            <a:endParaRPr lang="lt-LT"/>
          </a:p>
        </c:txPr>
        <c:crossAx val="140424704"/>
        <c:crosses val="autoZero"/>
        <c:crossBetween val="between"/>
      </c:valAx>
    </c:plotArea>
    <c:legend>
      <c:legendPos val="t"/>
      <c:overlay val="0"/>
      <c:txPr>
        <a:bodyPr/>
        <a:lstStyle/>
        <a:p>
          <a:pPr>
            <a:defRPr sz="1100"/>
          </a:pPr>
          <a:endParaRPr lang="lt-LT"/>
        </a:p>
      </c:txPr>
    </c:legend>
    <c:plotVisOnly val="1"/>
    <c:dispBlanksAs val="gap"/>
    <c:showDLblsOverMax val="0"/>
  </c:chart>
  <c:txPr>
    <a:bodyPr/>
    <a:lstStyle/>
    <a:p>
      <a:pPr>
        <a:defRPr sz="1200" b="1">
          <a:latin typeface="Times New Roman" panose="02020603050405020304" pitchFamily="18" charset="0"/>
          <a:cs typeface="Times New Roman" panose="02020603050405020304" pitchFamily="18" charset="0"/>
        </a:defRPr>
      </a:pPr>
      <a:endParaRPr lang="lt-LT"/>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64623576729167"/>
          <c:y val="0.1041041041041041"/>
          <c:w val="0.85897486735021433"/>
          <c:h val="0.78810810810810816"/>
        </c:manualLayout>
      </c:layout>
      <c:barChart>
        <c:barDir val="col"/>
        <c:grouping val="clustered"/>
        <c:varyColors val="0"/>
        <c:ser>
          <c:idx val="0"/>
          <c:order val="0"/>
          <c:spPr>
            <a:pattFill prst="pct70">
              <a:fgClr>
                <a:schemeClr val="tx1"/>
              </a:fgClr>
              <a:bgClr>
                <a:schemeClr val="bg1"/>
              </a:bgClr>
            </a:pattFill>
            <a:ln w="12700">
              <a:solidFill>
                <a:schemeClr val="tx1"/>
              </a:solidFill>
            </a:ln>
          </c:spPr>
          <c:invertIfNegative val="0"/>
          <c:dLbls>
            <c:dLbl>
              <c:idx val="0"/>
              <c:layout>
                <c:manualLayout>
                  <c:x val="0"/>
                  <c:y val="-0.12035783815311374"/>
                </c:manualLayout>
              </c:layout>
              <c:dLblPos val="outEnd"/>
              <c:showLegendKey val="0"/>
              <c:showVal val="1"/>
              <c:showCatName val="0"/>
              <c:showSerName val="0"/>
              <c:showPercent val="0"/>
              <c:showBubbleSize val="0"/>
            </c:dLbl>
            <c:dLbl>
              <c:idx val="1"/>
              <c:layout>
                <c:manualLayout>
                  <c:x val="-2.7778092486640607E-3"/>
                  <c:y val="-0.17724653787645914"/>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errBars>
            <c:errBarType val="both"/>
            <c:errValType val="cust"/>
            <c:noEndCap val="0"/>
            <c:plus>
              <c:numRef>
                <c:f>'[anketa_mag_2014 - Copy.xls]Lapas1'!$F$67:$F$68</c:f>
                <c:numCache>
                  <c:formatCode>General</c:formatCode>
                  <c:ptCount val="2"/>
                  <c:pt idx="0">
                    <c:v>2.0547362752848</c:v>
                  </c:pt>
                  <c:pt idx="1">
                    <c:v>4.3387586631478996</c:v>
                  </c:pt>
                </c:numCache>
              </c:numRef>
            </c:plus>
            <c:minus>
              <c:numRef>
                <c:f>'[anketa_mag_2014 - Copy.xls]Lapas1'!$F$67:$F$68</c:f>
                <c:numCache>
                  <c:formatCode>General</c:formatCode>
                  <c:ptCount val="2"/>
                  <c:pt idx="0">
                    <c:v>2.0547362752848</c:v>
                  </c:pt>
                  <c:pt idx="1">
                    <c:v>4.3387586631478996</c:v>
                  </c:pt>
                </c:numCache>
              </c:numRef>
            </c:minus>
          </c:errBars>
          <c:cat>
            <c:strRef>
              <c:f>'[anketa_mag_2014 - Copy.xls]Lapas1'!$K$80:$K$81</c:f>
              <c:strCache>
                <c:ptCount val="2"/>
                <c:pt idx="0">
                  <c:v>raumenų jėga prieš procedūras</c:v>
                </c:pt>
                <c:pt idx="1">
                  <c:v>raumenų jėga po procedūrų</c:v>
                </c:pt>
              </c:strCache>
            </c:strRef>
          </c:cat>
          <c:val>
            <c:numRef>
              <c:f>'[anketa_mag_2014 - Copy.xls]Lapas1'!$E$67:$E$68</c:f>
              <c:numCache>
                <c:formatCode>####.00</c:formatCode>
                <c:ptCount val="2"/>
                <c:pt idx="0">
                  <c:v>11.375</c:v>
                </c:pt>
                <c:pt idx="1">
                  <c:v>13.999999999999998</c:v>
                </c:pt>
              </c:numCache>
            </c:numRef>
          </c:val>
        </c:ser>
        <c:dLbls>
          <c:dLblPos val="outEnd"/>
          <c:showLegendKey val="0"/>
          <c:showVal val="1"/>
          <c:showCatName val="0"/>
          <c:showSerName val="0"/>
          <c:showPercent val="0"/>
          <c:showBubbleSize val="0"/>
        </c:dLbls>
        <c:gapWidth val="150"/>
        <c:axId val="140425216"/>
        <c:axId val="34478272"/>
      </c:barChart>
      <c:catAx>
        <c:axId val="140425216"/>
        <c:scaling>
          <c:orientation val="minMax"/>
        </c:scaling>
        <c:delete val="0"/>
        <c:axPos val="b"/>
        <c:majorTickMark val="out"/>
        <c:minorTickMark val="none"/>
        <c:tickLblPos val="nextTo"/>
        <c:crossAx val="34478272"/>
        <c:crosses val="autoZero"/>
        <c:auto val="1"/>
        <c:lblAlgn val="ctr"/>
        <c:lblOffset val="100"/>
        <c:noMultiLvlLbl val="0"/>
      </c:catAx>
      <c:valAx>
        <c:axId val="34478272"/>
        <c:scaling>
          <c:orientation val="minMax"/>
        </c:scaling>
        <c:delete val="0"/>
        <c:axPos val="l"/>
        <c:majorGridlines/>
        <c:title>
          <c:tx>
            <c:rich>
              <a:bodyPr rot="-5400000" vert="horz"/>
              <a:lstStyle/>
              <a:p>
                <a:pPr>
                  <a:defRPr/>
                </a:pPr>
                <a:r>
                  <a:rPr lang="lt-LT"/>
                  <a:t>kilogramai </a:t>
                </a:r>
              </a:p>
            </c:rich>
          </c:tx>
          <c:layout>
            <c:manualLayout>
              <c:xMode val="edge"/>
              <c:yMode val="edge"/>
              <c:x val="2.386091127098321E-2"/>
              <c:y val="0.35169973122729026"/>
            </c:manualLayout>
          </c:layout>
          <c:overlay val="0"/>
        </c:title>
        <c:numFmt formatCode="General" sourceLinked="0"/>
        <c:majorTickMark val="out"/>
        <c:minorTickMark val="none"/>
        <c:tickLblPos val="nextTo"/>
        <c:txPr>
          <a:bodyPr/>
          <a:lstStyle/>
          <a:p>
            <a:pPr>
              <a:defRPr sz="1000"/>
            </a:pPr>
            <a:endParaRPr lang="lt-LT"/>
          </a:p>
        </c:txPr>
        <c:crossAx val="140425216"/>
        <c:crosses val="autoZero"/>
        <c:crossBetween val="between"/>
      </c:valAx>
    </c:plotArea>
    <c:plotVisOnly val="1"/>
    <c:dispBlanksAs val="gap"/>
    <c:showDLblsOverMax val="0"/>
  </c:chart>
  <c:txPr>
    <a:bodyPr/>
    <a:lstStyle/>
    <a:p>
      <a:pPr>
        <a:defRPr sz="1200" b="1">
          <a:latin typeface="Times New Roman" panose="02020603050405020304" pitchFamily="18" charset="0"/>
          <a:cs typeface="Times New Roman" panose="02020603050405020304" pitchFamily="18" charset="0"/>
        </a:defRPr>
      </a:pPr>
      <a:endParaRPr lang="lt-LT"/>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'[anketa_mag_2014 - Copy.xls]Lapas1'!$H$80</c:f>
              <c:strCache>
                <c:ptCount val="1"/>
                <c:pt idx="0">
                  <c:v>prieš procedūras</c:v>
                </c:pt>
              </c:strCache>
            </c:strRef>
          </c:tx>
          <c:spPr>
            <a:pattFill prst="pct70">
              <a:fgClr>
                <a:schemeClr val="tx1"/>
              </a:fgClr>
              <a:bgClr>
                <a:schemeClr val="bg1"/>
              </a:bgClr>
            </a:pattFill>
            <a:ln w="12700">
              <a:solidFill>
                <a:schemeClr val="tx1"/>
              </a:solidFill>
            </a:ln>
          </c:spPr>
          <c:invertIfNegative val="0"/>
          <c:dLbls>
            <c:dLbl>
              <c:idx val="0"/>
              <c:layout>
                <c:manualLayout>
                  <c:x val="-2.1670356439182968E-17"/>
                  <c:y val="-0.12716763005780346"/>
                </c:manualLayout>
              </c:layout>
              <c:dLblPos val="outEnd"/>
              <c:showLegendKey val="0"/>
              <c:showVal val="1"/>
              <c:showCatName val="0"/>
              <c:showSerName val="0"/>
              <c:showPercent val="0"/>
              <c:showBubbleSize val="0"/>
            </c:dLbl>
            <c:dLbl>
              <c:idx val="1"/>
              <c:layout>
                <c:manualLayout>
                  <c:x val="4.3340712878365935E-17"/>
                  <c:y val="-0.1464354527938343"/>
                </c:manualLayout>
              </c:layout>
              <c:dLblPos val="outEnd"/>
              <c:showLegendKey val="0"/>
              <c:showVal val="1"/>
              <c:showCatName val="0"/>
              <c:showSerName val="0"/>
              <c:showPercent val="0"/>
              <c:showBubbleSize val="0"/>
            </c:dLbl>
            <c:dLbl>
              <c:idx val="2"/>
              <c:layout>
                <c:manualLayout>
                  <c:x val="-8.668142575673187E-17"/>
                  <c:y val="-9.2485549132947972E-2"/>
                </c:manualLayout>
              </c:layout>
              <c:dLblPos val="outEnd"/>
              <c:showLegendKey val="0"/>
              <c:showVal val="1"/>
              <c:showCatName val="0"/>
              <c:showSerName val="0"/>
              <c:showPercent val="0"/>
              <c:showBubbleSize val="0"/>
            </c:dLbl>
            <c:dLbl>
              <c:idx val="3"/>
              <c:layout>
                <c:manualLayout>
                  <c:x val="-2.3640661938534278E-3"/>
                  <c:y val="-8.092485549132955E-2"/>
                </c:manualLayout>
              </c:layout>
              <c:dLblPos val="outEnd"/>
              <c:showLegendKey val="0"/>
              <c:showVal val="1"/>
              <c:showCatName val="0"/>
              <c:showSerName val="0"/>
              <c:showPercent val="0"/>
              <c:showBubbleSize val="0"/>
            </c:dLbl>
            <c:txPr>
              <a:bodyPr/>
              <a:lstStyle/>
              <a:p>
                <a:pPr>
                  <a:defRPr sz="1000"/>
                </a:pPr>
                <a:endParaRPr lang="lt-LT"/>
              </a:p>
            </c:txPr>
            <c:dLblPos val="outEnd"/>
            <c:showLegendKey val="0"/>
            <c:showVal val="1"/>
            <c:showCatName val="0"/>
            <c:showSerName val="0"/>
            <c:showPercent val="0"/>
            <c:showBubbleSize val="0"/>
            <c:showLeaderLines val="0"/>
          </c:dLbls>
          <c:errBars>
            <c:errBarType val="both"/>
            <c:errValType val="cust"/>
            <c:noEndCap val="0"/>
            <c:plus>
              <c:numRef>
                <c:f>'[anketa_mag_2014 - Copy.xls]Lapas1'!$D$85:$D$88</c:f>
                <c:numCache>
                  <c:formatCode>General</c:formatCode>
                  <c:ptCount val="4"/>
                  <c:pt idx="0">
                    <c:v>9.6833223828248993</c:v>
                  </c:pt>
                  <c:pt idx="1">
                    <c:v>10.6924016643525</c:v>
                  </c:pt>
                  <c:pt idx="2">
                    <c:v>8.4060989763385496</c:v>
                  </c:pt>
                  <c:pt idx="3">
                    <c:v>7.0320693966996659</c:v>
                  </c:pt>
                </c:numCache>
              </c:numRef>
            </c:plus>
            <c:minus>
              <c:numRef>
                <c:f>'[anketa_mag_2014 - Copy.xls]Lapas1'!$D$85:$D$88</c:f>
                <c:numCache>
                  <c:formatCode>General</c:formatCode>
                  <c:ptCount val="4"/>
                  <c:pt idx="0">
                    <c:v>9.6833223828248993</c:v>
                  </c:pt>
                  <c:pt idx="1">
                    <c:v>10.6924016643525</c:v>
                  </c:pt>
                  <c:pt idx="2">
                    <c:v>8.4060989763385496</c:v>
                  </c:pt>
                  <c:pt idx="3">
                    <c:v>7.0320693966996659</c:v>
                  </c:pt>
                </c:numCache>
              </c:numRef>
            </c:minus>
          </c:errBars>
          <c:cat>
            <c:strRef>
              <c:f>'[anketa_mag_2014 - Copy.xls]Lapas1'!$B$97:$B$100</c:f>
              <c:strCache>
                <c:ptCount val="4"/>
                <c:pt idx="0">
                  <c:v>fleksija</c:v>
                </c:pt>
                <c:pt idx="1">
                  <c:v>ekstenzija</c:v>
                </c:pt>
                <c:pt idx="2">
                  <c:v>ulnarinė deviacija</c:v>
                </c:pt>
                <c:pt idx="3">
                  <c:v>radialinė deviacija</c:v>
                </c:pt>
              </c:strCache>
            </c:strRef>
          </c:cat>
          <c:val>
            <c:numRef>
              <c:f>'[anketa_mag_2014 - Copy.xls]Lapas1'!$B$85:$B$88</c:f>
              <c:numCache>
                <c:formatCode>####.0</c:formatCode>
                <c:ptCount val="4"/>
                <c:pt idx="0">
                  <c:v>38.25</c:v>
                </c:pt>
                <c:pt idx="1">
                  <c:v>36.5</c:v>
                </c:pt>
                <c:pt idx="2">
                  <c:v>23.4375</c:v>
                </c:pt>
                <c:pt idx="3">
                  <c:v>10.875000000000002</c:v>
                </c:pt>
              </c:numCache>
            </c:numRef>
          </c:val>
        </c:ser>
        <c:ser>
          <c:idx val="1"/>
          <c:order val="1"/>
          <c:tx>
            <c:strRef>
              <c:f>'[anketa_mag_2014 - Copy.xls]Lapas1'!$H$81</c:f>
              <c:strCache>
                <c:ptCount val="1"/>
                <c:pt idx="0">
                  <c:v>po procedūrų</c:v>
                </c:pt>
              </c:strCache>
            </c:strRef>
          </c:tx>
          <c:spPr>
            <a:pattFill prst="pct70">
              <a:fgClr>
                <a:schemeClr val="accent2">
                  <a:lumMod val="75000"/>
                </a:schemeClr>
              </a:fgClr>
              <a:bgClr>
                <a:schemeClr val="bg1"/>
              </a:bgClr>
            </a:pattFill>
            <a:ln w="12700">
              <a:solidFill>
                <a:schemeClr val="tx1"/>
              </a:solidFill>
            </a:ln>
          </c:spPr>
          <c:invertIfNegative val="0"/>
          <c:dLbls>
            <c:dLbl>
              <c:idx val="0"/>
              <c:layout>
                <c:manualLayout>
                  <c:x val="2.3640661938534278E-3"/>
                  <c:y val="-0.13102149803528892"/>
                </c:manualLayout>
              </c:layout>
              <c:dLblPos val="outEnd"/>
              <c:showLegendKey val="0"/>
              <c:showVal val="1"/>
              <c:showCatName val="0"/>
              <c:showSerName val="0"/>
              <c:showPercent val="0"/>
              <c:showBubbleSize val="0"/>
            </c:dLbl>
            <c:dLbl>
              <c:idx val="1"/>
              <c:layout>
                <c:manualLayout>
                  <c:x val="-8.668142575673187E-17"/>
                  <c:y val="-0.13872832369942195"/>
                </c:manualLayout>
              </c:layout>
              <c:dLblPos val="outEnd"/>
              <c:showLegendKey val="0"/>
              <c:showVal val="1"/>
              <c:showCatName val="0"/>
              <c:showSerName val="0"/>
              <c:showPercent val="0"/>
              <c:showBubbleSize val="0"/>
            </c:dLbl>
            <c:dLbl>
              <c:idx val="2"/>
              <c:layout>
                <c:manualLayout>
                  <c:x val="-4.7281323877068557E-3"/>
                  <c:y val="-0.10789980732177257"/>
                </c:manualLayout>
              </c:layout>
              <c:dLblPos val="outEnd"/>
              <c:showLegendKey val="0"/>
              <c:showVal val="1"/>
              <c:showCatName val="0"/>
              <c:showSerName val="0"/>
              <c:showPercent val="0"/>
              <c:showBubbleSize val="0"/>
            </c:dLbl>
            <c:dLbl>
              <c:idx val="3"/>
              <c:layout>
                <c:manualLayout>
                  <c:x val="0"/>
                  <c:y val="-6.9364465279990364E-2"/>
                </c:manualLayout>
              </c:layout>
              <c:dLblPos val="outEnd"/>
              <c:showLegendKey val="0"/>
              <c:showVal val="1"/>
              <c:showCatName val="0"/>
              <c:showSerName val="0"/>
              <c:showPercent val="0"/>
              <c:showBubbleSize val="0"/>
            </c:dLbl>
            <c:txPr>
              <a:bodyPr/>
              <a:lstStyle/>
              <a:p>
                <a:pPr>
                  <a:defRPr sz="1000"/>
                </a:pPr>
                <a:endParaRPr lang="lt-LT"/>
              </a:p>
            </c:txPr>
            <c:dLblPos val="outEnd"/>
            <c:showLegendKey val="0"/>
            <c:showVal val="1"/>
            <c:showCatName val="0"/>
            <c:showSerName val="0"/>
            <c:showPercent val="0"/>
            <c:showBubbleSize val="0"/>
            <c:showLeaderLines val="0"/>
          </c:dLbls>
          <c:errBars>
            <c:errBarType val="both"/>
            <c:errValType val="cust"/>
            <c:noEndCap val="0"/>
            <c:plus>
              <c:numRef>
                <c:f>'[anketa_mag_2014 - Copy.xls]Lapas1'!$E$85:$E$88</c:f>
                <c:numCache>
                  <c:formatCode>General</c:formatCode>
                  <c:ptCount val="4"/>
                  <c:pt idx="0">
                    <c:v>10.678782874157701</c:v>
                  </c:pt>
                  <c:pt idx="1">
                    <c:v>10.3660016459673</c:v>
                  </c:pt>
                  <c:pt idx="2">
                    <c:v>9.8554130642336162</c:v>
                  </c:pt>
                  <c:pt idx="3">
                    <c:v>6.7697242681417</c:v>
                  </c:pt>
                </c:numCache>
              </c:numRef>
            </c:plus>
            <c:minus>
              <c:numRef>
                <c:f>'[anketa_mag_2014 - Copy.xls]Lapas1'!$E$85:$E$88</c:f>
                <c:numCache>
                  <c:formatCode>General</c:formatCode>
                  <c:ptCount val="4"/>
                  <c:pt idx="0">
                    <c:v>10.678782874157701</c:v>
                  </c:pt>
                  <c:pt idx="1">
                    <c:v>10.3660016459673</c:v>
                  </c:pt>
                  <c:pt idx="2">
                    <c:v>9.8554130642336162</c:v>
                  </c:pt>
                  <c:pt idx="3">
                    <c:v>6.7697242681417</c:v>
                  </c:pt>
                </c:numCache>
              </c:numRef>
            </c:minus>
          </c:errBars>
          <c:cat>
            <c:strRef>
              <c:f>'[anketa_mag_2014 - Copy.xls]Lapas1'!$B$97:$B$100</c:f>
              <c:strCache>
                <c:ptCount val="4"/>
                <c:pt idx="0">
                  <c:v>fleksija</c:v>
                </c:pt>
                <c:pt idx="1">
                  <c:v>ekstenzija</c:v>
                </c:pt>
                <c:pt idx="2">
                  <c:v>ulnarinė deviacija</c:v>
                </c:pt>
                <c:pt idx="3">
                  <c:v>radialinė deviacija</c:v>
                </c:pt>
              </c:strCache>
            </c:strRef>
          </c:cat>
          <c:val>
            <c:numRef>
              <c:f>'[anketa_mag_2014 - Copy.xls]Lapas1'!$C$85:$C$88</c:f>
              <c:numCache>
                <c:formatCode>####.0</c:formatCode>
                <c:ptCount val="4"/>
                <c:pt idx="0">
                  <c:v>43.5</c:v>
                </c:pt>
                <c:pt idx="1">
                  <c:v>41.625000000000007</c:v>
                </c:pt>
                <c:pt idx="2">
                  <c:v>26.9375</c:v>
                </c:pt>
                <c:pt idx="3">
                  <c:v>13.687500000000002</c:v>
                </c:pt>
              </c:numCache>
            </c:numRef>
          </c:val>
        </c:ser>
        <c:dLbls>
          <c:dLblPos val="outEnd"/>
          <c:showLegendKey val="0"/>
          <c:showVal val="1"/>
          <c:showCatName val="0"/>
          <c:showSerName val="0"/>
          <c:showPercent val="0"/>
          <c:showBubbleSize val="0"/>
        </c:dLbls>
        <c:gapWidth val="150"/>
        <c:axId val="140353536"/>
        <c:axId val="34488320"/>
      </c:barChart>
      <c:catAx>
        <c:axId val="140353536"/>
        <c:scaling>
          <c:orientation val="minMax"/>
        </c:scaling>
        <c:delete val="0"/>
        <c:axPos val="b"/>
        <c:majorTickMark val="out"/>
        <c:minorTickMark val="none"/>
        <c:tickLblPos val="nextTo"/>
        <c:crossAx val="34488320"/>
        <c:crosses val="autoZero"/>
        <c:auto val="1"/>
        <c:lblAlgn val="ctr"/>
        <c:lblOffset val="100"/>
        <c:noMultiLvlLbl val="0"/>
      </c:catAx>
      <c:valAx>
        <c:axId val="34488320"/>
        <c:scaling>
          <c:orientation val="minMax"/>
        </c:scaling>
        <c:delete val="0"/>
        <c:axPos val="l"/>
        <c:majorGridlines/>
        <c:title>
          <c:tx>
            <c:rich>
              <a:bodyPr rot="-5400000" vert="horz"/>
              <a:lstStyle/>
              <a:p>
                <a:pPr>
                  <a:defRPr sz="1000"/>
                </a:pPr>
                <a:r>
                  <a:rPr lang="lt-LT" sz="1000"/>
                  <a:t>laipsniai </a:t>
                </a:r>
              </a:p>
            </c:rich>
          </c:tx>
          <c:layout>
            <c:manualLayout>
              <c:xMode val="edge"/>
              <c:yMode val="edge"/>
              <c:x val="1.6666666666666666E-2"/>
              <c:y val="0.40775586220039328"/>
            </c:manualLayout>
          </c:layout>
          <c:overlay val="0"/>
        </c:title>
        <c:numFmt formatCode="General" sourceLinked="0"/>
        <c:majorTickMark val="out"/>
        <c:minorTickMark val="none"/>
        <c:tickLblPos val="nextTo"/>
        <c:txPr>
          <a:bodyPr/>
          <a:lstStyle/>
          <a:p>
            <a:pPr>
              <a:defRPr sz="1000"/>
            </a:pPr>
            <a:endParaRPr lang="lt-LT"/>
          </a:p>
        </c:txPr>
        <c:crossAx val="140353536"/>
        <c:crosses val="autoZero"/>
        <c:crossBetween val="between"/>
      </c:valAx>
    </c:plotArea>
    <c:legend>
      <c:legendPos val="t"/>
      <c:overlay val="0"/>
      <c:txPr>
        <a:bodyPr/>
        <a:lstStyle/>
        <a:p>
          <a:pPr>
            <a:defRPr sz="1100"/>
          </a:pPr>
          <a:endParaRPr lang="lt-LT"/>
        </a:p>
      </c:txPr>
    </c:legend>
    <c:plotVisOnly val="1"/>
    <c:dispBlanksAs val="gap"/>
    <c:showDLblsOverMax val="0"/>
  </c:chart>
  <c:txPr>
    <a:bodyPr/>
    <a:lstStyle/>
    <a:p>
      <a:pPr>
        <a:defRPr sz="1200" b="1">
          <a:latin typeface="Times New Roman" panose="02020603050405020304" pitchFamily="18" charset="0"/>
          <a:cs typeface="Times New Roman" panose="02020603050405020304" pitchFamily="18" charset="0"/>
        </a:defRPr>
      </a:pPr>
      <a:endParaRPr lang="lt-LT"/>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64623576729167"/>
          <c:y val="7.6076076076076082E-2"/>
          <c:w val="0.85897486735021433"/>
          <c:h val="0.81613613613613611"/>
        </c:manualLayout>
      </c:layout>
      <c:barChart>
        <c:barDir val="col"/>
        <c:grouping val="clustered"/>
        <c:varyColors val="0"/>
        <c:ser>
          <c:idx val="0"/>
          <c:order val="0"/>
          <c:spPr>
            <a:pattFill prst="pct70">
              <a:fgClr>
                <a:schemeClr val="tx1"/>
              </a:fgClr>
              <a:bgClr>
                <a:schemeClr val="bg1"/>
              </a:bgClr>
            </a:pattFill>
            <a:ln w="12700">
              <a:solidFill>
                <a:schemeClr val="tx1"/>
              </a:solidFill>
            </a:ln>
          </c:spPr>
          <c:invertIfNegative val="0"/>
          <c:dLbls>
            <c:dLbl>
              <c:idx val="0"/>
              <c:layout>
                <c:manualLayout>
                  <c:x val="2.3980815347722263E-3"/>
                  <c:y val="-8.0317798113073741E-2"/>
                </c:manualLayout>
              </c:layout>
              <c:dLblPos val="outEnd"/>
              <c:showLegendKey val="0"/>
              <c:showVal val="1"/>
              <c:showCatName val="0"/>
              <c:showSerName val="0"/>
              <c:showPercent val="0"/>
              <c:showBubbleSize val="0"/>
            </c:dLbl>
            <c:dLbl>
              <c:idx val="1"/>
              <c:layout>
                <c:manualLayout>
                  <c:x val="-3.7972771389196654E-4"/>
                  <c:y val="-8.9158765064276876E-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errBars>
            <c:errBarType val="both"/>
            <c:errValType val="cust"/>
            <c:noEndCap val="0"/>
            <c:plus>
              <c:numRef>
                <c:f>'[anketa_mag_2014 - Copy.xls]Lapas1'!$F$77:$F$78</c:f>
                <c:numCache>
                  <c:formatCode>General</c:formatCode>
                  <c:ptCount val="2"/>
                  <c:pt idx="0">
                    <c:v>5.0294963299850739</c:v>
                  </c:pt>
                  <c:pt idx="1">
                    <c:v>5.3040864749109566</c:v>
                  </c:pt>
                </c:numCache>
              </c:numRef>
            </c:plus>
            <c:minus>
              <c:numRef>
                <c:f>'[anketa_mag_2014 - Copy.xls]Lapas1'!$F$77:$F$78</c:f>
                <c:numCache>
                  <c:formatCode>General</c:formatCode>
                  <c:ptCount val="2"/>
                  <c:pt idx="0">
                    <c:v>5.0294963299850739</c:v>
                  </c:pt>
                  <c:pt idx="1">
                    <c:v>5.3040864749109566</c:v>
                  </c:pt>
                </c:numCache>
              </c:numRef>
            </c:minus>
          </c:errBars>
          <c:cat>
            <c:strRef>
              <c:f>'[anketa_mag_2014 - Copy.xls]Lapas1'!$A$77:$A$78</c:f>
              <c:strCache>
                <c:ptCount val="2"/>
                <c:pt idx="0">
                  <c:v>Keitelio indeksas prieš procedūras</c:v>
                </c:pt>
                <c:pt idx="1">
                  <c:v>Keitelio indeksas po procedūrų</c:v>
                </c:pt>
              </c:strCache>
            </c:strRef>
          </c:cat>
          <c:val>
            <c:numRef>
              <c:f>'[anketa_mag_2014 - Copy.xls]Lapas1'!$E$77:$E$78</c:f>
              <c:numCache>
                <c:formatCode>####.00</c:formatCode>
                <c:ptCount val="2"/>
                <c:pt idx="0">
                  <c:v>40.6875</c:v>
                </c:pt>
                <c:pt idx="1">
                  <c:v>43.499999999999993</c:v>
                </c:pt>
              </c:numCache>
            </c:numRef>
          </c:val>
        </c:ser>
        <c:dLbls>
          <c:dLblPos val="outEnd"/>
          <c:showLegendKey val="0"/>
          <c:showVal val="1"/>
          <c:showCatName val="0"/>
          <c:showSerName val="0"/>
          <c:showPercent val="0"/>
          <c:showBubbleSize val="0"/>
        </c:dLbls>
        <c:gapWidth val="150"/>
        <c:axId val="140356096"/>
        <c:axId val="34490048"/>
      </c:barChart>
      <c:catAx>
        <c:axId val="140356096"/>
        <c:scaling>
          <c:orientation val="minMax"/>
        </c:scaling>
        <c:delete val="0"/>
        <c:axPos val="b"/>
        <c:majorTickMark val="out"/>
        <c:minorTickMark val="none"/>
        <c:tickLblPos val="nextTo"/>
        <c:crossAx val="34490048"/>
        <c:crosses val="autoZero"/>
        <c:auto val="1"/>
        <c:lblAlgn val="ctr"/>
        <c:lblOffset val="100"/>
        <c:noMultiLvlLbl val="0"/>
      </c:catAx>
      <c:valAx>
        <c:axId val="34490048"/>
        <c:scaling>
          <c:orientation val="minMax"/>
        </c:scaling>
        <c:delete val="0"/>
        <c:axPos val="l"/>
        <c:majorGridlines/>
        <c:title>
          <c:tx>
            <c:rich>
              <a:bodyPr rot="-5400000" vert="horz"/>
              <a:lstStyle/>
              <a:p>
                <a:pPr>
                  <a:defRPr/>
                </a:pPr>
                <a:r>
                  <a:rPr lang="lt-LT"/>
                  <a:t>balai </a:t>
                </a:r>
              </a:p>
            </c:rich>
          </c:tx>
          <c:layout>
            <c:manualLayout>
              <c:xMode val="edge"/>
              <c:yMode val="edge"/>
              <c:x val="1.4268585131894485E-2"/>
              <c:y val="0.43978781931537836"/>
            </c:manualLayout>
          </c:layout>
          <c:overlay val="0"/>
        </c:title>
        <c:numFmt formatCode="General" sourceLinked="0"/>
        <c:majorTickMark val="out"/>
        <c:minorTickMark val="none"/>
        <c:tickLblPos val="nextTo"/>
        <c:txPr>
          <a:bodyPr/>
          <a:lstStyle/>
          <a:p>
            <a:pPr>
              <a:defRPr sz="1000"/>
            </a:pPr>
            <a:endParaRPr lang="lt-LT"/>
          </a:p>
        </c:txPr>
        <c:crossAx val="140356096"/>
        <c:crosses val="autoZero"/>
        <c:crossBetween val="between"/>
      </c:valAx>
    </c:plotArea>
    <c:plotVisOnly val="1"/>
    <c:dispBlanksAs val="gap"/>
    <c:showDLblsOverMax val="0"/>
  </c:chart>
  <c:txPr>
    <a:bodyPr/>
    <a:lstStyle/>
    <a:p>
      <a:pPr>
        <a:defRPr sz="1200" b="1">
          <a:latin typeface="Times New Roman" panose="02020603050405020304" pitchFamily="18" charset="0"/>
          <a:cs typeface="Times New Roman" panose="02020603050405020304" pitchFamily="18" charset="0"/>
        </a:defRPr>
      </a:pPr>
      <a:endParaRPr lang="lt-LT"/>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07696826705326"/>
          <c:y val="0.11530996125484315"/>
          <c:w val="0.85244890417578667"/>
          <c:h val="0.76783967793499508"/>
        </c:manualLayout>
      </c:layout>
      <c:barChart>
        <c:barDir val="col"/>
        <c:grouping val="clustered"/>
        <c:varyColors val="0"/>
        <c:ser>
          <c:idx val="0"/>
          <c:order val="0"/>
          <c:tx>
            <c:strRef>
              <c:f>Lapas1!$A$283</c:f>
              <c:strCache>
                <c:ptCount val="1"/>
                <c:pt idx="0">
                  <c:v>Kontrolinė grupė</c:v>
                </c:pt>
              </c:strCache>
            </c:strRef>
          </c:tx>
          <c:spPr>
            <a:pattFill prst="pct70">
              <a:fgClr>
                <a:schemeClr val="tx1"/>
              </a:fgClr>
              <a:bgClr>
                <a:schemeClr val="bg1"/>
              </a:bgClr>
            </a:pattFill>
            <a:ln w="12700">
              <a:solidFill>
                <a:schemeClr val="tx1"/>
              </a:solidFill>
            </a:ln>
          </c:spPr>
          <c:invertIfNegative val="0"/>
          <c:dLbls>
            <c:dLbl>
              <c:idx val="0"/>
              <c:layout>
                <c:manualLayout>
                  <c:x val="0"/>
                  <c:y val="-0.14682539682539686"/>
                </c:manualLayout>
              </c:layout>
              <c:dLblPos val="outEnd"/>
              <c:showLegendKey val="0"/>
              <c:showVal val="1"/>
              <c:showCatName val="0"/>
              <c:showSerName val="0"/>
              <c:showPercent val="0"/>
              <c:showBubbleSize val="0"/>
            </c:dLbl>
            <c:dLbl>
              <c:idx val="1"/>
              <c:layout>
                <c:manualLayout>
                  <c:x val="0"/>
                  <c:y val="-0.15476190476190479"/>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errBars>
            <c:errBarType val="both"/>
            <c:errValType val="cust"/>
            <c:noEndCap val="0"/>
            <c:plus>
              <c:numRef>
                <c:f>Lapas1!$C$221:$C$222</c:f>
                <c:numCache>
                  <c:formatCode>General</c:formatCode>
                  <c:ptCount val="2"/>
                  <c:pt idx="0">
                    <c:v>1.3971647412707999</c:v>
                  </c:pt>
                  <c:pt idx="1">
                    <c:v>1.4045013334673</c:v>
                  </c:pt>
                </c:numCache>
              </c:numRef>
            </c:plus>
            <c:minus>
              <c:numRef>
                <c:f>Lapas1!$C$221:$C$222</c:f>
                <c:numCache>
                  <c:formatCode>General</c:formatCode>
                  <c:ptCount val="2"/>
                  <c:pt idx="0">
                    <c:v>1.3971647412707999</c:v>
                  </c:pt>
                  <c:pt idx="1">
                    <c:v>1.4045013334673</c:v>
                  </c:pt>
                </c:numCache>
              </c:numRef>
            </c:minus>
          </c:errBars>
          <c:cat>
            <c:strRef>
              <c:f>Lapas1!$B$231:$B$232</c:f>
              <c:strCache>
                <c:ptCount val="2"/>
                <c:pt idx="0">
                  <c:v>skausmas prieš procedūras</c:v>
                </c:pt>
                <c:pt idx="1">
                  <c:v>skausmas po procedūrų</c:v>
                </c:pt>
              </c:strCache>
            </c:strRef>
          </c:cat>
          <c:val>
            <c:numRef>
              <c:f>Lapas1!$A$224:$A$225</c:f>
              <c:numCache>
                <c:formatCode>####.00</c:formatCode>
                <c:ptCount val="2"/>
                <c:pt idx="0">
                  <c:v>4.7499999999999991</c:v>
                </c:pt>
                <c:pt idx="1">
                  <c:v>3.8125</c:v>
                </c:pt>
              </c:numCache>
            </c:numRef>
          </c:val>
        </c:ser>
        <c:ser>
          <c:idx val="1"/>
          <c:order val="1"/>
          <c:tx>
            <c:strRef>
              <c:f>Lapas1!$A$284</c:f>
              <c:strCache>
                <c:ptCount val="1"/>
                <c:pt idx="0">
                  <c:v>Tiriamoji grupė</c:v>
                </c:pt>
              </c:strCache>
            </c:strRef>
          </c:tx>
          <c:spPr>
            <a:pattFill prst="pct70">
              <a:fgClr>
                <a:schemeClr val="accent2">
                  <a:lumMod val="75000"/>
                </a:schemeClr>
              </a:fgClr>
              <a:bgClr>
                <a:schemeClr val="bg1"/>
              </a:bgClr>
            </a:pattFill>
            <a:ln w="12700">
              <a:solidFill>
                <a:schemeClr val="tx1"/>
              </a:solidFill>
            </a:ln>
          </c:spPr>
          <c:invertIfNegative val="0"/>
          <c:dLbls>
            <c:dLbl>
              <c:idx val="0"/>
              <c:layout>
                <c:manualLayout>
                  <c:x val="-4.4123036215520552E-17"/>
                  <c:y val="-0.1388888888888889"/>
                </c:manualLayout>
              </c:layout>
              <c:dLblPos val="outEnd"/>
              <c:showLegendKey val="0"/>
              <c:showVal val="1"/>
              <c:showCatName val="0"/>
              <c:showSerName val="0"/>
              <c:showPercent val="0"/>
              <c:showBubbleSize val="0"/>
            </c:dLbl>
            <c:dLbl>
              <c:idx val="1"/>
              <c:layout>
                <c:manualLayout>
                  <c:x val="8.8246072431041104E-17"/>
                  <c:y val="-5.9523809523809521E-2"/>
                </c:manualLayout>
              </c:layout>
              <c:tx>
                <c:rich>
                  <a:bodyPr/>
                  <a:lstStyle/>
                  <a:p>
                    <a:r>
                      <a:rPr lang="lt-LT"/>
                      <a:t>0</a:t>
                    </a:r>
                    <a:r>
                      <a:rPr lang="en-US"/>
                      <a:t>,94</a:t>
                    </a:r>
                  </a:p>
                </c:rich>
              </c:tx>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errBars>
            <c:errBarType val="both"/>
            <c:errValType val="cust"/>
            <c:noEndCap val="0"/>
            <c:plus>
              <c:numRef>
                <c:f>Lapas1!$D$221:$D$222</c:f>
                <c:numCache>
                  <c:formatCode>General</c:formatCode>
                  <c:ptCount val="2"/>
                  <c:pt idx="0">
                    <c:v>1.2776266472769999</c:v>
                  </c:pt>
                  <c:pt idx="1">
                    <c:v>0.52361025271220996</c:v>
                  </c:pt>
                </c:numCache>
              </c:numRef>
            </c:plus>
            <c:minus>
              <c:numRef>
                <c:f>Lapas1!$D$221:$D$222</c:f>
                <c:numCache>
                  <c:formatCode>General</c:formatCode>
                  <c:ptCount val="2"/>
                  <c:pt idx="0">
                    <c:v>1.2776266472769999</c:v>
                  </c:pt>
                  <c:pt idx="1">
                    <c:v>0.52361025271220996</c:v>
                  </c:pt>
                </c:numCache>
              </c:numRef>
            </c:minus>
          </c:errBars>
          <c:cat>
            <c:strRef>
              <c:f>Lapas1!$B$231:$B$232</c:f>
              <c:strCache>
                <c:ptCount val="2"/>
                <c:pt idx="0">
                  <c:v>skausmas prieš procedūras</c:v>
                </c:pt>
                <c:pt idx="1">
                  <c:v>skausmas po procedūrų</c:v>
                </c:pt>
              </c:strCache>
            </c:strRef>
          </c:cat>
          <c:val>
            <c:numRef>
              <c:f>Lapas1!$B$224:$B$225</c:f>
              <c:numCache>
                <c:formatCode>####.00</c:formatCode>
                <c:ptCount val="2"/>
                <c:pt idx="0">
                  <c:v>4.6874999999999991</c:v>
                </c:pt>
                <c:pt idx="1">
                  <c:v>0.9375</c:v>
                </c:pt>
              </c:numCache>
            </c:numRef>
          </c:val>
        </c:ser>
        <c:dLbls>
          <c:dLblPos val="outEnd"/>
          <c:showLegendKey val="0"/>
          <c:showVal val="1"/>
          <c:showCatName val="0"/>
          <c:showSerName val="0"/>
          <c:showPercent val="0"/>
          <c:showBubbleSize val="0"/>
        </c:dLbls>
        <c:gapWidth val="150"/>
        <c:axId val="140328960"/>
        <c:axId val="34491776"/>
      </c:barChart>
      <c:catAx>
        <c:axId val="140328960"/>
        <c:scaling>
          <c:orientation val="minMax"/>
        </c:scaling>
        <c:delete val="0"/>
        <c:axPos val="b"/>
        <c:numFmt formatCode="General" sourceLinked="1"/>
        <c:majorTickMark val="out"/>
        <c:minorTickMark val="none"/>
        <c:tickLblPos val="nextTo"/>
        <c:crossAx val="34491776"/>
        <c:crosses val="autoZero"/>
        <c:auto val="1"/>
        <c:lblAlgn val="ctr"/>
        <c:lblOffset val="100"/>
        <c:noMultiLvlLbl val="0"/>
      </c:catAx>
      <c:valAx>
        <c:axId val="34491776"/>
        <c:scaling>
          <c:orientation val="minMax"/>
        </c:scaling>
        <c:delete val="0"/>
        <c:axPos val="l"/>
        <c:majorGridlines/>
        <c:title>
          <c:tx>
            <c:rich>
              <a:bodyPr rot="-5400000" vert="horz"/>
              <a:lstStyle/>
              <a:p>
                <a:pPr>
                  <a:defRPr/>
                </a:pPr>
                <a:r>
                  <a:rPr lang="lt-LT"/>
                  <a:t>balai </a:t>
                </a:r>
              </a:p>
            </c:rich>
          </c:tx>
          <c:layout>
            <c:manualLayout>
              <c:xMode val="edge"/>
              <c:yMode val="edge"/>
              <c:x val="1.6666761420165439E-2"/>
              <c:y val="0.40775590551181101"/>
            </c:manualLayout>
          </c:layout>
          <c:overlay val="0"/>
        </c:title>
        <c:numFmt formatCode="General" sourceLinked="0"/>
        <c:majorTickMark val="out"/>
        <c:minorTickMark val="none"/>
        <c:tickLblPos val="nextTo"/>
        <c:txPr>
          <a:bodyPr/>
          <a:lstStyle/>
          <a:p>
            <a:pPr>
              <a:defRPr sz="1000"/>
            </a:pPr>
            <a:endParaRPr lang="lt-LT"/>
          </a:p>
        </c:txPr>
        <c:crossAx val="140328960"/>
        <c:crosses val="autoZero"/>
        <c:crossBetween val="between"/>
      </c:valAx>
    </c:plotArea>
    <c:legend>
      <c:legendPos val="t"/>
      <c:layout>
        <c:manualLayout>
          <c:xMode val="edge"/>
          <c:yMode val="edge"/>
          <c:x val="0.26563518007902442"/>
          <c:y val="1.5873015873015872E-2"/>
          <c:w val="0.51686441721860577"/>
          <c:h val="7.1659167604049501E-2"/>
        </c:manualLayout>
      </c:layout>
      <c:overlay val="0"/>
      <c:txPr>
        <a:bodyPr/>
        <a:lstStyle/>
        <a:p>
          <a:pPr>
            <a:defRPr sz="1100"/>
          </a:pPr>
          <a:endParaRPr lang="lt-LT"/>
        </a:p>
      </c:txPr>
    </c:legend>
    <c:plotVisOnly val="1"/>
    <c:dispBlanksAs val="gap"/>
    <c:showDLblsOverMax val="0"/>
  </c:chart>
  <c:txPr>
    <a:bodyPr/>
    <a:lstStyle/>
    <a:p>
      <a:pPr>
        <a:defRPr sz="1200" b="1">
          <a:latin typeface="Times New Roman" panose="02020603050405020304" pitchFamily="18" charset="0"/>
          <a:cs typeface="Times New Roman" panose="02020603050405020304" pitchFamily="18" charset="0"/>
        </a:defRPr>
      </a:pPr>
      <a:endParaRPr lang="lt-LT"/>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07696826705326"/>
          <c:y val="0.11530996125484315"/>
          <c:w val="0.85244890417578667"/>
          <c:h val="0.77786464191976012"/>
        </c:manualLayout>
      </c:layout>
      <c:barChart>
        <c:barDir val="col"/>
        <c:grouping val="clustered"/>
        <c:varyColors val="0"/>
        <c:ser>
          <c:idx val="0"/>
          <c:order val="0"/>
          <c:tx>
            <c:strRef>
              <c:f>Lapas1!$A$283</c:f>
              <c:strCache>
                <c:ptCount val="1"/>
                <c:pt idx="0">
                  <c:v>Kontrolinė grupė</c:v>
                </c:pt>
              </c:strCache>
            </c:strRef>
          </c:tx>
          <c:spPr>
            <a:pattFill prst="pct70">
              <a:fgClr>
                <a:schemeClr val="tx1"/>
              </a:fgClr>
              <a:bgClr>
                <a:schemeClr val="bg1"/>
              </a:bgClr>
            </a:pattFill>
            <a:ln w="12700">
              <a:solidFill>
                <a:schemeClr val="tx1"/>
              </a:solidFill>
            </a:ln>
          </c:spPr>
          <c:invertIfNegative val="0"/>
          <c:dLbls>
            <c:dLbl>
              <c:idx val="0"/>
              <c:layout>
                <c:manualLayout>
                  <c:x val="0"/>
                  <c:y val="-0.14682539682539686"/>
                </c:manualLayout>
              </c:layout>
              <c:dLblPos val="outEnd"/>
              <c:showLegendKey val="0"/>
              <c:showVal val="1"/>
              <c:showCatName val="0"/>
              <c:showSerName val="0"/>
              <c:showPercent val="0"/>
              <c:showBubbleSize val="0"/>
            </c:dLbl>
            <c:dLbl>
              <c:idx val="1"/>
              <c:layout>
                <c:manualLayout>
                  <c:x val="0"/>
                  <c:y val="-0.15476190476190479"/>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errBars>
            <c:errBarType val="both"/>
            <c:errValType val="cust"/>
            <c:noEndCap val="0"/>
            <c:plus>
              <c:numRef>
                <c:f>Lapas1!$C$247:$C$248</c:f>
                <c:numCache>
                  <c:formatCode>General</c:formatCode>
                  <c:ptCount val="2"/>
                  <c:pt idx="0">
                    <c:v>1.249219304078</c:v>
                  </c:pt>
                  <c:pt idx="1">
                    <c:v>1.4045013334673</c:v>
                  </c:pt>
                </c:numCache>
              </c:numRef>
            </c:plus>
            <c:minus>
              <c:numRef>
                <c:f>Lapas1!$C$247:$C$248</c:f>
                <c:numCache>
                  <c:formatCode>General</c:formatCode>
                  <c:ptCount val="2"/>
                  <c:pt idx="0">
                    <c:v>1.249219304078</c:v>
                  </c:pt>
                  <c:pt idx="1">
                    <c:v>1.4045013334673</c:v>
                  </c:pt>
                </c:numCache>
              </c:numRef>
            </c:minus>
          </c:errBars>
          <c:cat>
            <c:strRef>
              <c:f>Lapas1!$B$267:$B$268</c:f>
              <c:strCache>
                <c:ptCount val="2"/>
                <c:pt idx="0">
                  <c:v>sustingimas prieš procedūras</c:v>
                </c:pt>
                <c:pt idx="1">
                  <c:v>sustingimas po procedūrų</c:v>
                </c:pt>
              </c:strCache>
            </c:strRef>
          </c:cat>
          <c:val>
            <c:numRef>
              <c:f>Lapas1!$A$250:$A$251</c:f>
              <c:numCache>
                <c:formatCode>####.00</c:formatCode>
                <c:ptCount val="2"/>
                <c:pt idx="0">
                  <c:v>4.75</c:v>
                </c:pt>
                <c:pt idx="1">
                  <c:v>3.625</c:v>
                </c:pt>
              </c:numCache>
            </c:numRef>
          </c:val>
        </c:ser>
        <c:ser>
          <c:idx val="1"/>
          <c:order val="1"/>
          <c:tx>
            <c:strRef>
              <c:f>Lapas1!$A$284</c:f>
              <c:strCache>
                <c:ptCount val="1"/>
                <c:pt idx="0">
                  <c:v>Tiriamoji grupė</c:v>
                </c:pt>
              </c:strCache>
            </c:strRef>
          </c:tx>
          <c:spPr>
            <a:pattFill prst="pct70">
              <a:fgClr>
                <a:schemeClr val="accent2">
                  <a:lumMod val="75000"/>
                </a:schemeClr>
              </a:fgClr>
              <a:bgClr>
                <a:schemeClr val="bg1"/>
              </a:bgClr>
            </a:pattFill>
            <a:ln w="12700">
              <a:solidFill>
                <a:schemeClr val="tx1"/>
              </a:solidFill>
            </a:ln>
          </c:spPr>
          <c:invertIfNegative val="0"/>
          <c:dLbls>
            <c:dLbl>
              <c:idx val="0"/>
              <c:layout>
                <c:manualLayout>
                  <c:x val="-4.4123036215520552E-17"/>
                  <c:y val="-0.1388888888888889"/>
                </c:manualLayout>
              </c:layout>
              <c:dLblPos val="outEnd"/>
              <c:showLegendKey val="0"/>
              <c:showVal val="1"/>
              <c:showCatName val="0"/>
              <c:showSerName val="0"/>
              <c:showPercent val="0"/>
              <c:showBubbleSize val="0"/>
            </c:dLbl>
            <c:dLbl>
              <c:idx val="1"/>
              <c:layout>
                <c:manualLayout>
                  <c:x val="8.8246072431041104E-17"/>
                  <c:y val="-5.9523809523809521E-2"/>
                </c:manualLayout>
              </c:layout>
              <c:tx>
                <c:rich>
                  <a:bodyPr/>
                  <a:lstStyle/>
                  <a:p>
                    <a:r>
                      <a:rPr lang="lt-LT"/>
                      <a:t>0</a:t>
                    </a:r>
                    <a:r>
                      <a:rPr lang="en-US"/>
                      <a:t>,</a:t>
                    </a:r>
                    <a:r>
                      <a:rPr lang="lt-LT"/>
                      <a:t>75</a:t>
                    </a:r>
                    <a:endParaRPr lang="en-US"/>
                  </a:p>
                </c:rich>
              </c:tx>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errBars>
            <c:errBarType val="both"/>
            <c:errValType val="cust"/>
            <c:noEndCap val="0"/>
            <c:plus>
              <c:numRef>
                <c:f>Lapas1!$D$247:$D$248</c:f>
                <c:numCache>
                  <c:formatCode>General</c:formatCode>
                  <c:ptCount val="2"/>
                  <c:pt idx="0">
                    <c:v>1.2776266472769999</c:v>
                  </c:pt>
                  <c:pt idx="1">
                    <c:v>0.48321595661992001</c:v>
                  </c:pt>
                </c:numCache>
              </c:numRef>
            </c:plus>
            <c:minus>
              <c:numRef>
                <c:f>Lapas1!$D$247:$D$248</c:f>
                <c:numCache>
                  <c:formatCode>General</c:formatCode>
                  <c:ptCount val="2"/>
                  <c:pt idx="0">
                    <c:v>1.2776266472769999</c:v>
                  </c:pt>
                  <c:pt idx="1">
                    <c:v>0.48321595661992001</c:v>
                  </c:pt>
                </c:numCache>
              </c:numRef>
            </c:minus>
          </c:errBars>
          <c:cat>
            <c:strRef>
              <c:f>Lapas1!$B$267:$B$268</c:f>
              <c:strCache>
                <c:ptCount val="2"/>
                <c:pt idx="0">
                  <c:v>sustingimas prieš procedūras</c:v>
                </c:pt>
                <c:pt idx="1">
                  <c:v>sustingimas po procedūrų</c:v>
                </c:pt>
              </c:strCache>
            </c:strRef>
          </c:cat>
          <c:val>
            <c:numRef>
              <c:f>Lapas1!$B$250:$B$251</c:f>
              <c:numCache>
                <c:formatCode>####.00</c:formatCode>
                <c:ptCount val="2"/>
                <c:pt idx="0">
                  <c:v>4.6874999999999991</c:v>
                </c:pt>
                <c:pt idx="1">
                  <c:v>0.75000000000000011</c:v>
                </c:pt>
              </c:numCache>
            </c:numRef>
          </c:val>
        </c:ser>
        <c:dLbls>
          <c:dLblPos val="outEnd"/>
          <c:showLegendKey val="0"/>
          <c:showVal val="1"/>
          <c:showCatName val="0"/>
          <c:showSerName val="0"/>
          <c:showPercent val="0"/>
          <c:showBubbleSize val="0"/>
        </c:dLbls>
        <c:gapWidth val="150"/>
        <c:axId val="140354048"/>
        <c:axId val="34493504"/>
      </c:barChart>
      <c:catAx>
        <c:axId val="140354048"/>
        <c:scaling>
          <c:orientation val="minMax"/>
        </c:scaling>
        <c:delete val="0"/>
        <c:axPos val="b"/>
        <c:numFmt formatCode="General" sourceLinked="1"/>
        <c:majorTickMark val="out"/>
        <c:minorTickMark val="none"/>
        <c:tickLblPos val="nextTo"/>
        <c:crossAx val="34493504"/>
        <c:crosses val="autoZero"/>
        <c:auto val="1"/>
        <c:lblAlgn val="ctr"/>
        <c:lblOffset val="100"/>
        <c:noMultiLvlLbl val="0"/>
      </c:catAx>
      <c:valAx>
        <c:axId val="34493504"/>
        <c:scaling>
          <c:orientation val="minMax"/>
        </c:scaling>
        <c:delete val="0"/>
        <c:axPos val="l"/>
        <c:majorGridlines/>
        <c:title>
          <c:tx>
            <c:rich>
              <a:bodyPr rot="-5400000" vert="horz"/>
              <a:lstStyle/>
              <a:p>
                <a:pPr>
                  <a:defRPr/>
                </a:pPr>
                <a:r>
                  <a:rPr lang="lt-LT"/>
                  <a:t>balai </a:t>
                </a:r>
              </a:p>
            </c:rich>
          </c:tx>
          <c:layout>
            <c:manualLayout>
              <c:xMode val="edge"/>
              <c:yMode val="edge"/>
              <c:x val="1.6666761420165439E-2"/>
              <c:y val="0.40775590551181101"/>
            </c:manualLayout>
          </c:layout>
          <c:overlay val="0"/>
        </c:title>
        <c:numFmt formatCode="General" sourceLinked="0"/>
        <c:majorTickMark val="out"/>
        <c:minorTickMark val="none"/>
        <c:tickLblPos val="nextTo"/>
        <c:txPr>
          <a:bodyPr/>
          <a:lstStyle/>
          <a:p>
            <a:pPr>
              <a:defRPr sz="1000"/>
            </a:pPr>
            <a:endParaRPr lang="lt-LT"/>
          </a:p>
        </c:txPr>
        <c:crossAx val="140354048"/>
        <c:crosses val="autoZero"/>
        <c:crossBetween val="between"/>
      </c:valAx>
    </c:plotArea>
    <c:legend>
      <c:legendPos val="t"/>
      <c:layout>
        <c:manualLayout>
          <c:xMode val="edge"/>
          <c:yMode val="edge"/>
          <c:x val="0.26563518007902442"/>
          <c:y val="1.5873015873015872E-2"/>
          <c:w val="0.51686441721860577"/>
          <c:h val="7.1659167604049501E-2"/>
        </c:manualLayout>
      </c:layout>
      <c:overlay val="0"/>
      <c:txPr>
        <a:bodyPr/>
        <a:lstStyle/>
        <a:p>
          <a:pPr>
            <a:defRPr sz="1100"/>
          </a:pPr>
          <a:endParaRPr lang="lt-LT"/>
        </a:p>
      </c:txPr>
    </c:legend>
    <c:plotVisOnly val="1"/>
    <c:dispBlanksAs val="gap"/>
    <c:showDLblsOverMax val="0"/>
  </c:chart>
  <c:txPr>
    <a:bodyPr/>
    <a:lstStyle/>
    <a:p>
      <a:pPr>
        <a:defRPr sz="1200" b="1">
          <a:latin typeface="Times New Roman" panose="02020603050405020304" pitchFamily="18" charset="0"/>
          <a:cs typeface="Times New Roman" panose="02020603050405020304" pitchFamily="18" charset="0"/>
        </a:defRPr>
      </a:pPr>
      <a:endParaRPr lang="lt-LT"/>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88922368458455"/>
          <c:y val="0.11530996125484315"/>
          <c:w val="0.87711077631541545"/>
          <c:h val="0.76675321834770649"/>
        </c:manualLayout>
      </c:layout>
      <c:barChart>
        <c:barDir val="col"/>
        <c:grouping val="clustered"/>
        <c:varyColors val="0"/>
        <c:ser>
          <c:idx val="0"/>
          <c:order val="0"/>
          <c:tx>
            <c:strRef>
              <c:f>Lapas1!$A$283</c:f>
              <c:strCache>
                <c:ptCount val="1"/>
                <c:pt idx="0">
                  <c:v>Kontrolinė grupė</c:v>
                </c:pt>
              </c:strCache>
            </c:strRef>
          </c:tx>
          <c:spPr>
            <a:pattFill prst="pct70">
              <a:fgClr>
                <a:schemeClr val="tx1"/>
              </a:fgClr>
              <a:bgClr>
                <a:schemeClr val="bg1"/>
              </a:bgClr>
            </a:pattFill>
            <a:ln w="12700">
              <a:solidFill>
                <a:schemeClr val="tx1"/>
              </a:solidFill>
            </a:ln>
          </c:spPr>
          <c:invertIfNegative val="0"/>
          <c:dLbls>
            <c:dLbl>
              <c:idx val="0"/>
              <c:layout>
                <c:manualLayout>
                  <c:x val="0"/>
                  <c:y val="-0.10714285714285714"/>
                </c:manualLayout>
              </c:layout>
              <c:dLblPos val="outEnd"/>
              <c:showLegendKey val="0"/>
              <c:showVal val="1"/>
              <c:showCatName val="0"/>
              <c:showSerName val="0"/>
              <c:showPercent val="0"/>
              <c:showBubbleSize val="0"/>
            </c:dLbl>
            <c:dLbl>
              <c:idx val="1"/>
              <c:layout>
                <c:manualLayout>
                  <c:x val="-2.4067388688327317E-3"/>
                  <c:y val="-0.1388888888888889"/>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errBars>
            <c:errBarType val="both"/>
            <c:errValType val="cust"/>
            <c:noEndCap val="0"/>
            <c:plus>
              <c:numRef>
                <c:f>Lapas1!$C$273:$C$274</c:f>
                <c:numCache>
                  <c:formatCode>General</c:formatCode>
                  <c:ptCount val="2"/>
                  <c:pt idx="0">
                    <c:v>2.0547362752848</c:v>
                  </c:pt>
                  <c:pt idx="1">
                    <c:v>4.3387586631478996</c:v>
                  </c:pt>
                </c:numCache>
              </c:numRef>
            </c:plus>
            <c:minus>
              <c:numRef>
                <c:f>Lapas1!$C$273:$C$274</c:f>
                <c:numCache>
                  <c:formatCode>General</c:formatCode>
                  <c:ptCount val="2"/>
                  <c:pt idx="0">
                    <c:v>2.0547362752848</c:v>
                  </c:pt>
                  <c:pt idx="1">
                    <c:v>4.3387586631478996</c:v>
                  </c:pt>
                </c:numCache>
              </c:numRef>
            </c:minus>
          </c:errBars>
          <c:cat>
            <c:strRef>
              <c:f>Lapas1!$A$275:$A$276</c:f>
              <c:strCache>
                <c:ptCount val="2"/>
                <c:pt idx="0">
                  <c:v>raumenų jėga prieš procedūras</c:v>
                </c:pt>
                <c:pt idx="1">
                  <c:v>raumenų jėga po procedūrų</c:v>
                </c:pt>
              </c:strCache>
            </c:strRef>
          </c:cat>
          <c:val>
            <c:numRef>
              <c:f>Lapas1!$A$271:$B$271</c:f>
              <c:numCache>
                <c:formatCode>####.00</c:formatCode>
                <c:ptCount val="2"/>
                <c:pt idx="0">
                  <c:v>11.375</c:v>
                </c:pt>
                <c:pt idx="1">
                  <c:v>13.999999999999998</c:v>
                </c:pt>
              </c:numCache>
            </c:numRef>
          </c:val>
        </c:ser>
        <c:ser>
          <c:idx val="1"/>
          <c:order val="1"/>
          <c:tx>
            <c:strRef>
              <c:f>Lapas1!$A$284</c:f>
              <c:strCache>
                <c:ptCount val="1"/>
                <c:pt idx="0">
                  <c:v>Tiriamoji grupė</c:v>
                </c:pt>
              </c:strCache>
            </c:strRef>
          </c:tx>
          <c:spPr>
            <a:pattFill prst="pct70">
              <a:fgClr>
                <a:schemeClr val="accent2">
                  <a:lumMod val="75000"/>
                </a:schemeClr>
              </a:fgClr>
              <a:bgClr>
                <a:schemeClr val="bg1"/>
              </a:bgClr>
            </a:pattFill>
            <a:ln w="12700">
              <a:solidFill>
                <a:schemeClr val="tx1"/>
              </a:solidFill>
            </a:ln>
          </c:spPr>
          <c:invertIfNegative val="0"/>
          <c:dLbls>
            <c:dLbl>
              <c:idx val="0"/>
              <c:layout>
                <c:manualLayout>
                  <c:x val="4.4123036215520552E-17"/>
                  <c:y val="-0.11507936507936511"/>
                </c:manualLayout>
              </c:layout>
              <c:dLblPos val="outEnd"/>
              <c:showLegendKey val="0"/>
              <c:showVal val="1"/>
              <c:showCatName val="0"/>
              <c:showSerName val="0"/>
              <c:showPercent val="0"/>
              <c:showBubbleSize val="0"/>
            </c:dLbl>
            <c:dLbl>
              <c:idx val="1"/>
              <c:layout>
                <c:manualLayout>
                  <c:x val="0"/>
                  <c:y val="-0.16666666666666666"/>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errBars>
            <c:errBarType val="both"/>
            <c:errValType val="cust"/>
            <c:noEndCap val="0"/>
            <c:plus>
              <c:numRef>
                <c:f>Lapas1!$D$273:$D$274</c:f>
                <c:numCache>
                  <c:formatCode>General</c:formatCode>
                  <c:ptCount val="2"/>
                  <c:pt idx="0">
                    <c:v>2.6555251885470601</c:v>
                  </c:pt>
                  <c:pt idx="1">
                    <c:v>5.3297175604689997</c:v>
                  </c:pt>
                </c:numCache>
              </c:numRef>
            </c:plus>
            <c:minus>
              <c:numRef>
                <c:f>Lapas1!$D$273:$D$274</c:f>
                <c:numCache>
                  <c:formatCode>General</c:formatCode>
                  <c:ptCount val="2"/>
                  <c:pt idx="0">
                    <c:v>2.6555251885470601</c:v>
                  </c:pt>
                  <c:pt idx="1">
                    <c:v>5.3297175604689997</c:v>
                  </c:pt>
                </c:numCache>
              </c:numRef>
            </c:minus>
          </c:errBars>
          <c:cat>
            <c:strRef>
              <c:f>Lapas1!$A$275:$A$276</c:f>
              <c:strCache>
                <c:ptCount val="2"/>
                <c:pt idx="0">
                  <c:v>raumenų jėga prieš procedūras</c:v>
                </c:pt>
                <c:pt idx="1">
                  <c:v>raumenų jėga po procedūrų</c:v>
                </c:pt>
              </c:strCache>
            </c:strRef>
          </c:cat>
          <c:val>
            <c:numRef>
              <c:f>Lapas1!$A$272:$B$272</c:f>
              <c:numCache>
                <c:formatCode>####.00</c:formatCode>
                <c:ptCount val="2"/>
                <c:pt idx="0">
                  <c:v>9.1874999999999982</c:v>
                </c:pt>
                <c:pt idx="1">
                  <c:v>14.312500000000002</c:v>
                </c:pt>
              </c:numCache>
            </c:numRef>
          </c:val>
        </c:ser>
        <c:dLbls>
          <c:dLblPos val="outEnd"/>
          <c:showLegendKey val="0"/>
          <c:showVal val="1"/>
          <c:showCatName val="0"/>
          <c:showSerName val="0"/>
          <c:showPercent val="0"/>
          <c:showBubbleSize val="0"/>
        </c:dLbls>
        <c:gapWidth val="150"/>
        <c:axId val="140356608"/>
        <c:axId val="34495232"/>
      </c:barChart>
      <c:catAx>
        <c:axId val="140356608"/>
        <c:scaling>
          <c:orientation val="minMax"/>
        </c:scaling>
        <c:delete val="0"/>
        <c:axPos val="b"/>
        <c:numFmt formatCode="General" sourceLinked="1"/>
        <c:majorTickMark val="out"/>
        <c:minorTickMark val="none"/>
        <c:tickLblPos val="nextTo"/>
        <c:crossAx val="34495232"/>
        <c:crosses val="autoZero"/>
        <c:auto val="1"/>
        <c:lblAlgn val="ctr"/>
        <c:lblOffset val="100"/>
        <c:noMultiLvlLbl val="0"/>
      </c:catAx>
      <c:valAx>
        <c:axId val="34495232"/>
        <c:scaling>
          <c:orientation val="minMax"/>
        </c:scaling>
        <c:delete val="0"/>
        <c:axPos val="l"/>
        <c:majorGridlines/>
        <c:title>
          <c:tx>
            <c:rich>
              <a:bodyPr rot="-5400000" vert="horz"/>
              <a:lstStyle/>
              <a:p>
                <a:pPr>
                  <a:defRPr/>
                </a:pPr>
                <a:r>
                  <a:rPr lang="lt-LT"/>
                  <a:t>kilogramai </a:t>
                </a:r>
              </a:p>
            </c:rich>
          </c:tx>
          <c:layout>
            <c:manualLayout>
              <c:xMode val="edge"/>
              <c:yMode val="edge"/>
              <c:x val="1.6666761420165439E-2"/>
              <c:y val="0.40775590551181101"/>
            </c:manualLayout>
          </c:layout>
          <c:overlay val="0"/>
        </c:title>
        <c:numFmt formatCode="General" sourceLinked="0"/>
        <c:majorTickMark val="out"/>
        <c:minorTickMark val="none"/>
        <c:tickLblPos val="nextTo"/>
        <c:txPr>
          <a:bodyPr/>
          <a:lstStyle/>
          <a:p>
            <a:pPr>
              <a:defRPr sz="1000"/>
            </a:pPr>
            <a:endParaRPr lang="lt-LT"/>
          </a:p>
        </c:txPr>
        <c:crossAx val="140356608"/>
        <c:crosses val="autoZero"/>
        <c:crossBetween val="between"/>
      </c:valAx>
    </c:plotArea>
    <c:legend>
      <c:legendPos val="t"/>
      <c:layout>
        <c:manualLayout>
          <c:xMode val="edge"/>
          <c:yMode val="edge"/>
          <c:x val="0.26563518007902442"/>
          <c:y val="1.5873015873015872E-2"/>
          <c:w val="0.51686441721860577"/>
          <c:h val="7.1659167604049501E-2"/>
        </c:manualLayout>
      </c:layout>
      <c:overlay val="0"/>
      <c:txPr>
        <a:bodyPr/>
        <a:lstStyle/>
        <a:p>
          <a:pPr>
            <a:defRPr sz="1100"/>
          </a:pPr>
          <a:endParaRPr lang="lt-LT"/>
        </a:p>
      </c:txPr>
    </c:legend>
    <c:plotVisOnly val="1"/>
    <c:dispBlanksAs val="gap"/>
    <c:showDLblsOverMax val="0"/>
  </c:chart>
  <c:txPr>
    <a:bodyPr/>
    <a:lstStyle/>
    <a:p>
      <a:pPr>
        <a:defRPr sz="1200" b="1">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33668760718986"/>
          <c:y val="0.15896075490563677"/>
          <c:w val="0.86866331239281014"/>
          <c:h val="0.63976909136357951"/>
        </c:manualLayout>
      </c:layout>
      <c:barChart>
        <c:barDir val="col"/>
        <c:grouping val="clustered"/>
        <c:varyColors val="0"/>
        <c:ser>
          <c:idx val="0"/>
          <c:order val="0"/>
          <c:tx>
            <c:strRef>
              <c:f>Lapas1!$A$283</c:f>
              <c:strCache>
                <c:ptCount val="1"/>
                <c:pt idx="0">
                  <c:v>Kontrolinė grupė</c:v>
                </c:pt>
              </c:strCache>
            </c:strRef>
          </c:tx>
          <c:spPr>
            <a:pattFill prst="pct70">
              <a:fgClr>
                <a:schemeClr val="tx1"/>
              </a:fgClr>
              <a:bgClr>
                <a:schemeClr val="bg1"/>
              </a:bgClr>
            </a:pattFill>
            <a:ln w="12700">
              <a:solidFill>
                <a:schemeClr val="tx1"/>
              </a:solidFill>
            </a:ln>
          </c:spPr>
          <c:invertIfNegative val="0"/>
          <c:dLbls>
            <c:dLbl>
              <c:idx val="0"/>
              <c:layout>
                <c:manualLayout>
                  <c:x val="7.2200270995006928E-3"/>
                  <c:y val="-0.12301587301587298"/>
                </c:manualLayout>
              </c:layout>
              <c:dLblPos val="outEnd"/>
              <c:showLegendKey val="0"/>
              <c:showVal val="1"/>
              <c:showCatName val="0"/>
              <c:showSerName val="0"/>
              <c:showPercent val="0"/>
              <c:showBubbleSize val="0"/>
            </c:dLbl>
            <c:dLbl>
              <c:idx val="1"/>
              <c:layout>
                <c:manualLayout>
                  <c:x val="2.4067388688327317E-3"/>
                  <c:y val="-0.13888920134983126"/>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errBars>
            <c:errBarType val="both"/>
            <c:errValType val="cust"/>
            <c:noEndCap val="0"/>
            <c:plus>
              <c:numRef>
                <c:f>Lapas1!$B$383:$B$384</c:f>
                <c:numCache>
                  <c:formatCode>General</c:formatCode>
                  <c:ptCount val="2"/>
                  <c:pt idx="0">
                    <c:v>12.683322382824882</c:v>
                  </c:pt>
                  <c:pt idx="1">
                    <c:v>14.678782874157744</c:v>
                  </c:pt>
                </c:numCache>
              </c:numRef>
            </c:plus>
            <c:minus>
              <c:numRef>
                <c:f>Lapas1!$B$383:$B$384</c:f>
                <c:numCache>
                  <c:formatCode>General</c:formatCode>
                  <c:ptCount val="2"/>
                  <c:pt idx="0">
                    <c:v>12.683322382824882</c:v>
                  </c:pt>
                  <c:pt idx="1">
                    <c:v>14.678782874157744</c:v>
                  </c:pt>
                </c:numCache>
              </c:numRef>
            </c:minus>
          </c:errBars>
          <c:cat>
            <c:strRef>
              <c:f>Lapas1!$A$295:$A$296</c:f>
              <c:strCache>
                <c:ptCount val="2"/>
                <c:pt idx="0">
                  <c:v>plaštakos fleksija prieš                  procedūras</c:v>
                </c:pt>
                <c:pt idx="1">
                  <c:v>plaštakos fleksija po                  procedūrų</c:v>
                </c:pt>
              </c:strCache>
            </c:strRef>
          </c:cat>
          <c:val>
            <c:numRef>
              <c:f>Lapas1!$A$395:$A$396</c:f>
              <c:numCache>
                <c:formatCode>####.00</c:formatCode>
                <c:ptCount val="2"/>
                <c:pt idx="0">
                  <c:v>38.25</c:v>
                </c:pt>
                <c:pt idx="1">
                  <c:v>43.5</c:v>
                </c:pt>
              </c:numCache>
            </c:numRef>
          </c:val>
        </c:ser>
        <c:ser>
          <c:idx val="1"/>
          <c:order val="1"/>
          <c:tx>
            <c:strRef>
              <c:f>Lapas1!$A$284</c:f>
              <c:strCache>
                <c:ptCount val="1"/>
                <c:pt idx="0">
                  <c:v>Tiriamoji grupė</c:v>
                </c:pt>
              </c:strCache>
            </c:strRef>
          </c:tx>
          <c:spPr>
            <a:pattFill prst="pct70">
              <a:fgClr>
                <a:schemeClr val="accent2">
                  <a:lumMod val="75000"/>
                </a:schemeClr>
              </a:fgClr>
              <a:bgClr>
                <a:schemeClr val="bg1"/>
              </a:bgClr>
            </a:pattFill>
            <a:ln w="12700">
              <a:solidFill>
                <a:schemeClr val="tx1"/>
              </a:solidFill>
            </a:ln>
          </c:spPr>
          <c:invertIfNegative val="0"/>
          <c:dLbls>
            <c:dLbl>
              <c:idx val="0"/>
              <c:layout>
                <c:manualLayout>
                  <c:x val="2.406738868832776E-3"/>
                  <c:y val="-0.10317460317460321"/>
                </c:manualLayout>
              </c:layout>
              <c:dLblPos val="outEnd"/>
              <c:showLegendKey val="0"/>
              <c:showVal val="1"/>
              <c:showCatName val="0"/>
              <c:showSerName val="0"/>
              <c:showPercent val="0"/>
              <c:showBubbleSize val="0"/>
            </c:dLbl>
            <c:dLbl>
              <c:idx val="1"/>
              <c:layout>
                <c:manualLayout>
                  <c:x val="0"/>
                  <c:y val="-0.12698412698412703"/>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errBars>
            <c:errBarType val="both"/>
            <c:errValType val="cust"/>
            <c:noEndCap val="0"/>
            <c:plus>
              <c:numRef>
                <c:f>Lapas1!$B$386:$B$387</c:f>
                <c:numCache>
                  <c:formatCode>General</c:formatCode>
                  <c:ptCount val="2"/>
                  <c:pt idx="0">
                    <c:v>10.09599755678787</c:v>
                  </c:pt>
                  <c:pt idx="1">
                    <c:v>13.235684090115377</c:v>
                  </c:pt>
                </c:numCache>
              </c:numRef>
            </c:plus>
            <c:minus>
              <c:numRef>
                <c:f>Lapas1!$B$386:$B$387</c:f>
                <c:numCache>
                  <c:formatCode>General</c:formatCode>
                  <c:ptCount val="2"/>
                  <c:pt idx="0">
                    <c:v>10.09599755678787</c:v>
                  </c:pt>
                  <c:pt idx="1">
                    <c:v>13.235684090115377</c:v>
                  </c:pt>
                </c:numCache>
              </c:numRef>
            </c:minus>
          </c:errBars>
          <c:cat>
            <c:strRef>
              <c:f>Lapas1!$A$295:$A$296</c:f>
              <c:strCache>
                <c:ptCount val="2"/>
                <c:pt idx="0">
                  <c:v>plaštakos fleksija prieš                  procedūras</c:v>
                </c:pt>
                <c:pt idx="1">
                  <c:v>plaštakos fleksija po                  procedūrų</c:v>
                </c:pt>
              </c:strCache>
            </c:strRef>
          </c:cat>
          <c:val>
            <c:numRef>
              <c:f>Lapas1!$B$395:$B$396</c:f>
              <c:numCache>
                <c:formatCode>####.00</c:formatCode>
                <c:ptCount val="2"/>
                <c:pt idx="0">
                  <c:v>34.0625</c:v>
                </c:pt>
                <c:pt idx="1">
                  <c:v>46.875</c:v>
                </c:pt>
              </c:numCache>
            </c:numRef>
          </c:val>
        </c:ser>
        <c:dLbls>
          <c:dLblPos val="outEnd"/>
          <c:showLegendKey val="0"/>
          <c:showVal val="1"/>
          <c:showCatName val="0"/>
          <c:showSerName val="0"/>
          <c:showPercent val="0"/>
          <c:showBubbleSize val="0"/>
        </c:dLbls>
        <c:gapWidth val="150"/>
        <c:axId val="141071360"/>
        <c:axId val="140214848"/>
      </c:barChart>
      <c:catAx>
        <c:axId val="141071360"/>
        <c:scaling>
          <c:orientation val="minMax"/>
        </c:scaling>
        <c:delete val="0"/>
        <c:axPos val="b"/>
        <c:numFmt formatCode="General" sourceLinked="1"/>
        <c:majorTickMark val="out"/>
        <c:minorTickMark val="none"/>
        <c:tickLblPos val="nextTo"/>
        <c:crossAx val="140214848"/>
        <c:crosses val="autoZero"/>
        <c:auto val="1"/>
        <c:lblAlgn val="ctr"/>
        <c:lblOffset val="100"/>
        <c:noMultiLvlLbl val="0"/>
      </c:catAx>
      <c:valAx>
        <c:axId val="140214848"/>
        <c:scaling>
          <c:orientation val="minMax"/>
        </c:scaling>
        <c:delete val="0"/>
        <c:axPos val="l"/>
        <c:majorGridlines/>
        <c:title>
          <c:tx>
            <c:rich>
              <a:bodyPr rot="-5400000" vert="horz"/>
              <a:lstStyle/>
              <a:p>
                <a:pPr>
                  <a:defRPr/>
                </a:pPr>
                <a:r>
                  <a:rPr lang="lt-LT"/>
                  <a:t>laipsniai </a:t>
                </a:r>
              </a:p>
            </c:rich>
          </c:tx>
          <c:layout>
            <c:manualLayout>
              <c:xMode val="edge"/>
              <c:yMode val="edge"/>
              <c:x val="1.6666761420165439E-2"/>
              <c:y val="0.40775590551181101"/>
            </c:manualLayout>
          </c:layout>
          <c:overlay val="0"/>
        </c:title>
        <c:numFmt formatCode="General" sourceLinked="0"/>
        <c:majorTickMark val="out"/>
        <c:minorTickMark val="none"/>
        <c:tickLblPos val="nextTo"/>
        <c:txPr>
          <a:bodyPr/>
          <a:lstStyle/>
          <a:p>
            <a:pPr>
              <a:defRPr sz="1000"/>
            </a:pPr>
            <a:endParaRPr lang="lt-LT"/>
          </a:p>
        </c:txPr>
        <c:crossAx val="141071360"/>
        <c:crosses val="autoZero"/>
        <c:crossBetween val="between"/>
      </c:valAx>
    </c:plotArea>
    <c:legend>
      <c:legendPos val="t"/>
      <c:overlay val="0"/>
      <c:txPr>
        <a:bodyPr/>
        <a:lstStyle/>
        <a:p>
          <a:pPr>
            <a:defRPr sz="1100"/>
          </a:pPr>
          <a:endParaRPr lang="lt-LT"/>
        </a:p>
      </c:txPr>
    </c:legend>
    <c:plotVisOnly val="1"/>
    <c:dispBlanksAs val="gap"/>
    <c:showDLblsOverMax val="0"/>
  </c:chart>
  <c:txPr>
    <a:bodyPr/>
    <a:lstStyle/>
    <a:p>
      <a:pPr>
        <a:defRPr sz="1200" b="1">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33668760718986"/>
          <c:y val="0.15896075490563677"/>
          <c:w val="0.86866331239281014"/>
          <c:h val="0.63976909136357951"/>
        </c:manualLayout>
      </c:layout>
      <c:barChart>
        <c:barDir val="col"/>
        <c:grouping val="clustered"/>
        <c:varyColors val="0"/>
        <c:ser>
          <c:idx val="0"/>
          <c:order val="0"/>
          <c:tx>
            <c:strRef>
              <c:f>Lapas1!$A$283</c:f>
              <c:strCache>
                <c:ptCount val="1"/>
                <c:pt idx="0">
                  <c:v>Kontrolinė grupė</c:v>
                </c:pt>
              </c:strCache>
            </c:strRef>
          </c:tx>
          <c:spPr>
            <a:pattFill prst="pct70">
              <a:fgClr>
                <a:schemeClr val="tx1"/>
              </a:fgClr>
              <a:bgClr>
                <a:schemeClr val="bg1"/>
              </a:bgClr>
            </a:pattFill>
            <a:ln w="12700">
              <a:solidFill>
                <a:schemeClr val="tx1"/>
              </a:solidFill>
            </a:ln>
          </c:spPr>
          <c:invertIfNegative val="0"/>
          <c:dLbls>
            <c:dLbl>
              <c:idx val="0"/>
              <c:layout>
                <c:manualLayout>
                  <c:x val="-4.4123036215520552E-17"/>
                  <c:y val="-0.10317460317460321"/>
                </c:manualLayout>
              </c:layout>
              <c:dLblPos val="outEnd"/>
              <c:showLegendKey val="0"/>
              <c:showVal val="1"/>
              <c:showCatName val="0"/>
              <c:showSerName val="0"/>
              <c:showPercent val="0"/>
              <c:showBubbleSize val="0"/>
            </c:dLbl>
            <c:dLbl>
              <c:idx val="1"/>
              <c:layout>
                <c:manualLayout>
                  <c:x val="0"/>
                  <c:y val="-0.11507936507936507"/>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errBars>
            <c:errBarType val="both"/>
            <c:errValType val="cust"/>
            <c:noEndCap val="0"/>
            <c:plus>
              <c:numRef>
                <c:f>Lapas1!$C$298:$C$299</c:f>
                <c:numCache>
                  <c:formatCode>General</c:formatCode>
                  <c:ptCount val="2"/>
                  <c:pt idx="0">
                    <c:v>10.6924016643525</c:v>
                  </c:pt>
                  <c:pt idx="1">
                    <c:v>11.617336183480273</c:v>
                  </c:pt>
                </c:numCache>
              </c:numRef>
            </c:plus>
            <c:minus>
              <c:numRef>
                <c:f>Lapas1!$C$298:$C$299</c:f>
                <c:numCache>
                  <c:formatCode>General</c:formatCode>
                  <c:ptCount val="2"/>
                  <c:pt idx="0">
                    <c:v>10.6924016643525</c:v>
                  </c:pt>
                  <c:pt idx="1">
                    <c:v>11.617336183480273</c:v>
                  </c:pt>
                </c:numCache>
              </c:numRef>
            </c:minus>
          </c:errBars>
          <c:cat>
            <c:strRef>
              <c:f>Lapas1!$A$315:$A$316</c:f>
              <c:strCache>
                <c:ptCount val="2"/>
                <c:pt idx="0">
                  <c:v>plaštakos ekstenzija prieš            procedūras</c:v>
                </c:pt>
                <c:pt idx="1">
                  <c:v>plaštakos ekstenzija po                 procedūrų</c:v>
                </c:pt>
              </c:strCache>
            </c:strRef>
          </c:cat>
          <c:val>
            <c:numRef>
              <c:f>Lapas1!$A$304:$A$305</c:f>
              <c:numCache>
                <c:formatCode>####.0</c:formatCode>
                <c:ptCount val="2"/>
                <c:pt idx="0">
                  <c:v>36.5</c:v>
                </c:pt>
                <c:pt idx="1">
                  <c:v>41.625000000000007</c:v>
                </c:pt>
              </c:numCache>
            </c:numRef>
          </c:val>
        </c:ser>
        <c:ser>
          <c:idx val="1"/>
          <c:order val="1"/>
          <c:tx>
            <c:strRef>
              <c:f>Lapas1!$A$284</c:f>
              <c:strCache>
                <c:ptCount val="1"/>
                <c:pt idx="0">
                  <c:v>Tiriamoji grupė</c:v>
                </c:pt>
              </c:strCache>
            </c:strRef>
          </c:tx>
          <c:spPr>
            <a:pattFill prst="pct70">
              <a:fgClr>
                <a:schemeClr val="accent2">
                  <a:lumMod val="75000"/>
                </a:schemeClr>
              </a:fgClr>
              <a:bgClr>
                <a:schemeClr val="bg1"/>
              </a:bgClr>
            </a:pattFill>
            <a:ln w="12700">
              <a:solidFill>
                <a:schemeClr val="tx1"/>
              </a:solidFill>
            </a:ln>
          </c:spPr>
          <c:invertIfNegative val="0"/>
          <c:dLbls>
            <c:dLbl>
              <c:idx val="0"/>
              <c:layout>
                <c:manualLayout>
                  <c:x val="2.406738868832776E-3"/>
                  <c:y val="-0.10317460317460321"/>
                </c:manualLayout>
              </c:layout>
              <c:dLblPos val="outEnd"/>
              <c:showLegendKey val="0"/>
              <c:showVal val="1"/>
              <c:showCatName val="0"/>
              <c:showSerName val="0"/>
              <c:showPercent val="0"/>
              <c:showBubbleSize val="0"/>
            </c:dLbl>
            <c:dLbl>
              <c:idx val="1"/>
              <c:layout>
                <c:manualLayout>
                  <c:x val="0"/>
                  <c:y val="-0.12698412698412703"/>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errBars>
            <c:errBarType val="both"/>
            <c:errValType val="cust"/>
            <c:noEndCap val="0"/>
            <c:plus>
              <c:numRef>
                <c:f>Lapas1!$D$298:$D$299</c:f>
                <c:numCache>
                  <c:formatCode>General</c:formatCode>
                  <c:ptCount val="2"/>
                  <c:pt idx="0">
                    <c:v>10.3660016459673</c:v>
                  </c:pt>
                  <c:pt idx="1">
                    <c:v>12.914946121967887</c:v>
                  </c:pt>
                </c:numCache>
              </c:numRef>
            </c:plus>
            <c:minus>
              <c:numRef>
                <c:f>Lapas1!$D$298:$D$299</c:f>
                <c:numCache>
                  <c:formatCode>General</c:formatCode>
                  <c:ptCount val="2"/>
                  <c:pt idx="0">
                    <c:v>10.3660016459673</c:v>
                  </c:pt>
                  <c:pt idx="1">
                    <c:v>12.914946121967887</c:v>
                  </c:pt>
                </c:numCache>
              </c:numRef>
            </c:minus>
          </c:errBars>
          <c:cat>
            <c:strRef>
              <c:f>Lapas1!$A$315:$A$316</c:f>
              <c:strCache>
                <c:ptCount val="2"/>
                <c:pt idx="0">
                  <c:v>plaštakos ekstenzija prieš            procedūras</c:v>
                </c:pt>
                <c:pt idx="1">
                  <c:v>plaštakos ekstenzija po                 procedūrų</c:v>
                </c:pt>
              </c:strCache>
            </c:strRef>
          </c:cat>
          <c:val>
            <c:numRef>
              <c:f>Lapas1!$B$304:$B$305</c:f>
              <c:numCache>
                <c:formatCode>####.0</c:formatCode>
                <c:ptCount val="2"/>
                <c:pt idx="0">
                  <c:v>40.1875</c:v>
                </c:pt>
                <c:pt idx="1">
                  <c:v>50.5625</c:v>
                </c:pt>
              </c:numCache>
            </c:numRef>
          </c:val>
        </c:ser>
        <c:dLbls>
          <c:dLblPos val="outEnd"/>
          <c:showLegendKey val="0"/>
          <c:showVal val="1"/>
          <c:showCatName val="0"/>
          <c:showSerName val="0"/>
          <c:showPercent val="0"/>
          <c:showBubbleSize val="0"/>
        </c:dLbls>
        <c:gapWidth val="150"/>
        <c:axId val="140357120"/>
        <c:axId val="140216576"/>
      </c:barChart>
      <c:catAx>
        <c:axId val="140357120"/>
        <c:scaling>
          <c:orientation val="minMax"/>
        </c:scaling>
        <c:delete val="0"/>
        <c:axPos val="b"/>
        <c:numFmt formatCode="General" sourceLinked="1"/>
        <c:majorTickMark val="out"/>
        <c:minorTickMark val="none"/>
        <c:tickLblPos val="nextTo"/>
        <c:crossAx val="140216576"/>
        <c:crosses val="autoZero"/>
        <c:auto val="1"/>
        <c:lblAlgn val="ctr"/>
        <c:lblOffset val="100"/>
        <c:noMultiLvlLbl val="0"/>
      </c:catAx>
      <c:valAx>
        <c:axId val="140216576"/>
        <c:scaling>
          <c:orientation val="minMax"/>
        </c:scaling>
        <c:delete val="0"/>
        <c:axPos val="l"/>
        <c:majorGridlines/>
        <c:title>
          <c:tx>
            <c:rich>
              <a:bodyPr rot="-5400000" vert="horz"/>
              <a:lstStyle/>
              <a:p>
                <a:pPr>
                  <a:defRPr/>
                </a:pPr>
                <a:r>
                  <a:rPr lang="lt-LT"/>
                  <a:t>laipsniai </a:t>
                </a:r>
              </a:p>
            </c:rich>
          </c:tx>
          <c:layout>
            <c:manualLayout>
              <c:xMode val="edge"/>
              <c:yMode val="edge"/>
              <c:x val="1.6666761420165439E-2"/>
              <c:y val="0.40775590551181101"/>
            </c:manualLayout>
          </c:layout>
          <c:overlay val="0"/>
        </c:title>
        <c:numFmt formatCode="General" sourceLinked="0"/>
        <c:majorTickMark val="out"/>
        <c:minorTickMark val="none"/>
        <c:tickLblPos val="nextTo"/>
        <c:txPr>
          <a:bodyPr/>
          <a:lstStyle/>
          <a:p>
            <a:pPr>
              <a:defRPr sz="1000"/>
            </a:pPr>
            <a:endParaRPr lang="lt-LT"/>
          </a:p>
        </c:txPr>
        <c:crossAx val="140357120"/>
        <c:crosses val="autoZero"/>
        <c:crossBetween val="between"/>
      </c:valAx>
    </c:plotArea>
    <c:legend>
      <c:legendPos val="t"/>
      <c:overlay val="0"/>
      <c:txPr>
        <a:bodyPr/>
        <a:lstStyle/>
        <a:p>
          <a:pPr>
            <a:defRPr sz="1100"/>
          </a:pPr>
          <a:endParaRPr lang="lt-LT"/>
        </a:p>
      </c:txPr>
    </c:legend>
    <c:plotVisOnly val="1"/>
    <c:dispBlanksAs val="gap"/>
    <c:showDLblsOverMax val="0"/>
  </c:chart>
  <c:txPr>
    <a:bodyPr/>
    <a:lstStyle/>
    <a:p>
      <a:pPr>
        <a:defRPr sz="1200" b="1">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33668760718986"/>
          <c:y val="0.15896075490563677"/>
          <c:w val="0.86866331239281014"/>
          <c:h val="0.63976909136357951"/>
        </c:manualLayout>
      </c:layout>
      <c:barChart>
        <c:barDir val="col"/>
        <c:grouping val="clustered"/>
        <c:varyColors val="0"/>
        <c:ser>
          <c:idx val="0"/>
          <c:order val="0"/>
          <c:tx>
            <c:strRef>
              <c:f>Lapas1!$A$283</c:f>
              <c:strCache>
                <c:ptCount val="1"/>
                <c:pt idx="0">
                  <c:v>Kontrolinė grupė</c:v>
                </c:pt>
              </c:strCache>
            </c:strRef>
          </c:tx>
          <c:spPr>
            <a:pattFill prst="pct70">
              <a:fgClr>
                <a:schemeClr val="tx1"/>
              </a:fgClr>
              <a:bgClr>
                <a:schemeClr val="bg1"/>
              </a:bgClr>
            </a:pattFill>
            <a:ln w="12700">
              <a:solidFill>
                <a:schemeClr val="tx1"/>
              </a:solidFill>
            </a:ln>
          </c:spPr>
          <c:invertIfNegative val="0"/>
          <c:dLbls>
            <c:dLbl>
              <c:idx val="0"/>
              <c:layout>
                <c:manualLayout>
                  <c:x val="0"/>
                  <c:y val="-0.14682539682539683"/>
                </c:manualLayout>
              </c:layout>
              <c:dLblPos val="outEnd"/>
              <c:showLegendKey val="0"/>
              <c:showVal val="1"/>
              <c:showCatName val="0"/>
              <c:showSerName val="0"/>
              <c:showPercent val="0"/>
              <c:showBubbleSize val="0"/>
            </c:dLbl>
            <c:dLbl>
              <c:idx val="1"/>
              <c:layout>
                <c:manualLayout>
                  <c:x val="-2.4067388688327317E-3"/>
                  <c:y val="-0.16269872515935507"/>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errBars>
            <c:errBarType val="both"/>
            <c:errValType val="cust"/>
            <c:noEndCap val="0"/>
            <c:plus>
              <c:numRef>
                <c:f>Lapas1!$C$319:$C$320</c:f>
                <c:numCache>
                  <c:formatCode>General</c:formatCode>
                  <c:ptCount val="2"/>
                  <c:pt idx="0">
                    <c:v>8.4060989763385496</c:v>
                  </c:pt>
                  <c:pt idx="1">
                    <c:v>9.8310731865854812</c:v>
                  </c:pt>
                </c:numCache>
              </c:numRef>
            </c:plus>
            <c:minus>
              <c:numRef>
                <c:f>Lapas1!$C$319:$C$320</c:f>
                <c:numCache>
                  <c:formatCode>General</c:formatCode>
                  <c:ptCount val="2"/>
                  <c:pt idx="0">
                    <c:v>8.4060989763385496</c:v>
                  </c:pt>
                  <c:pt idx="1">
                    <c:v>9.8310731865854812</c:v>
                  </c:pt>
                </c:numCache>
              </c:numRef>
            </c:minus>
          </c:errBars>
          <c:cat>
            <c:strRef>
              <c:f>Lapas1!$A$323:$A$324</c:f>
              <c:strCache>
                <c:ptCount val="2"/>
                <c:pt idx="0">
                  <c:v>ulnarinė deviacija prieš procedūras</c:v>
                </c:pt>
                <c:pt idx="1">
                  <c:v>ulnarinė deviacija po               procedūrų</c:v>
                </c:pt>
              </c:strCache>
            </c:strRef>
          </c:cat>
          <c:val>
            <c:numRef>
              <c:f>Lapas1!$A$325:$A$326</c:f>
              <c:numCache>
                <c:formatCode>####.0</c:formatCode>
                <c:ptCount val="2"/>
                <c:pt idx="0">
                  <c:v>23.4375</c:v>
                </c:pt>
                <c:pt idx="1">
                  <c:v>26.9375</c:v>
                </c:pt>
              </c:numCache>
            </c:numRef>
          </c:val>
        </c:ser>
        <c:ser>
          <c:idx val="1"/>
          <c:order val="1"/>
          <c:tx>
            <c:strRef>
              <c:f>Lapas1!$A$284</c:f>
              <c:strCache>
                <c:ptCount val="1"/>
                <c:pt idx="0">
                  <c:v>Tiriamoji grupė</c:v>
                </c:pt>
              </c:strCache>
            </c:strRef>
          </c:tx>
          <c:spPr>
            <a:pattFill prst="pct70">
              <a:fgClr>
                <a:schemeClr val="accent2">
                  <a:lumMod val="75000"/>
                </a:schemeClr>
              </a:fgClr>
              <a:bgClr>
                <a:schemeClr val="bg1"/>
              </a:bgClr>
            </a:pattFill>
            <a:ln w="12700">
              <a:solidFill>
                <a:schemeClr val="tx1"/>
              </a:solidFill>
            </a:ln>
          </c:spPr>
          <c:invertIfNegative val="0"/>
          <c:dLbls>
            <c:dLbl>
              <c:idx val="0"/>
              <c:layout>
                <c:manualLayout>
                  <c:x val="2.406738868832776E-3"/>
                  <c:y val="-0.1626984126984127"/>
                </c:manualLayout>
              </c:layout>
              <c:dLblPos val="outEnd"/>
              <c:showLegendKey val="0"/>
              <c:showVal val="1"/>
              <c:showCatName val="0"/>
              <c:showSerName val="0"/>
              <c:showPercent val="0"/>
              <c:showBubbleSize val="0"/>
            </c:dLbl>
            <c:dLbl>
              <c:idx val="1"/>
              <c:layout>
                <c:manualLayout>
                  <c:x val="0"/>
                  <c:y val="-0.15079396325459318"/>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errBars>
            <c:errBarType val="both"/>
            <c:errValType val="cust"/>
            <c:noEndCap val="0"/>
            <c:plus>
              <c:numRef>
                <c:f>Lapas1!$D$319:$D$320</c:f>
                <c:numCache>
                  <c:formatCode>General</c:formatCode>
                  <c:ptCount val="2"/>
                  <c:pt idx="0">
                    <c:v>9.8554130642336162</c:v>
                  </c:pt>
                  <c:pt idx="1">
                    <c:v>9.3877136016533171</c:v>
                  </c:pt>
                </c:numCache>
              </c:numRef>
            </c:plus>
            <c:minus>
              <c:numRef>
                <c:f>Lapas1!$D$319:$D$320</c:f>
                <c:numCache>
                  <c:formatCode>General</c:formatCode>
                  <c:ptCount val="2"/>
                  <c:pt idx="0">
                    <c:v>9.8554130642336162</c:v>
                  </c:pt>
                  <c:pt idx="1">
                    <c:v>9.3877136016533171</c:v>
                  </c:pt>
                </c:numCache>
              </c:numRef>
            </c:minus>
          </c:errBars>
          <c:cat>
            <c:strRef>
              <c:f>Lapas1!$A$323:$A$324</c:f>
              <c:strCache>
                <c:ptCount val="2"/>
                <c:pt idx="0">
                  <c:v>ulnarinė deviacija prieš procedūras</c:v>
                </c:pt>
                <c:pt idx="1">
                  <c:v>ulnarinė deviacija po               procedūrų</c:v>
                </c:pt>
              </c:strCache>
            </c:strRef>
          </c:cat>
          <c:val>
            <c:numRef>
              <c:f>Lapas1!$B$325:$B$326</c:f>
              <c:numCache>
                <c:formatCode>####.0</c:formatCode>
                <c:ptCount val="2"/>
                <c:pt idx="0">
                  <c:v>24.625</c:v>
                </c:pt>
                <c:pt idx="1">
                  <c:v>28.5625</c:v>
                </c:pt>
              </c:numCache>
            </c:numRef>
          </c:val>
        </c:ser>
        <c:dLbls>
          <c:dLblPos val="outEnd"/>
          <c:showLegendKey val="0"/>
          <c:showVal val="1"/>
          <c:showCatName val="0"/>
          <c:showSerName val="0"/>
          <c:showPercent val="0"/>
          <c:showBubbleSize val="0"/>
        </c:dLbls>
        <c:gapWidth val="150"/>
        <c:axId val="141073920"/>
        <c:axId val="140218304"/>
      </c:barChart>
      <c:catAx>
        <c:axId val="141073920"/>
        <c:scaling>
          <c:orientation val="minMax"/>
        </c:scaling>
        <c:delete val="0"/>
        <c:axPos val="b"/>
        <c:numFmt formatCode="General" sourceLinked="1"/>
        <c:majorTickMark val="out"/>
        <c:minorTickMark val="none"/>
        <c:tickLblPos val="nextTo"/>
        <c:crossAx val="140218304"/>
        <c:crosses val="autoZero"/>
        <c:auto val="1"/>
        <c:lblAlgn val="ctr"/>
        <c:lblOffset val="100"/>
        <c:noMultiLvlLbl val="0"/>
      </c:catAx>
      <c:valAx>
        <c:axId val="140218304"/>
        <c:scaling>
          <c:orientation val="minMax"/>
        </c:scaling>
        <c:delete val="0"/>
        <c:axPos val="l"/>
        <c:majorGridlines/>
        <c:title>
          <c:tx>
            <c:rich>
              <a:bodyPr rot="-5400000" vert="horz"/>
              <a:lstStyle/>
              <a:p>
                <a:pPr>
                  <a:defRPr/>
                </a:pPr>
                <a:r>
                  <a:rPr lang="lt-LT"/>
                  <a:t>laipsniai </a:t>
                </a:r>
              </a:p>
            </c:rich>
          </c:tx>
          <c:layout>
            <c:manualLayout>
              <c:xMode val="edge"/>
              <c:yMode val="edge"/>
              <c:x val="1.6666761420165439E-2"/>
              <c:y val="0.40775590551181101"/>
            </c:manualLayout>
          </c:layout>
          <c:overlay val="0"/>
        </c:title>
        <c:numFmt formatCode="General" sourceLinked="0"/>
        <c:majorTickMark val="out"/>
        <c:minorTickMark val="none"/>
        <c:tickLblPos val="nextTo"/>
        <c:txPr>
          <a:bodyPr/>
          <a:lstStyle/>
          <a:p>
            <a:pPr>
              <a:defRPr sz="1000"/>
            </a:pPr>
            <a:endParaRPr lang="lt-LT"/>
          </a:p>
        </c:txPr>
        <c:crossAx val="141073920"/>
        <c:crosses val="autoZero"/>
        <c:crossBetween val="between"/>
      </c:valAx>
    </c:plotArea>
    <c:legend>
      <c:legendPos val="t"/>
      <c:overlay val="0"/>
      <c:txPr>
        <a:bodyPr/>
        <a:lstStyle/>
        <a:p>
          <a:pPr>
            <a:defRPr sz="1100"/>
          </a:pPr>
          <a:endParaRPr lang="lt-LT"/>
        </a:p>
      </c:txPr>
    </c:legend>
    <c:plotVisOnly val="1"/>
    <c:dispBlanksAs val="gap"/>
    <c:showDLblsOverMax val="0"/>
  </c:chart>
  <c:txPr>
    <a:bodyPr/>
    <a:lstStyle/>
    <a:p>
      <a:pPr>
        <a:defRPr sz="1200" b="1">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Lapas3!$A$1:$A$4</c:f>
              <c:strCache>
                <c:ptCount val="4"/>
                <c:pt idx="0">
                  <c:v>iki 44 m.</c:v>
                </c:pt>
                <c:pt idx="1">
                  <c:v>45 - 59 m.</c:v>
                </c:pt>
                <c:pt idx="2">
                  <c:v>60 - 74 m.</c:v>
                </c:pt>
                <c:pt idx="3">
                  <c:v>virš 75 m.</c:v>
                </c:pt>
              </c:strCache>
            </c:strRef>
          </c:cat>
          <c:val>
            <c:numRef>
              <c:f>Lapas3!$B$1:$B$4</c:f>
              <c:numCache>
                <c:formatCode>General</c:formatCode>
                <c:ptCount val="4"/>
                <c:pt idx="0">
                  <c:v>5</c:v>
                </c:pt>
                <c:pt idx="1">
                  <c:v>5</c:v>
                </c:pt>
                <c:pt idx="2">
                  <c:v>6</c:v>
                </c:pt>
                <c:pt idx="3">
                  <c:v>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33668760718986"/>
          <c:y val="0.15896075490563677"/>
          <c:w val="0.86866331239281014"/>
          <c:h val="0.63976909136357951"/>
        </c:manualLayout>
      </c:layout>
      <c:barChart>
        <c:barDir val="col"/>
        <c:grouping val="clustered"/>
        <c:varyColors val="0"/>
        <c:ser>
          <c:idx val="0"/>
          <c:order val="0"/>
          <c:tx>
            <c:strRef>
              <c:f>Lapas1!$A$283</c:f>
              <c:strCache>
                <c:ptCount val="1"/>
                <c:pt idx="0">
                  <c:v>Kontrolinė grupė</c:v>
                </c:pt>
              </c:strCache>
            </c:strRef>
          </c:tx>
          <c:spPr>
            <a:pattFill prst="pct70">
              <a:fgClr>
                <a:schemeClr val="tx1"/>
              </a:fgClr>
              <a:bgClr>
                <a:schemeClr val="bg1"/>
              </a:bgClr>
            </a:pattFill>
            <a:ln w="12700">
              <a:solidFill>
                <a:schemeClr val="tx1"/>
              </a:solidFill>
            </a:ln>
          </c:spPr>
          <c:invertIfNegative val="0"/>
          <c:dLbls>
            <c:dLbl>
              <c:idx val="0"/>
              <c:layout>
                <c:manualLayout>
                  <c:x val="-4.4123036215520552E-17"/>
                  <c:y val="-0.19047619047619052"/>
                </c:manualLayout>
              </c:layout>
              <c:dLblPos val="outEnd"/>
              <c:showLegendKey val="0"/>
              <c:showVal val="1"/>
              <c:showCatName val="0"/>
              <c:showSerName val="0"/>
              <c:showPercent val="0"/>
              <c:showBubbleSize val="0"/>
            </c:dLbl>
            <c:dLbl>
              <c:idx val="1"/>
              <c:layout>
                <c:manualLayout>
                  <c:x val="0"/>
                  <c:y val="-0.13492063492063497"/>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errBars>
            <c:errBarType val="both"/>
            <c:errValType val="cust"/>
            <c:noEndCap val="0"/>
            <c:plus>
              <c:numRef>
                <c:f>Lapas1!$C$339:$C$340</c:f>
                <c:numCache>
                  <c:formatCode>General</c:formatCode>
                  <c:ptCount val="2"/>
                  <c:pt idx="0">
                    <c:v>7.0320693966996659</c:v>
                  </c:pt>
                  <c:pt idx="1">
                    <c:v>5.0315670189978254</c:v>
                  </c:pt>
                </c:numCache>
              </c:numRef>
            </c:plus>
            <c:minus>
              <c:numRef>
                <c:f>Lapas1!$C$339:$C$340</c:f>
                <c:numCache>
                  <c:formatCode>General</c:formatCode>
                  <c:ptCount val="2"/>
                  <c:pt idx="0">
                    <c:v>7.0320693966996659</c:v>
                  </c:pt>
                  <c:pt idx="1">
                    <c:v>5.0315670189978254</c:v>
                  </c:pt>
                </c:numCache>
              </c:numRef>
            </c:minus>
          </c:errBars>
          <c:cat>
            <c:strRef>
              <c:f>Lapas1!$A$343:$A$344</c:f>
              <c:strCache>
                <c:ptCount val="2"/>
                <c:pt idx="0">
                  <c:v>radialinė deviacija prieš procedūras</c:v>
                </c:pt>
                <c:pt idx="1">
                  <c:v>radialinė deviacija po         procedūrų</c:v>
                </c:pt>
              </c:strCache>
            </c:strRef>
          </c:cat>
          <c:val>
            <c:numRef>
              <c:f>Lapas1!$A$346:$A$347</c:f>
              <c:numCache>
                <c:formatCode>####.0</c:formatCode>
                <c:ptCount val="2"/>
                <c:pt idx="0">
                  <c:v>10.875000000000002</c:v>
                </c:pt>
                <c:pt idx="1">
                  <c:v>13.687500000000002</c:v>
                </c:pt>
              </c:numCache>
            </c:numRef>
          </c:val>
        </c:ser>
        <c:ser>
          <c:idx val="1"/>
          <c:order val="1"/>
          <c:tx>
            <c:strRef>
              <c:f>Lapas1!$A$284</c:f>
              <c:strCache>
                <c:ptCount val="1"/>
                <c:pt idx="0">
                  <c:v>Tiriamoji grupė</c:v>
                </c:pt>
              </c:strCache>
            </c:strRef>
          </c:tx>
          <c:spPr>
            <a:pattFill prst="pct70">
              <a:fgClr>
                <a:schemeClr val="accent2">
                  <a:lumMod val="75000"/>
                </a:schemeClr>
              </a:fgClr>
              <a:bgClr>
                <a:schemeClr val="bg1"/>
              </a:bgClr>
            </a:pattFill>
            <a:ln w="12700">
              <a:solidFill>
                <a:schemeClr val="tx1"/>
              </a:solidFill>
            </a:ln>
          </c:spPr>
          <c:invertIfNegative val="0"/>
          <c:dLbls>
            <c:dLbl>
              <c:idx val="0"/>
              <c:layout>
                <c:manualLayout>
                  <c:x val="4.4123036215520552E-17"/>
                  <c:y val="-0.17857142857142858"/>
                </c:manualLayout>
              </c:layout>
              <c:dLblPos val="outEnd"/>
              <c:showLegendKey val="0"/>
              <c:showVal val="1"/>
              <c:showCatName val="0"/>
              <c:showSerName val="0"/>
              <c:showPercent val="0"/>
              <c:showBubbleSize val="0"/>
            </c:dLbl>
            <c:dLbl>
              <c:idx val="1"/>
              <c:layout>
                <c:manualLayout>
                  <c:x val="0"/>
                  <c:y val="-7.1428571428571425E-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errBars>
            <c:errBarType val="both"/>
            <c:errValType val="cust"/>
            <c:noEndCap val="0"/>
            <c:plus>
              <c:numRef>
                <c:f>Lapas1!$D$339:$D$340</c:f>
                <c:numCache>
                  <c:formatCode>General</c:formatCode>
                  <c:ptCount val="2"/>
                  <c:pt idx="0">
                    <c:v>6.7697242681417</c:v>
                  </c:pt>
                  <c:pt idx="1">
                    <c:v>2.6551836094703503</c:v>
                  </c:pt>
                </c:numCache>
              </c:numRef>
            </c:plus>
            <c:minus>
              <c:numRef>
                <c:f>Lapas1!$D$339:$D$340</c:f>
                <c:numCache>
                  <c:formatCode>General</c:formatCode>
                  <c:ptCount val="2"/>
                  <c:pt idx="0">
                    <c:v>6.7697242681417</c:v>
                  </c:pt>
                  <c:pt idx="1">
                    <c:v>2.6551836094703503</c:v>
                  </c:pt>
                </c:numCache>
              </c:numRef>
            </c:minus>
          </c:errBars>
          <c:cat>
            <c:strRef>
              <c:f>Lapas1!$A$343:$A$344</c:f>
              <c:strCache>
                <c:ptCount val="2"/>
                <c:pt idx="0">
                  <c:v>radialinė deviacija prieš procedūras</c:v>
                </c:pt>
                <c:pt idx="1">
                  <c:v>radialinė deviacija po         procedūrų</c:v>
                </c:pt>
              </c:strCache>
            </c:strRef>
          </c:cat>
          <c:val>
            <c:numRef>
              <c:f>Lapas1!$B$346:$B$347</c:f>
              <c:numCache>
                <c:formatCode>####.0</c:formatCode>
                <c:ptCount val="2"/>
                <c:pt idx="0">
                  <c:v>12.375</c:v>
                </c:pt>
                <c:pt idx="1">
                  <c:v>17.875</c:v>
                </c:pt>
              </c:numCache>
            </c:numRef>
          </c:val>
        </c:ser>
        <c:dLbls>
          <c:dLblPos val="outEnd"/>
          <c:showLegendKey val="0"/>
          <c:showVal val="1"/>
          <c:showCatName val="0"/>
          <c:showSerName val="0"/>
          <c:showPercent val="0"/>
          <c:showBubbleSize val="0"/>
        </c:dLbls>
        <c:gapWidth val="150"/>
        <c:axId val="141070336"/>
        <c:axId val="140220032"/>
      </c:barChart>
      <c:catAx>
        <c:axId val="141070336"/>
        <c:scaling>
          <c:orientation val="minMax"/>
        </c:scaling>
        <c:delete val="0"/>
        <c:axPos val="b"/>
        <c:numFmt formatCode="General" sourceLinked="1"/>
        <c:majorTickMark val="out"/>
        <c:minorTickMark val="none"/>
        <c:tickLblPos val="nextTo"/>
        <c:crossAx val="140220032"/>
        <c:crosses val="autoZero"/>
        <c:auto val="1"/>
        <c:lblAlgn val="ctr"/>
        <c:lblOffset val="100"/>
        <c:noMultiLvlLbl val="0"/>
      </c:catAx>
      <c:valAx>
        <c:axId val="140220032"/>
        <c:scaling>
          <c:orientation val="minMax"/>
        </c:scaling>
        <c:delete val="0"/>
        <c:axPos val="l"/>
        <c:majorGridlines/>
        <c:title>
          <c:tx>
            <c:rich>
              <a:bodyPr rot="-5400000" vert="horz"/>
              <a:lstStyle/>
              <a:p>
                <a:pPr>
                  <a:defRPr/>
                </a:pPr>
                <a:r>
                  <a:rPr lang="lt-LT"/>
                  <a:t>laipsniai </a:t>
                </a:r>
              </a:p>
            </c:rich>
          </c:tx>
          <c:layout>
            <c:manualLayout>
              <c:xMode val="edge"/>
              <c:yMode val="edge"/>
              <c:x val="1.6666761420165439E-2"/>
              <c:y val="0.40775590551181101"/>
            </c:manualLayout>
          </c:layout>
          <c:overlay val="0"/>
        </c:title>
        <c:numFmt formatCode="General" sourceLinked="0"/>
        <c:majorTickMark val="out"/>
        <c:minorTickMark val="none"/>
        <c:tickLblPos val="nextTo"/>
        <c:txPr>
          <a:bodyPr/>
          <a:lstStyle/>
          <a:p>
            <a:pPr>
              <a:defRPr sz="1000"/>
            </a:pPr>
            <a:endParaRPr lang="lt-LT"/>
          </a:p>
        </c:txPr>
        <c:crossAx val="141070336"/>
        <c:crosses val="autoZero"/>
        <c:crossBetween val="between"/>
      </c:valAx>
    </c:plotArea>
    <c:legend>
      <c:legendPos val="t"/>
      <c:overlay val="0"/>
      <c:txPr>
        <a:bodyPr/>
        <a:lstStyle/>
        <a:p>
          <a:pPr>
            <a:defRPr sz="1100"/>
          </a:pPr>
          <a:endParaRPr lang="lt-LT"/>
        </a:p>
      </c:txPr>
    </c:legend>
    <c:plotVisOnly val="1"/>
    <c:dispBlanksAs val="gap"/>
    <c:showDLblsOverMax val="0"/>
  </c:chart>
  <c:txPr>
    <a:bodyPr/>
    <a:lstStyle/>
    <a:p>
      <a:pPr>
        <a:defRPr sz="1200" b="1">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33668760718986"/>
          <c:y val="0.15896075490563677"/>
          <c:w val="0.86866331239281014"/>
          <c:h val="0.67910033369722589"/>
        </c:manualLayout>
      </c:layout>
      <c:barChart>
        <c:barDir val="col"/>
        <c:grouping val="clustered"/>
        <c:varyColors val="0"/>
        <c:ser>
          <c:idx val="0"/>
          <c:order val="0"/>
          <c:tx>
            <c:strRef>
              <c:f>Lapas1!$A$283</c:f>
              <c:strCache>
                <c:ptCount val="1"/>
                <c:pt idx="0">
                  <c:v>Kontrolinė grupė</c:v>
                </c:pt>
              </c:strCache>
            </c:strRef>
          </c:tx>
          <c:spPr>
            <a:pattFill prst="pct70">
              <a:fgClr>
                <a:schemeClr val="tx1"/>
              </a:fgClr>
              <a:bgClr>
                <a:schemeClr val="bg1"/>
              </a:bgClr>
            </a:pattFill>
            <a:ln w="12700">
              <a:solidFill>
                <a:schemeClr val="tx1"/>
              </a:solidFill>
            </a:ln>
          </c:spPr>
          <c:invertIfNegative val="0"/>
          <c:dLbls>
            <c:dLbl>
              <c:idx val="0"/>
              <c:layout>
                <c:manualLayout>
                  <c:x val="0"/>
                  <c:y val="-6.2930186823992165E-2"/>
                </c:manualLayout>
              </c:layout>
              <c:spPr/>
              <c:txPr>
                <a:bodyPr/>
                <a:lstStyle/>
                <a:p>
                  <a:pPr>
                    <a:defRPr/>
                  </a:pPr>
                  <a:endParaRPr lang="lt-LT"/>
                </a:p>
              </c:txPr>
              <c:dLblPos val="outEnd"/>
              <c:showLegendKey val="0"/>
              <c:showVal val="1"/>
              <c:showCatName val="0"/>
              <c:showSerName val="0"/>
              <c:showPercent val="0"/>
              <c:showBubbleSize val="0"/>
            </c:dLbl>
            <c:dLbl>
              <c:idx val="1"/>
              <c:layout>
                <c:manualLayout>
                  <c:x val="0"/>
                  <c:y val="-7.0796460176991149E-2"/>
                </c:manualLayout>
              </c:layout>
              <c:spPr/>
              <c:txPr>
                <a:bodyPr/>
                <a:lstStyle/>
                <a:p>
                  <a:pPr>
                    <a:defRPr/>
                  </a:pPr>
                  <a:endParaRPr lang="lt-LT"/>
                </a:p>
              </c:txPr>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errBars>
            <c:errBarType val="both"/>
            <c:errValType val="cust"/>
            <c:noEndCap val="0"/>
            <c:plus>
              <c:numRef>
                <c:f>Lapas1!$C$372:$C$373</c:f>
                <c:numCache>
                  <c:formatCode>General</c:formatCode>
                  <c:ptCount val="2"/>
                  <c:pt idx="0">
                    <c:v>5.0294963299850739</c:v>
                  </c:pt>
                  <c:pt idx="1">
                    <c:v>5.3040864749109566</c:v>
                  </c:pt>
                </c:numCache>
              </c:numRef>
            </c:plus>
            <c:minus>
              <c:numRef>
                <c:f>Lapas1!$C$372:$C$373</c:f>
                <c:numCache>
                  <c:formatCode>General</c:formatCode>
                  <c:ptCount val="2"/>
                  <c:pt idx="0">
                    <c:v>5.0294963299850739</c:v>
                  </c:pt>
                  <c:pt idx="1">
                    <c:v>5.3040864749109566</c:v>
                  </c:pt>
                </c:numCache>
              </c:numRef>
            </c:minus>
          </c:errBars>
          <c:cat>
            <c:strRef>
              <c:f>Lapas1!$A$364:$A$365</c:f>
              <c:strCache>
                <c:ptCount val="2"/>
                <c:pt idx="0">
                  <c:v>Keitelio indeksas prieš          procedūras</c:v>
                </c:pt>
                <c:pt idx="1">
                  <c:v>Keitelio indeksas po          procedūrų</c:v>
                </c:pt>
              </c:strCache>
            </c:strRef>
          </c:cat>
          <c:val>
            <c:numRef>
              <c:f>Lapas1!$A$372:$A$373</c:f>
              <c:numCache>
                <c:formatCode>####.00</c:formatCode>
                <c:ptCount val="2"/>
                <c:pt idx="0">
                  <c:v>40.6875</c:v>
                </c:pt>
                <c:pt idx="1">
                  <c:v>43.499999999999993</c:v>
                </c:pt>
              </c:numCache>
            </c:numRef>
          </c:val>
        </c:ser>
        <c:ser>
          <c:idx val="1"/>
          <c:order val="1"/>
          <c:tx>
            <c:strRef>
              <c:f>Lapas1!$A$284</c:f>
              <c:strCache>
                <c:ptCount val="1"/>
                <c:pt idx="0">
                  <c:v>Tiriamoji grupė</c:v>
                </c:pt>
              </c:strCache>
            </c:strRef>
          </c:tx>
          <c:spPr>
            <a:pattFill prst="pct70">
              <a:fgClr>
                <a:schemeClr val="accent2">
                  <a:lumMod val="75000"/>
                </a:schemeClr>
              </a:fgClr>
              <a:bgClr>
                <a:schemeClr val="bg1"/>
              </a:bgClr>
            </a:pattFill>
            <a:ln w="12700">
              <a:solidFill>
                <a:schemeClr val="tx1"/>
              </a:solidFill>
            </a:ln>
          </c:spPr>
          <c:invertIfNegative val="0"/>
          <c:dLbls>
            <c:dLbl>
              <c:idx val="0"/>
              <c:layout>
                <c:manualLayout>
                  <c:x val="0"/>
                  <c:y val="-7.0796460176991191E-2"/>
                </c:manualLayout>
              </c:layout>
              <c:spPr/>
              <c:txPr>
                <a:bodyPr/>
                <a:lstStyle/>
                <a:p>
                  <a:pPr>
                    <a:defRPr/>
                  </a:pPr>
                  <a:endParaRPr lang="lt-LT"/>
                </a:p>
              </c:txPr>
              <c:dLblPos val="outEnd"/>
              <c:showLegendKey val="0"/>
              <c:showVal val="1"/>
              <c:showCatName val="0"/>
              <c:showSerName val="0"/>
              <c:showPercent val="0"/>
              <c:showBubbleSize val="0"/>
            </c:dLbl>
            <c:dLbl>
              <c:idx val="1"/>
              <c:layout>
                <c:manualLayout>
                  <c:x val="-2.4067388688327317E-3"/>
                  <c:y val="-5.8997050147492625E-2"/>
                </c:manualLayout>
              </c:layout>
              <c:spPr/>
              <c:txPr>
                <a:bodyPr/>
                <a:lstStyle/>
                <a:p>
                  <a:pPr>
                    <a:defRPr/>
                  </a:pPr>
                  <a:endParaRPr lang="lt-LT"/>
                </a:p>
              </c:txPr>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errBars>
            <c:errBarType val="both"/>
            <c:errValType val="cust"/>
            <c:noEndCap val="0"/>
            <c:plus>
              <c:numRef>
                <c:f>Lapas1!$D$372:$D$373</c:f>
                <c:numCache>
                  <c:formatCode>General</c:formatCode>
                  <c:ptCount val="2"/>
                  <c:pt idx="0">
                    <c:v>3.9644251369734129</c:v>
                  </c:pt>
                  <c:pt idx="1">
                    <c:v>4.3339743115682321</c:v>
                  </c:pt>
                </c:numCache>
              </c:numRef>
            </c:plus>
            <c:minus>
              <c:numRef>
                <c:f>Lapas1!$D$372:$D$373</c:f>
                <c:numCache>
                  <c:formatCode>General</c:formatCode>
                  <c:ptCount val="2"/>
                  <c:pt idx="0">
                    <c:v>3.9644251369734129</c:v>
                  </c:pt>
                  <c:pt idx="1">
                    <c:v>4.3339743115682321</c:v>
                  </c:pt>
                </c:numCache>
              </c:numRef>
            </c:minus>
          </c:errBars>
          <c:cat>
            <c:strRef>
              <c:f>Lapas1!$A$364:$A$365</c:f>
              <c:strCache>
                <c:ptCount val="2"/>
                <c:pt idx="0">
                  <c:v>Keitelio indeksas prieš          procedūras</c:v>
                </c:pt>
                <c:pt idx="1">
                  <c:v>Keitelio indeksas po          procedūrų</c:v>
                </c:pt>
              </c:strCache>
            </c:strRef>
          </c:cat>
          <c:val>
            <c:numRef>
              <c:f>Lapas1!$B$372:$B$373</c:f>
              <c:numCache>
                <c:formatCode>####.00</c:formatCode>
                <c:ptCount val="2"/>
                <c:pt idx="0">
                  <c:v>37.625</c:v>
                </c:pt>
                <c:pt idx="1">
                  <c:v>41.875</c:v>
                </c:pt>
              </c:numCache>
            </c:numRef>
          </c:val>
        </c:ser>
        <c:dLbls>
          <c:showLegendKey val="0"/>
          <c:showVal val="0"/>
          <c:showCatName val="0"/>
          <c:showSerName val="0"/>
          <c:showPercent val="0"/>
          <c:showBubbleSize val="0"/>
        </c:dLbls>
        <c:gapWidth val="150"/>
        <c:axId val="141072384"/>
        <c:axId val="140221184"/>
      </c:barChart>
      <c:catAx>
        <c:axId val="141072384"/>
        <c:scaling>
          <c:orientation val="minMax"/>
        </c:scaling>
        <c:delete val="0"/>
        <c:axPos val="b"/>
        <c:numFmt formatCode="General" sourceLinked="1"/>
        <c:majorTickMark val="out"/>
        <c:minorTickMark val="none"/>
        <c:tickLblPos val="nextTo"/>
        <c:crossAx val="140221184"/>
        <c:crosses val="autoZero"/>
        <c:auto val="1"/>
        <c:lblAlgn val="ctr"/>
        <c:lblOffset val="100"/>
        <c:noMultiLvlLbl val="0"/>
      </c:catAx>
      <c:valAx>
        <c:axId val="140221184"/>
        <c:scaling>
          <c:orientation val="minMax"/>
        </c:scaling>
        <c:delete val="0"/>
        <c:axPos val="l"/>
        <c:majorGridlines/>
        <c:title>
          <c:tx>
            <c:rich>
              <a:bodyPr rot="-5400000" vert="horz"/>
              <a:lstStyle/>
              <a:p>
                <a:pPr>
                  <a:defRPr/>
                </a:pPr>
                <a:r>
                  <a:rPr lang="lt-LT"/>
                  <a:t>balai </a:t>
                </a:r>
              </a:p>
            </c:rich>
          </c:tx>
          <c:layout>
            <c:manualLayout>
              <c:xMode val="edge"/>
              <c:yMode val="edge"/>
              <c:x val="1.6666761420165439E-2"/>
              <c:y val="0.4077560216477365"/>
            </c:manualLayout>
          </c:layout>
          <c:overlay val="0"/>
        </c:title>
        <c:numFmt formatCode="General" sourceLinked="0"/>
        <c:majorTickMark val="out"/>
        <c:minorTickMark val="none"/>
        <c:tickLblPos val="nextTo"/>
        <c:txPr>
          <a:bodyPr/>
          <a:lstStyle/>
          <a:p>
            <a:pPr>
              <a:defRPr sz="1000"/>
            </a:pPr>
            <a:endParaRPr lang="lt-LT"/>
          </a:p>
        </c:txPr>
        <c:crossAx val="141072384"/>
        <c:crosses val="autoZero"/>
        <c:crossBetween val="between"/>
      </c:valAx>
    </c:plotArea>
    <c:legend>
      <c:legendPos val="t"/>
      <c:overlay val="0"/>
      <c:txPr>
        <a:bodyPr/>
        <a:lstStyle/>
        <a:p>
          <a:pPr>
            <a:defRPr sz="1100"/>
          </a:pPr>
          <a:endParaRPr lang="lt-LT"/>
        </a:p>
      </c:txPr>
    </c:legend>
    <c:plotVisOnly val="1"/>
    <c:dispBlanksAs val="gap"/>
    <c:showDLblsOverMax val="0"/>
  </c:chart>
  <c:txPr>
    <a:bodyPr/>
    <a:lstStyle/>
    <a:p>
      <a:pPr>
        <a:defRPr sz="1200" b="1">
          <a:latin typeface="Times New Roman" panose="02020603050405020304" pitchFamily="18" charset="0"/>
          <a:cs typeface="Times New Roman" panose="02020603050405020304" pitchFamily="18" charset="0"/>
        </a:defRPr>
      </a:pPr>
      <a:endParaRPr lang="lt-LT"/>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574555897904071"/>
          <c:y val="8.0080080080080079E-2"/>
          <c:w val="0.66768439271178059"/>
          <c:h val="0.75172555691845067"/>
        </c:manualLayout>
      </c:layout>
      <c:barChart>
        <c:barDir val="bar"/>
        <c:grouping val="clustered"/>
        <c:varyColors val="0"/>
        <c:ser>
          <c:idx val="0"/>
          <c:order val="0"/>
          <c:spPr>
            <a:pattFill prst="pct70">
              <a:fgClr>
                <a:schemeClr val="tx1"/>
              </a:fgClr>
              <a:bgClr>
                <a:schemeClr val="bg1"/>
              </a:bgClr>
            </a:pattFill>
            <a:ln w="12700">
              <a:solidFill>
                <a:schemeClr val="tx1"/>
              </a:solidFill>
            </a:ln>
          </c:spPr>
          <c:invertIfNegative val="0"/>
          <c:cat>
            <c:strRef>
              <c:f>Lapas1!$I$405:$I$411</c:f>
              <c:strCache>
                <c:ptCount val="7"/>
                <c:pt idx="0">
                  <c:v>masažas</c:v>
                </c:pt>
                <c:pt idx="1">
                  <c:v>kineziterapija</c:v>
                </c:pt>
                <c:pt idx="2">
                  <c:v>kitos procedūros</c:v>
                </c:pt>
                <c:pt idx="3">
                  <c:v>parafino aplikacijos</c:v>
                </c:pt>
                <c:pt idx="4">
                  <c:v>magnetoterapija</c:v>
                </c:pt>
                <c:pt idx="5">
                  <c:v>elektrostimuliacija</c:v>
                </c:pt>
                <c:pt idx="6">
                  <c:v>lazerio terapija</c:v>
                </c:pt>
              </c:strCache>
            </c:strRef>
          </c:cat>
          <c:val>
            <c:numRef>
              <c:f>Lapas1!$J$405:$J$411</c:f>
              <c:numCache>
                <c:formatCode>####.0</c:formatCode>
                <c:ptCount val="7"/>
                <c:pt idx="0">
                  <c:v>62.5</c:v>
                </c:pt>
                <c:pt idx="1">
                  <c:v>46.875</c:v>
                </c:pt>
                <c:pt idx="2">
                  <c:v>43.75</c:v>
                </c:pt>
                <c:pt idx="3">
                  <c:v>40.625</c:v>
                </c:pt>
                <c:pt idx="4">
                  <c:v>40.625</c:v>
                </c:pt>
                <c:pt idx="5">
                  <c:v>37.5</c:v>
                </c:pt>
                <c:pt idx="6">
                  <c:v>28.125</c:v>
                </c:pt>
              </c:numCache>
            </c:numRef>
          </c:val>
        </c:ser>
        <c:dLbls>
          <c:dLblPos val="outEnd"/>
          <c:showLegendKey val="0"/>
          <c:showVal val="1"/>
          <c:showCatName val="0"/>
          <c:showSerName val="0"/>
          <c:showPercent val="0"/>
          <c:showBubbleSize val="0"/>
        </c:dLbls>
        <c:gapWidth val="150"/>
        <c:axId val="141938688"/>
        <c:axId val="141877824"/>
      </c:barChart>
      <c:catAx>
        <c:axId val="141938688"/>
        <c:scaling>
          <c:orientation val="minMax"/>
        </c:scaling>
        <c:delete val="0"/>
        <c:axPos val="l"/>
        <c:numFmt formatCode="General" sourceLinked="1"/>
        <c:majorTickMark val="out"/>
        <c:minorTickMark val="none"/>
        <c:tickLblPos val="nextTo"/>
        <c:crossAx val="141877824"/>
        <c:crosses val="autoZero"/>
        <c:auto val="1"/>
        <c:lblAlgn val="ctr"/>
        <c:lblOffset val="100"/>
        <c:noMultiLvlLbl val="0"/>
      </c:catAx>
      <c:valAx>
        <c:axId val="141877824"/>
        <c:scaling>
          <c:orientation val="minMax"/>
        </c:scaling>
        <c:delete val="0"/>
        <c:axPos val="b"/>
        <c:majorGridlines/>
        <c:title>
          <c:tx>
            <c:rich>
              <a:bodyPr/>
              <a:lstStyle/>
              <a:p>
                <a:pPr>
                  <a:defRPr/>
                </a:pPr>
                <a:r>
                  <a:rPr lang="lt-LT"/>
                  <a:t>procentai</a:t>
                </a:r>
              </a:p>
            </c:rich>
          </c:tx>
          <c:layout>
            <c:manualLayout>
              <c:xMode val="edge"/>
              <c:yMode val="edge"/>
              <c:x val="0.5707269456486479"/>
              <c:y val="0.92398343423152507"/>
            </c:manualLayout>
          </c:layout>
          <c:overlay val="0"/>
        </c:title>
        <c:numFmt formatCode="General" sourceLinked="0"/>
        <c:majorTickMark val="out"/>
        <c:minorTickMark val="none"/>
        <c:tickLblPos val="nextTo"/>
        <c:txPr>
          <a:bodyPr/>
          <a:lstStyle/>
          <a:p>
            <a:pPr>
              <a:defRPr sz="1000"/>
            </a:pPr>
            <a:endParaRPr lang="lt-LT"/>
          </a:p>
        </c:txPr>
        <c:crossAx val="141938688"/>
        <c:crosses val="autoZero"/>
        <c:crossBetween val="between"/>
      </c:valAx>
    </c:plotArea>
    <c:plotVisOnly val="1"/>
    <c:dispBlanksAs val="gap"/>
    <c:showDLblsOverMax val="0"/>
  </c:chart>
  <c:txPr>
    <a:bodyPr/>
    <a:lstStyle/>
    <a:p>
      <a:pPr>
        <a:defRPr sz="1200" b="1">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Lapas2!$A$1:$A$4</c:f>
              <c:strCache>
                <c:ptCount val="4"/>
                <c:pt idx="0">
                  <c:v>iki 44 m.</c:v>
                </c:pt>
                <c:pt idx="1">
                  <c:v>45 - 59 m.</c:v>
                </c:pt>
                <c:pt idx="2">
                  <c:v>60 - 74 m.</c:v>
                </c:pt>
                <c:pt idx="3">
                  <c:v>virš 75 m.</c:v>
                </c:pt>
              </c:strCache>
            </c:strRef>
          </c:cat>
          <c:val>
            <c:numRef>
              <c:f>Lapas2!$B$1:$B$4</c:f>
              <c:numCache>
                <c:formatCode>General</c:formatCode>
                <c:ptCount val="4"/>
                <c:pt idx="0">
                  <c:v>3</c:v>
                </c:pt>
                <c:pt idx="1">
                  <c:v>6</c:v>
                </c:pt>
                <c:pt idx="2">
                  <c:v>5</c:v>
                </c:pt>
                <c:pt idx="3">
                  <c:v>2</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no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Lapas5!$A$1:$A$2</c:f>
              <c:strCache>
                <c:ptCount val="2"/>
                <c:pt idx="0">
                  <c:v>lūžusi kairė</c:v>
                </c:pt>
                <c:pt idx="1">
                  <c:v>lūžusi dešinė</c:v>
                </c:pt>
              </c:strCache>
            </c:strRef>
          </c:cat>
          <c:val>
            <c:numRef>
              <c:f>Lapas5!$B$1:$B$2</c:f>
              <c:numCache>
                <c:formatCode>General</c:formatCode>
                <c:ptCount val="2"/>
                <c:pt idx="0">
                  <c:v>6</c:v>
                </c:pt>
                <c:pt idx="1">
                  <c:v>10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Lapas4!$A$1:$A$2</c:f>
              <c:strCache>
                <c:ptCount val="2"/>
                <c:pt idx="0">
                  <c:v>lūžusi kairė</c:v>
                </c:pt>
                <c:pt idx="1">
                  <c:v>lūžusi dešinė</c:v>
                </c:pt>
              </c:strCache>
            </c:strRef>
          </c:cat>
          <c:val>
            <c:numRef>
              <c:f>Lapas4!$B$1:$B$2</c:f>
              <c:numCache>
                <c:formatCode>General</c:formatCode>
                <c:ptCount val="2"/>
                <c:pt idx="0">
                  <c:v>7</c:v>
                </c:pt>
                <c:pt idx="1">
                  <c:v>9</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07696826705326"/>
          <c:y val="0.15896075490563677"/>
          <c:w val="0.85244890417578667"/>
          <c:h val="0.73421384826896641"/>
        </c:manualLayout>
      </c:layout>
      <c:barChart>
        <c:barDir val="col"/>
        <c:grouping val="clustered"/>
        <c:varyColors val="0"/>
        <c:ser>
          <c:idx val="0"/>
          <c:order val="0"/>
          <c:tx>
            <c:strRef>
              <c:f>'[anketa_mag_2014 - Copy.xls]Lapas1'!$H$80</c:f>
              <c:strCache>
                <c:ptCount val="1"/>
                <c:pt idx="0">
                  <c:v>prieš procedūras</c:v>
                </c:pt>
              </c:strCache>
            </c:strRef>
          </c:tx>
          <c:spPr>
            <a:pattFill prst="pct70">
              <a:fgClr>
                <a:schemeClr val="tx1"/>
              </a:fgClr>
              <a:bgClr>
                <a:schemeClr val="bg1"/>
              </a:bgClr>
            </a:pattFill>
            <a:ln w="12700">
              <a:solidFill>
                <a:schemeClr val="tx1"/>
              </a:solidFill>
            </a:ln>
          </c:spPr>
          <c:invertIfNegative val="0"/>
          <c:dLbls>
            <c:dLbl>
              <c:idx val="0"/>
              <c:layout>
                <c:manualLayout>
                  <c:x val="-2.4067388688327317E-3"/>
                  <c:y val="-0.14682539682539683"/>
                </c:manualLayout>
              </c:layout>
              <c:dLblPos val="outEnd"/>
              <c:showLegendKey val="0"/>
              <c:showVal val="1"/>
              <c:showCatName val="0"/>
              <c:showSerName val="0"/>
              <c:showPercent val="0"/>
              <c:showBubbleSize val="0"/>
            </c:dLbl>
            <c:dLbl>
              <c:idx val="1"/>
              <c:layout>
                <c:manualLayout>
                  <c:x val="-2.4067388688327317E-3"/>
                  <c:y val="-0.1428571428571429"/>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errBars>
            <c:errBarType val="both"/>
            <c:errValType val="cust"/>
            <c:noEndCap val="0"/>
            <c:plus>
              <c:numRef>
                <c:f>'[anketa_mag_2014 - Copy.xls]Lapas1'!$J$152:$J$153</c:f>
                <c:numCache>
                  <c:formatCode>General</c:formatCode>
                  <c:ptCount val="2"/>
                  <c:pt idx="0">
                    <c:v>1.4045013334673</c:v>
                  </c:pt>
                  <c:pt idx="1">
                    <c:v>1.4045013334673</c:v>
                  </c:pt>
                </c:numCache>
              </c:numRef>
            </c:plus>
            <c:minus>
              <c:numRef>
                <c:f>'[anketa_mag_2014 - Copy.xls]Lapas1'!$J$152:$J$153</c:f>
                <c:numCache>
                  <c:formatCode>General</c:formatCode>
                  <c:ptCount val="2"/>
                  <c:pt idx="0">
                    <c:v>1.4045013334673</c:v>
                  </c:pt>
                  <c:pt idx="1">
                    <c:v>1.4045013334673</c:v>
                  </c:pt>
                </c:numCache>
              </c:numRef>
            </c:minus>
          </c:errBars>
          <c:cat>
            <c:strRef>
              <c:f>'[anketa_mag_2014 - Copy.xls]Lapas1'!$I$62:$I$63</c:f>
              <c:strCache>
                <c:ptCount val="2"/>
                <c:pt idx="0">
                  <c:v>skausmas</c:v>
                </c:pt>
                <c:pt idx="1">
                  <c:v>sustingimas</c:v>
                </c:pt>
              </c:strCache>
            </c:strRef>
          </c:cat>
          <c:val>
            <c:numRef>
              <c:f>'[anketa_mag_2014 - Copy.xls]Lapas1'!$H$152:$H$153</c:f>
              <c:numCache>
                <c:formatCode>####.00</c:formatCode>
                <c:ptCount val="2"/>
                <c:pt idx="0">
                  <c:v>4.6874999999999991</c:v>
                </c:pt>
                <c:pt idx="1">
                  <c:v>4.6874999999999991</c:v>
                </c:pt>
              </c:numCache>
            </c:numRef>
          </c:val>
        </c:ser>
        <c:ser>
          <c:idx val="1"/>
          <c:order val="1"/>
          <c:tx>
            <c:strRef>
              <c:f>'[anketa_mag_2014 - Copy.xls]Lapas1'!$H$81</c:f>
              <c:strCache>
                <c:ptCount val="1"/>
                <c:pt idx="0">
                  <c:v>po procedūrų</c:v>
                </c:pt>
              </c:strCache>
            </c:strRef>
          </c:tx>
          <c:spPr>
            <a:pattFill prst="pct70">
              <a:fgClr>
                <a:schemeClr val="accent2">
                  <a:lumMod val="75000"/>
                </a:schemeClr>
              </a:fgClr>
              <a:bgClr>
                <a:schemeClr val="bg1"/>
              </a:bgClr>
            </a:pattFill>
            <a:ln w="12700">
              <a:solidFill>
                <a:schemeClr val="tx1"/>
              </a:solidFill>
            </a:ln>
          </c:spPr>
          <c:invertIfNegative val="0"/>
          <c:dLbls>
            <c:dLbl>
              <c:idx val="0"/>
              <c:layout>
                <c:manualLayout>
                  <c:x val="-4.8134777376655077E-3"/>
                  <c:y val="-8.3333333333333329E-2"/>
                </c:manualLayout>
              </c:layout>
              <c:tx>
                <c:rich>
                  <a:bodyPr/>
                  <a:lstStyle/>
                  <a:p>
                    <a:r>
                      <a:rPr lang="lt-LT"/>
                      <a:t>0</a:t>
                    </a:r>
                    <a:r>
                      <a:rPr lang="en-US"/>
                      <a:t>,94</a:t>
                    </a:r>
                  </a:p>
                </c:rich>
              </c:tx>
              <c:dLblPos val="outEnd"/>
              <c:showLegendKey val="0"/>
              <c:showVal val="1"/>
              <c:showCatName val="0"/>
              <c:showSerName val="0"/>
              <c:showPercent val="0"/>
              <c:showBubbleSize val="0"/>
            </c:dLbl>
            <c:dLbl>
              <c:idx val="1"/>
              <c:layout>
                <c:manualLayout>
                  <c:x val="0"/>
                  <c:y val="-7.1428571428571425E-2"/>
                </c:manualLayout>
              </c:layout>
              <c:tx>
                <c:rich>
                  <a:bodyPr/>
                  <a:lstStyle/>
                  <a:p>
                    <a:r>
                      <a:rPr lang="lt-LT"/>
                      <a:t>0</a:t>
                    </a:r>
                    <a:r>
                      <a:rPr lang="en-US"/>
                      <a:t>,75</a:t>
                    </a:r>
                  </a:p>
                </c:rich>
              </c:tx>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errBars>
            <c:errBarType val="both"/>
            <c:errValType val="cust"/>
            <c:noEndCap val="0"/>
            <c:plus>
              <c:numRef>
                <c:f>'[anketa_mag_2014 - Copy.xls]Lapas1'!$K$152:$K$153</c:f>
                <c:numCache>
                  <c:formatCode>General</c:formatCode>
                  <c:ptCount val="2"/>
                  <c:pt idx="0">
                    <c:v>0.52361025271220996</c:v>
                  </c:pt>
                  <c:pt idx="1">
                    <c:v>0.48321595661992001</c:v>
                  </c:pt>
                </c:numCache>
              </c:numRef>
            </c:plus>
            <c:minus>
              <c:numRef>
                <c:f>'[anketa_mag_2014 - Copy.xls]Lapas1'!$K$152:$K$153</c:f>
                <c:numCache>
                  <c:formatCode>General</c:formatCode>
                  <c:ptCount val="2"/>
                  <c:pt idx="0">
                    <c:v>0.52361025271220996</c:v>
                  </c:pt>
                  <c:pt idx="1">
                    <c:v>0.48321595661992001</c:v>
                  </c:pt>
                </c:numCache>
              </c:numRef>
            </c:minus>
          </c:errBars>
          <c:cat>
            <c:strRef>
              <c:f>'[anketa_mag_2014 - Copy.xls]Lapas1'!$I$62:$I$63</c:f>
              <c:strCache>
                <c:ptCount val="2"/>
                <c:pt idx="0">
                  <c:v>skausmas</c:v>
                </c:pt>
                <c:pt idx="1">
                  <c:v>sustingimas</c:v>
                </c:pt>
              </c:strCache>
            </c:strRef>
          </c:cat>
          <c:val>
            <c:numRef>
              <c:f>'[anketa_mag_2014 - Copy.xls]Lapas1'!$I$152:$I$153</c:f>
              <c:numCache>
                <c:formatCode>####.00</c:formatCode>
                <c:ptCount val="2"/>
                <c:pt idx="0">
                  <c:v>0.9375</c:v>
                </c:pt>
                <c:pt idx="1">
                  <c:v>0.75000000000000011</c:v>
                </c:pt>
              </c:numCache>
            </c:numRef>
          </c:val>
        </c:ser>
        <c:dLbls>
          <c:dLblPos val="outEnd"/>
          <c:showLegendKey val="0"/>
          <c:showVal val="1"/>
          <c:showCatName val="0"/>
          <c:showSerName val="0"/>
          <c:showPercent val="0"/>
          <c:showBubbleSize val="0"/>
        </c:dLbls>
        <c:gapWidth val="150"/>
        <c:axId val="170186240"/>
        <c:axId val="173388864"/>
      </c:barChart>
      <c:catAx>
        <c:axId val="170186240"/>
        <c:scaling>
          <c:orientation val="minMax"/>
        </c:scaling>
        <c:delete val="0"/>
        <c:axPos val="b"/>
        <c:majorTickMark val="out"/>
        <c:minorTickMark val="none"/>
        <c:tickLblPos val="nextTo"/>
        <c:crossAx val="173388864"/>
        <c:crosses val="autoZero"/>
        <c:auto val="1"/>
        <c:lblAlgn val="ctr"/>
        <c:lblOffset val="100"/>
        <c:noMultiLvlLbl val="0"/>
      </c:catAx>
      <c:valAx>
        <c:axId val="173388864"/>
        <c:scaling>
          <c:orientation val="minMax"/>
        </c:scaling>
        <c:delete val="0"/>
        <c:axPos val="l"/>
        <c:majorGridlines/>
        <c:title>
          <c:tx>
            <c:rich>
              <a:bodyPr rot="-5400000" vert="horz"/>
              <a:lstStyle/>
              <a:p>
                <a:pPr>
                  <a:defRPr/>
                </a:pPr>
                <a:r>
                  <a:rPr lang="lt-LT"/>
                  <a:t>balai </a:t>
                </a:r>
              </a:p>
            </c:rich>
          </c:tx>
          <c:layout>
            <c:manualLayout>
              <c:xMode val="edge"/>
              <c:yMode val="edge"/>
              <c:x val="1.6666666666666666E-2"/>
              <c:y val="0.40775586220039328"/>
            </c:manualLayout>
          </c:layout>
          <c:overlay val="0"/>
        </c:title>
        <c:numFmt formatCode="General" sourceLinked="0"/>
        <c:majorTickMark val="out"/>
        <c:minorTickMark val="none"/>
        <c:tickLblPos val="nextTo"/>
        <c:txPr>
          <a:bodyPr/>
          <a:lstStyle/>
          <a:p>
            <a:pPr>
              <a:defRPr sz="1000"/>
            </a:pPr>
            <a:endParaRPr lang="lt-LT"/>
          </a:p>
        </c:txPr>
        <c:crossAx val="170186240"/>
        <c:crosses val="autoZero"/>
        <c:crossBetween val="between"/>
      </c:valAx>
    </c:plotArea>
    <c:legend>
      <c:legendPos val="t"/>
      <c:overlay val="0"/>
      <c:txPr>
        <a:bodyPr/>
        <a:lstStyle/>
        <a:p>
          <a:pPr>
            <a:defRPr sz="1100"/>
          </a:pPr>
          <a:endParaRPr lang="lt-LT"/>
        </a:p>
      </c:txPr>
    </c:legend>
    <c:plotVisOnly val="1"/>
    <c:dispBlanksAs val="gap"/>
    <c:showDLblsOverMax val="0"/>
  </c:chart>
  <c:txPr>
    <a:bodyPr/>
    <a:lstStyle/>
    <a:p>
      <a:pPr>
        <a:defRPr sz="1200" b="1">
          <a:latin typeface="Times New Roman" panose="02020603050405020304" pitchFamily="18" charset="0"/>
          <a:cs typeface="Times New Roman" panose="02020603050405020304" pitchFamily="18" charset="0"/>
        </a:defRPr>
      </a:pPr>
      <a:endParaRPr lang="lt-LT"/>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64623576729167"/>
          <c:y val="0.1041041041041041"/>
          <c:w val="0.85897486735021433"/>
          <c:h val="0.78810810810810816"/>
        </c:manualLayout>
      </c:layout>
      <c:barChart>
        <c:barDir val="col"/>
        <c:grouping val="clustered"/>
        <c:varyColors val="0"/>
        <c:ser>
          <c:idx val="0"/>
          <c:order val="0"/>
          <c:spPr>
            <a:pattFill prst="pct70">
              <a:fgClr>
                <a:schemeClr val="tx1"/>
              </a:fgClr>
              <a:bgClr>
                <a:schemeClr val="bg1"/>
              </a:bgClr>
            </a:pattFill>
            <a:ln w="12700">
              <a:solidFill>
                <a:schemeClr val="tx1"/>
              </a:solidFill>
            </a:ln>
          </c:spPr>
          <c:invertIfNegative val="0"/>
          <c:dLbls>
            <c:dLbl>
              <c:idx val="0"/>
              <c:layout>
                <c:manualLayout>
                  <c:x val="0"/>
                  <c:y val="-0.12035783815311374"/>
                </c:manualLayout>
              </c:layout>
              <c:spPr/>
              <c:txPr>
                <a:bodyPr/>
                <a:lstStyle/>
                <a:p>
                  <a:pPr>
                    <a:defRPr/>
                  </a:pPr>
                  <a:endParaRPr lang="lt-LT"/>
                </a:p>
              </c:txPr>
              <c:dLblPos val="outEnd"/>
              <c:showLegendKey val="0"/>
              <c:showVal val="1"/>
              <c:showCatName val="0"/>
              <c:showSerName val="0"/>
              <c:showPercent val="0"/>
              <c:showBubbleSize val="0"/>
            </c:dLbl>
            <c:dLbl>
              <c:idx val="1"/>
              <c:layout>
                <c:manualLayout>
                  <c:x val="-2.7778092486640607E-3"/>
                  <c:y val="-0.17724653787645914"/>
                </c:manualLayout>
              </c:layout>
              <c:spPr/>
              <c:txPr>
                <a:bodyPr/>
                <a:lstStyle/>
                <a:p>
                  <a:pPr>
                    <a:defRPr/>
                  </a:pPr>
                  <a:endParaRPr lang="lt-LT"/>
                </a:p>
              </c:txPr>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errBars>
            <c:errBarType val="both"/>
            <c:errValType val="cust"/>
            <c:noEndCap val="0"/>
            <c:plus>
              <c:numRef>
                <c:f>'[anketa_mag_2014 - Copy.xls]Lapas1'!$F$156:$F$157</c:f>
                <c:numCache>
                  <c:formatCode>General</c:formatCode>
                  <c:ptCount val="2"/>
                  <c:pt idx="0">
                    <c:v>2.6555251885470601</c:v>
                  </c:pt>
                  <c:pt idx="1">
                    <c:v>5.3297175604689997</c:v>
                  </c:pt>
                </c:numCache>
              </c:numRef>
            </c:plus>
            <c:minus>
              <c:numRef>
                <c:f>'[anketa_mag_2014 - Copy.xls]Lapas1'!$F$156:$F$157</c:f>
                <c:numCache>
                  <c:formatCode>General</c:formatCode>
                  <c:ptCount val="2"/>
                  <c:pt idx="0">
                    <c:v>2.6555251885470601</c:v>
                  </c:pt>
                  <c:pt idx="1">
                    <c:v>5.3297175604689997</c:v>
                  </c:pt>
                </c:numCache>
              </c:numRef>
            </c:minus>
          </c:errBars>
          <c:cat>
            <c:strRef>
              <c:f>'[anketa_mag_2014 - Copy.xls]Lapas1'!$K$80:$K$81</c:f>
              <c:strCache>
                <c:ptCount val="2"/>
                <c:pt idx="0">
                  <c:v>raumenų jėga prieš procedūras</c:v>
                </c:pt>
                <c:pt idx="1">
                  <c:v>raumenų jėga po procedūrų</c:v>
                </c:pt>
              </c:strCache>
            </c:strRef>
          </c:cat>
          <c:val>
            <c:numRef>
              <c:f>'[anketa_mag_2014 - Copy.xls]Lapas1'!$E$156:$E$157</c:f>
              <c:numCache>
                <c:formatCode>####.00</c:formatCode>
                <c:ptCount val="2"/>
                <c:pt idx="0">
                  <c:v>9.1874999999999982</c:v>
                </c:pt>
                <c:pt idx="1">
                  <c:v>14.312500000000002</c:v>
                </c:pt>
              </c:numCache>
            </c:numRef>
          </c:val>
        </c:ser>
        <c:dLbls>
          <c:showLegendKey val="0"/>
          <c:showVal val="0"/>
          <c:showCatName val="0"/>
          <c:showSerName val="0"/>
          <c:showPercent val="0"/>
          <c:showBubbleSize val="0"/>
        </c:dLbls>
        <c:gapWidth val="150"/>
        <c:axId val="170188288"/>
        <c:axId val="173390592"/>
      </c:barChart>
      <c:catAx>
        <c:axId val="170188288"/>
        <c:scaling>
          <c:orientation val="minMax"/>
        </c:scaling>
        <c:delete val="0"/>
        <c:axPos val="b"/>
        <c:numFmt formatCode="General" sourceLinked="1"/>
        <c:majorTickMark val="out"/>
        <c:minorTickMark val="none"/>
        <c:tickLblPos val="nextTo"/>
        <c:crossAx val="173390592"/>
        <c:crosses val="autoZero"/>
        <c:auto val="1"/>
        <c:lblAlgn val="ctr"/>
        <c:lblOffset val="100"/>
        <c:noMultiLvlLbl val="0"/>
      </c:catAx>
      <c:valAx>
        <c:axId val="173390592"/>
        <c:scaling>
          <c:orientation val="minMax"/>
        </c:scaling>
        <c:delete val="0"/>
        <c:axPos val="l"/>
        <c:majorGridlines/>
        <c:title>
          <c:tx>
            <c:rich>
              <a:bodyPr rot="-5400000" vert="horz"/>
              <a:lstStyle/>
              <a:p>
                <a:pPr>
                  <a:defRPr/>
                </a:pPr>
                <a:r>
                  <a:rPr lang="lt-LT"/>
                  <a:t>kilogramai </a:t>
                </a:r>
              </a:p>
            </c:rich>
          </c:tx>
          <c:layout>
            <c:manualLayout>
              <c:xMode val="edge"/>
              <c:yMode val="edge"/>
              <c:x val="2.386091127098321E-2"/>
              <c:y val="0.35169973122729031"/>
            </c:manualLayout>
          </c:layout>
          <c:overlay val="0"/>
        </c:title>
        <c:numFmt formatCode="General" sourceLinked="0"/>
        <c:majorTickMark val="out"/>
        <c:minorTickMark val="none"/>
        <c:tickLblPos val="nextTo"/>
        <c:txPr>
          <a:bodyPr/>
          <a:lstStyle/>
          <a:p>
            <a:pPr>
              <a:defRPr sz="1000"/>
            </a:pPr>
            <a:endParaRPr lang="lt-LT"/>
          </a:p>
        </c:txPr>
        <c:crossAx val="170188288"/>
        <c:crosses val="autoZero"/>
        <c:crossBetween val="between"/>
      </c:valAx>
    </c:plotArea>
    <c:plotVisOnly val="1"/>
    <c:dispBlanksAs val="gap"/>
    <c:showDLblsOverMax val="0"/>
  </c:chart>
  <c:txPr>
    <a:bodyPr/>
    <a:lstStyle/>
    <a:p>
      <a:pPr>
        <a:defRPr sz="1200" b="1">
          <a:latin typeface="Times New Roman" panose="02020603050405020304" pitchFamily="18" charset="0"/>
          <a:cs typeface="Times New Roman" panose="02020603050405020304" pitchFamily="18" charset="0"/>
        </a:defRPr>
      </a:pPr>
      <a:endParaRPr lang="lt-LT"/>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'[anketa_mag_2014 - Copy.xls]Lapas1'!$H$80</c:f>
              <c:strCache>
                <c:ptCount val="1"/>
                <c:pt idx="0">
                  <c:v>prieš procedūras</c:v>
                </c:pt>
              </c:strCache>
            </c:strRef>
          </c:tx>
          <c:spPr>
            <a:pattFill prst="pct70">
              <a:fgClr>
                <a:schemeClr val="tx1"/>
              </a:fgClr>
              <a:bgClr>
                <a:schemeClr val="bg1"/>
              </a:bgClr>
            </a:pattFill>
            <a:ln w="12700">
              <a:solidFill>
                <a:schemeClr val="tx1"/>
              </a:solidFill>
            </a:ln>
          </c:spPr>
          <c:invertIfNegative val="0"/>
          <c:dLbls>
            <c:dLbl>
              <c:idx val="0"/>
              <c:layout>
                <c:manualLayout>
                  <c:x val="-2.1670356439182968E-17"/>
                  <c:y val="-0.12716763005780346"/>
                </c:manualLayout>
              </c:layout>
              <c:dLblPos val="outEnd"/>
              <c:showLegendKey val="0"/>
              <c:showVal val="1"/>
              <c:showCatName val="0"/>
              <c:showSerName val="0"/>
              <c:showPercent val="0"/>
              <c:showBubbleSize val="0"/>
            </c:dLbl>
            <c:dLbl>
              <c:idx val="1"/>
              <c:layout>
                <c:manualLayout>
                  <c:x val="4.3340712878365935E-17"/>
                  <c:y val="-0.1464354527938343"/>
                </c:manualLayout>
              </c:layout>
              <c:dLblPos val="outEnd"/>
              <c:showLegendKey val="0"/>
              <c:showVal val="1"/>
              <c:showCatName val="0"/>
              <c:showSerName val="0"/>
              <c:showPercent val="0"/>
              <c:showBubbleSize val="0"/>
            </c:dLbl>
            <c:dLbl>
              <c:idx val="2"/>
              <c:layout>
                <c:manualLayout>
                  <c:x val="-8.668142575673187E-17"/>
                  <c:y val="-9.2485549132947972E-2"/>
                </c:manualLayout>
              </c:layout>
              <c:dLblPos val="outEnd"/>
              <c:showLegendKey val="0"/>
              <c:showVal val="1"/>
              <c:showCatName val="0"/>
              <c:showSerName val="0"/>
              <c:showPercent val="0"/>
              <c:showBubbleSize val="0"/>
            </c:dLbl>
            <c:dLbl>
              <c:idx val="3"/>
              <c:layout>
                <c:manualLayout>
                  <c:x val="-2.3640661938534278E-3"/>
                  <c:y val="-8.092485549132955E-2"/>
                </c:manualLayout>
              </c:layout>
              <c:dLblPos val="outEnd"/>
              <c:showLegendKey val="0"/>
              <c:showVal val="1"/>
              <c:showCatName val="0"/>
              <c:showSerName val="0"/>
              <c:showPercent val="0"/>
              <c:showBubbleSize val="0"/>
            </c:dLbl>
            <c:txPr>
              <a:bodyPr/>
              <a:lstStyle/>
              <a:p>
                <a:pPr>
                  <a:defRPr sz="1000"/>
                </a:pPr>
                <a:endParaRPr lang="lt-LT"/>
              </a:p>
            </c:txPr>
            <c:dLblPos val="outEnd"/>
            <c:showLegendKey val="0"/>
            <c:showVal val="1"/>
            <c:showCatName val="0"/>
            <c:showSerName val="0"/>
            <c:showPercent val="0"/>
            <c:showBubbleSize val="0"/>
            <c:showLeaderLines val="0"/>
          </c:dLbls>
          <c:errBars>
            <c:errBarType val="both"/>
            <c:errValType val="cust"/>
            <c:noEndCap val="0"/>
            <c:plus>
              <c:numRef>
                <c:f>'[anketa_mag_2014 - Copy.xls]Lapas1'!$D$85:$D$88</c:f>
                <c:numCache>
                  <c:formatCode>General</c:formatCode>
                  <c:ptCount val="4"/>
                  <c:pt idx="0">
                    <c:v>9.6833223828248993</c:v>
                  </c:pt>
                  <c:pt idx="1">
                    <c:v>10.6924016643525</c:v>
                  </c:pt>
                  <c:pt idx="2">
                    <c:v>8.4060989763385496</c:v>
                  </c:pt>
                  <c:pt idx="3">
                    <c:v>7.0320693966996659</c:v>
                  </c:pt>
                </c:numCache>
              </c:numRef>
            </c:plus>
            <c:minus>
              <c:numRef>
                <c:f>'[anketa_mag_2014 - Copy.xls]Lapas1'!$D$85:$D$88</c:f>
                <c:numCache>
                  <c:formatCode>General</c:formatCode>
                  <c:ptCount val="4"/>
                  <c:pt idx="0">
                    <c:v>9.6833223828248993</c:v>
                  </c:pt>
                  <c:pt idx="1">
                    <c:v>10.6924016643525</c:v>
                  </c:pt>
                  <c:pt idx="2">
                    <c:v>8.4060989763385496</c:v>
                  </c:pt>
                  <c:pt idx="3">
                    <c:v>7.0320693966996659</c:v>
                  </c:pt>
                </c:numCache>
              </c:numRef>
            </c:minus>
          </c:errBars>
          <c:cat>
            <c:strRef>
              <c:f>'[anketa_mag_2014 - Copy.xls]Lapas1'!$B$97:$B$100</c:f>
              <c:strCache>
                <c:ptCount val="4"/>
                <c:pt idx="0">
                  <c:v>fleksija</c:v>
                </c:pt>
                <c:pt idx="1">
                  <c:v>ekstenzija</c:v>
                </c:pt>
                <c:pt idx="2">
                  <c:v>ulnarinė deviacija</c:v>
                </c:pt>
                <c:pt idx="3">
                  <c:v>radialinė deviacija</c:v>
                </c:pt>
              </c:strCache>
            </c:strRef>
          </c:cat>
          <c:val>
            <c:numRef>
              <c:f>'[anketa_mag_2014 - Copy.xls]Lapas1'!$C$178:$C$181</c:f>
              <c:numCache>
                <c:formatCode>####.0</c:formatCode>
                <c:ptCount val="4"/>
                <c:pt idx="0">
                  <c:v>34.0625</c:v>
                </c:pt>
                <c:pt idx="1">
                  <c:v>40.1875</c:v>
                </c:pt>
                <c:pt idx="2">
                  <c:v>24.625</c:v>
                </c:pt>
                <c:pt idx="3">
                  <c:v>12.375</c:v>
                </c:pt>
              </c:numCache>
            </c:numRef>
          </c:val>
        </c:ser>
        <c:ser>
          <c:idx val="1"/>
          <c:order val="1"/>
          <c:tx>
            <c:strRef>
              <c:f>'[anketa_mag_2014 - Copy.xls]Lapas1'!$H$81</c:f>
              <c:strCache>
                <c:ptCount val="1"/>
                <c:pt idx="0">
                  <c:v>po procedūrų</c:v>
                </c:pt>
              </c:strCache>
            </c:strRef>
          </c:tx>
          <c:spPr>
            <a:pattFill prst="pct70">
              <a:fgClr>
                <a:schemeClr val="accent2">
                  <a:lumMod val="75000"/>
                </a:schemeClr>
              </a:fgClr>
              <a:bgClr>
                <a:schemeClr val="bg1"/>
              </a:bgClr>
            </a:pattFill>
            <a:ln w="12700">
              <a:solidFill>
                <a:schemeClr val="tx1"/>
              </a:solidFill>
            </a:ln>
          </c:spPr>
          <c:invertIfNegative val="0"/>
          <c:dLbls>
            <c:dLbl>
              <c:idx val="0"/>
              <c:layout>
                <c:manualLayout>
                  <c:x val="2.3640661938534278E-3"/>
                  <c:y val="-0.13102149803528892"/>
                </c:manualLayout>
              </c:layout>
              <c:dLblPos val="outEnd"/>
              <c:showLegendKey val="0"/>
              <c:showVal val="1"/>
              <c:showCatName val="0"/>
              <c:showSerName val="0"/>
              <c:showPercent val="0"/>
              <c:showBubbleSize val="0"/>
            </c:dLbl>
            <c:dLbl>
              <c:idx val="1"/>
              <c:layout>
                <c:manualLayout>
                  <c:x val="-8.668142575673187E-17"/>
                  <c:y val="-0.13872832369942195"/>
                </c:manualLayout>
              </c:layout>
              <c:dLblPos val="outEnd"/>
              <c:showLegendKey val="0"/>
              <c:showVal val="1"/>
              <c:showCatName val="0"/>
              <c:showSerName val="0"/>
              <c:showPercent val="0"/>
              <c:showBubbleSize val="0"/>
            </c:dLbl>
            <c:dLbl>
              <c:idx val="2"/>
              <c:layout>
                <c:manualLayout>
                  <c:x val="-4.7281323877068557E-3"/>
                  <c:y val="-0.10789980732177257"/>
                </c:manualLayout>
              </c:layout>
              <c:dLblPos val="outEnd"/>
              <c:showLegendKey val="0"/>
              <c:showVal val="1"/>
              <c:showCatName val="0"/>
              <c:showSerName val="0"/>
              <c:showPercent val="0"/>
              <c:showBubbleSize val="0"/>
            </c:dLbl>
            <c:dLbl>
              <c:idx val="3"/>
              <c:layout>
                <c:manualLayout>
                  <c:x val="0"/>
                  <c:y val="-6.9364465279990364E-2"/>
                </c:manualLayout>
              </c:layout>
              <c:dLblPos val="outEnd"/>
              <c:showLegendKey val="0"/>
              <c:showVal val="1"/>
              <c:showCatName val="0"/>
              <c:showSerName val="0"/>
              <c:showPercent val="0"/>
              <c:showBubbleSize val="0"/>
            </c:dLbl>
            <c:txPr>
              <a:bodyPr/>
              <a:lstStyle/>
              <a:p>
                <a:pPr>
                  <a:defRPr sz="1000"/>
                </a:pPr>
                <a:endParaRPr lang="lt-LT"/>
              </a:p>
            </c:txPr>
            <c:dLblPos val="outEnd"/>
            <c:showLegendKey val="0"/>
            <c:showVal val="1"/>
            <c:showCatName val="0"/>
            <c:showSerName val="0"/>
            <c:showPercent val="0"/>
            <c:showBubbleSize val="0"/>
            <c:showLeaderLines val="0"/>
          </c:dLbls>
          <c:errBars>
            <c:errBarType val="both"/>
            <c:errValType val="cust"/>
            <c:noEndCap val="0"/>
            <c:plus>
              <c:numRef>
                <c:f>'[anketa_mag_2014 - Copy.xls]Lapas1'!$E$85:$E$88</c:f>
                <c:numCache>
                  <c:formatCode>General</c:formatCode>
                  <c:ptCount val="4"/>
                  <c:pt idx="0">
                    <c:v>10.678782874157701</c:v>
                  </c:pt>
                  <c:pt idx="1">
                    <c:v>10.3660016459673</c:v>
                  </c:pt>
                  <c:pt idx="2">
                    <c:v>9.8554130642336162</c:v>
                  </c:pt>
                  <c:pt idx="3">
                    <c:v>6.7697242681417</c:v>
                  </c:pt>
                </c:numCache>
              </c:numRef>
            </c:plus>
            <c:minus>
              <c:numRef>
                <c:f>'[anketa_mag_2014 - Copy.xls]Lapas1'!$E$85:$E$88</c:f>
                <c:numCache>
                  <c:formatCode>General</c:formatCode>
                  <c:ptCount val="4"/>
                  <c:pt idx="0">
                    <c:v>10.678782874157701</c:v>
                  </c:pt>
                  <c:pt idx="1">
                    <c:v>10.3660016459673</c:v>
                  </c:pt>
                  <c:pt idx="2">
                    <c:v>9.8554130642336162</c:v>
                  </c:pt>
                  <c:pt idx="3">
                    <c:v>6.7697242681417</c:v>
                  </c:pt>
                </c:numCache>
              </c:numRef>
            </c:minus>
          </c:errBars>
          <c:cat>
            <c:strRef>
              <c:f>'[anketa_mag_2014 - Copy.xls]Lapas1'!$B$97:$B$100</c:f>
              <c:strCache>
                <c:ptCount val="4"/>
                <c:pt idx="0">
                  <c:v>fleksija</c:v>
                </c:pt>
                <c:pt idx="1">
                  <c:v>ekstenzija</c:v>
                </c:pt>
                <c:pt idx="2">
                  <c:v>ulnarinė deviacija</c:v>
                </c:pt>
                <c:pt idx="3">
                  <c:v>radialinė deviacija</c:v>
                </c:pt>
              </c:strCache>
            </c:strRef>
          </c:cat>
          <c:val>
            <c:numRef>
              <c:f>'[anketa_mag_2014 - Copy.xls]Lapas1'!$D$178:$D$181</c:f>
              <c:numCache>
                <c:formatCode>####.0</c:formatCode>
                <c:ptCount val="4"/>
                <c:pt idx="0">
                  <c:v>46.875</c:v>
                </c:pt>
                <c:pt idx="1">
                  <c:v>50.5625</c:v>
                </c:pt>
                <c:pt idx="2">
                  <c:v>28.5625</c:v>
                </c:pt>
                <c:pt idx="3">
                  <c:v>17.875</c:v>
                </c:pt>
              </c:numCache>
            </c:numRef>
          </c:val>
        </c:ser>
        <c:dLbls>
          <c:showLegendKey val="0"/>
          <c:showVal val="0"/>
          <c:showCatName val="0"/>
          <c:showSerName val="0"/>
          <c:showPercent val="0"/>
          <c:showBubbleSize val="0"/>
        </c:dLbls>
        <c:gapWidth val="150"/>
        <c:axId val="169748992"/>
        <c:axId val="34472512"/>
      </c:barChart>
      <c:catAx>
        <c:axId val="169748992"/>
        <c:scaling>
          <c:orientation val="minMax"/>
        </c:scaling>
        <c:delete val="0"/>
        <c:axPos val="b"/>
        <c:numFmt formatCode="General" sourceLinked="1"/>
        <c:majorTickMark val="out"/>
        <c:minorTickMark val="none"/>
        <c:tickLblPos val="nextTo"/>
        <c:crossAx val="34472512"/>
        <c:crosses val="autoZero"/>
        <c:auto val="1"/>
        <c:lblAlgn val="ctr"/>
        <c:lblOffset val="100"/>
        <c:noMultiLvlLbl val="0"/>
      </c:catAx>
      <c:valAx>
        <c:axId val="34472512"/>
        <c:scaling>
          <c:orientation val="minMax"/>
        </c:scaling>
        <c:delete val="0"/>
        <c:axPos val="l"/>
        <c:majorGridlines/>
        <c:title>
          <c:tx>
            <c:rich>
              <a:bodyPr rot="-5400000" vert="horz"/>
              <a:lstStyle/>
              <a:p>
                <a:pPr>
                  <a:defRPr sz="1000"/>
                </a:pPr>
                <a:r>
                  <a:rPr lang="lt-LT" sz="1000"/>
                  <a:t>laipsniai </a:t>
                </a:r>
              </a:p>
            </c:rich>
          </c:tx>
          <c:layout>
            <c:manualLayout>
              <c:xMode val="edge"/>
              <c:yMode val="edge"/>
              <c:x val="1.6666666666666666E-2"/>
              <c:y val="0.40775598136938085"/>
            </c:manualLayout>
          </c:layout>
          <c:overlay val="0"/>
        </c:title>
        <c:numFmt formatCode="General" sourceLinked="0"/>
        <c:majorTickMark val="out"/>
        <c:minorTickMark val="none"/>
        <c:tickLblPos val="nextTo"/>
        <c:txPr>
          <a:bodyPr/>
          <a:lstStyle/>
          <a:p>
            <a:pPr>
              <a:defRPr sz="1000"/>
            </a:pPr>
            <a:endParaRPr lang="lt-LT"/>
          </a:p>
        </c:txPr>
        <c:crossAx val="169748992"/>
        <c:crosses val="autoZero"/>
        <c:crossBetween val="between"/>
      </c:valAx>
    </c:plotArea>
    <c:legend>
      <c:legendPos val="t"/>
      <c:overlay val="0"/>
      <c:txPr>
        <a:bodyPr/>
        <a:lstStyle/>
        <a:p>
          <a:pPr>
            <a:defRPr sz="1100"/>
          </a:pPr>
          <a:endParaRPr lang="lt-LT"/>
        </a:p>
      </c:txPr>
    </c:legend>
    <c:plotVisOnly val="1"/>
    <c:dispBlanksAs val="gap"/>
    <c:showDLblsOverMax val="0"/>
  </c:chart>
  <c:txPr>
    <a:bodyPr/>
    <a:lstStyle/>
    <a:p>
      <a:pPr>
        <a:defRPr sz="1200" b="1">
          <a:latin typeface="Times New Roman" panose="02020603050405020304" pitchFamily="18" charset="0"/>
          <a:cs typeface="Times New Roman" panose="02020603050405020304" pitchFamily="18" charset="0"/>
        </a:defRPr>
      </a:pPr>
      <a:endParaRPr lang="lt-LT"/>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64623576729167"/>
          <c:y val="0.11211211211211211"/>
          <c:w val="0.85897486735021433"/>
          <c:h val="0.78010010010010011"/>
        </c:manualLayout>
      </c:layout>
      <c:barChart>
        <c:barDir val="col"/>
        <c:grouping val="clustered"/>
        <c:varyColors val="0"/>
        <c:ser>
          <c:idx val="0"/>
          <c:order val="0"/>
          <c:spPr>
            <a:pattFill prst="pct70">
              <a:fgClr>
                <a:schemeClr val="tx1"/>
              </a:fgClr>
              <a:bgClr>
                <a:schemeClr val="bg1"/>
              </a:bgClr>
            </a:pattFill>
            <a:ln w="12700">
              <a:solidFill>
                <a:schemeClr val="tx1"/>
              </a:solidFill>
            </a:ln>
          </c:spPr>
          <c:invertIfNegative val="0"/>
          <c:dLbls>
            <c:dLbl>
              <c:idx val="0"/>
              <c:layout>
                <c:manualLayout>
                  <c:x val="2.3980815347722263E-3"/>
                  <c:y val="-8.0317798113073741E-2"/>
                </c:manualLayout>
              </c:layout>
              <c:spPr/>
              <c:txPr>
                <a:bodyPr/>
                <a:lstStyle/>
                <a:p>
                  <a:pPr>
                    <a:defRPr/>
                  </a:pPr>
                  <a:endParaRPr lang="lt-LT"/>
                </a:p>
              </c:txPr>
              <c:dLblPos val="outEnd"/>
              <c:showLegendKey val="0"/>
              <c:showVal val="1"/>
              <c:showCatName val="0"/>
              <c:showSerName val="0"/>
              <c:showPercent val="0"/>
              <c:showBubbleSize val="0"/>
            </c:dLbl>
            <c:dLbl>
              <c:idx val="1"/>
              <c:layout>
                <c:manualLayout>
                  <c:x val="-3.7972771389196654E-4"/>
                  <c:y val="-8.9158765064276876E-2"/>
                </c:manualLayout>
              </c:layout>
              <c:spPr/>
              <c:txPr>
                <a:bodyPr/>
                <a:lstStyle/>
                <a:p>
                  <a:pPr>
                    <a:defRPr/>
                  </a:pPr>
                  <a:endParaRPr lang="lt-LT"/>
                </a:p>
              </c:txPr>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errBars>
            <c:errBarType val="both"/>
            <c:errValType val="cust"/>
            <c:noEndCap val="0"/>
            <c:plus>
              <c:numRef>
                <c:f>'[anketa_mag_2014 - Copy.xls]Lapas1'!$F$77:$F$78</c:f>
                <c:numCache>
                  <c:formatCode>General</c:formatCode>
                  <c:ptCount val="2"/>
                  <c:pt idx="0">
                    <c:v>5.0294963299850739</c:v>
                  </c:pt>
                  <c:pt idx="1">
                    <c:v>5.3040864749109566</c:v>
                  </c:pt>
                </c:numCache>
              </c:numRef>
            </c:plus>
            <c:minus>
              <c:numRef>
                <c:f>'[anketa_mag_2014 - Copy.xls]Lapas1'!$F$77:$F$78</c:f>
                <c:numCache>
                  <c:formatCode>General</c:formatCode>
                  <c:ptCount val="2"/>
                  <c:pt idx="0">
                    <c:v>5.0294963299850739</c:v>
                  </c:pt>
                  <c:pt idx="1">
                    <c:v>5.3040864749109566</c:v>
                  </c:pt>
                </c:numCache>
              </c:numRef>
            </c:minus>
          </c:errBars>
          <c:cat>
            <c:strRef>
              <c:f>'[anketa_mag_2014 - Copy.xls]Lapas1'!$A$77:$A$78</c:f>
              <c:strCache>
                <c:ptCount val="2"/>
                <c:pt idx="0">
                  <c:v>Keitelio indeksas prieš procedūras</c:v>
                </c:pt>
                <c:pt idx="1">
                  <c:v>Keitelio indeksas po procedūrų</c:v>
                </c:pt>
              </c:strCache>
            </c:strRef>
          </c:cat>
          <c:val>
            <c:numRef>
              <c:f>'[anketa_mag_2014 - Copy.xls]Lapas1'!$E$171:$E$172</c:f>
              <c:numCache>
                <c:formatCode>####.00</c:formatCode>
                <c:ptCount val="2"/>
                <c:pt idx="0">
                  <c:v>37.625</c:v>
                </c:pt>
                <c:pt idx="1">
                  <c:v>41.875</c:v>
                </c:pt>
              </c:numCache>
            </c:numRef>
          </c:val>
        </c:ser>
        <c:dLbls>
          <c:showLegendKey val="0"/>
          <c:showVal val="0"/>
          <c:showCatName val="0"/>
          <c:showSerName val="0"/>
          <c:showPercent val="0"/>
          <c:showBubbleSize val="0"/>
        </c:dLbls>
        <c:gapWidth val="150"/>
        <c:axId val="140423168"/>
        <c:axId val="34474240"/>
      </c:barChart>
      <c:catAx>
        <c:axId val="140423168"/>
        <c:scaling>
          <c:orientation val="minMax"/>
        </c:scaling>
        <c:delete val="0"/>
        <c:axPos val="b"/>
        <c:numFmt formatCode="General" sourceLinked="1"/>
        <c:majorTickMark val="out"/>
        <c:minorTickMark val="none"/>
        <c:tickLblPos val="nextTo"/>
        <c:crossAx val="34474240"/>
        <c:crosses val="autoZero"/>
        <c:auto val="1"/>
        <c:lblAlgn val="ctr"/>
        <c:lblOffset val="100"/>
        <c:noMultiLvlLbl val="0"/>
      </c:catAx>
      <c:valAx>
        <c:axId val="34474240"/>
        <c:scaling>
          <c:orientation val="minMax"/>
        </c:scaling>
        <c:delete val="0"/>
        <c:axPos val="l"/>
        <c:majorGridlines/>
        <c:title>
          <c:tx>
            <c:rich>
              <a:bodyPr rot="-5400000" vert="horz"/>
              <a:lstStyle/>
              <a:p>
                <a:pPr>
                  <a:defRPr/>
                </a:pPr>
                <a:r>
                  <a:rPr lang="lt-LT"/>
                  <a:t>balai </a:t>
                </a:r>
              </a:p>
            </c:rich>
          </c:tx>
          <c:layout>
            <c:manualLayout>
              <c:xMode val="edge"/>
              <c:yMode val="edge"/>
              <c:x val="1.4268585131894485E-2"/>
              <c:y val="0.43978781931537841"/>
            </c:manualLayout>
          </c:layout>
          <c:overlay val="0"/>
        </c:title>
        <c:numFmt formatCode="General" sourceLinked="0"/>
        <c:majorTickMark val="out"/>
        <c:minorTickMark val="none"/>
        <c:tickLblPos val="nextTo"/>
        <c:txPr>
          <a:bodyPr/>
          <a:lstStyle/>
          <a:p>
            <a:pPr>
              <a:defRPr sz="1000"/>
            </a:pPr>
            <a:endParaRPr lang="lt-LT"/>
          </a:p>
        </c:txPr>
        <c:crossAx val="140423168"/>
        <c:crosses val="autoZero"/>
        <c:crossBetween val="between"/>
      </c:valAx>
    </c:plotArea>
    <c:plotVisOnly val="1"/>
    <c:dispBlanksAs val="gap"/>
    <c:showDLblsOverMax val="0"/>
  </c:chart>
  <c:txPr>
    <a:bodyPr/>
    <a:lstStyle/>
    <a:p>
      <a:pPr>
        <a:defRPr sz="1200" b="1">
          <a:latin typeface="Times New Roman" panose="02020603050405020304" pitchFamily="18" charset="0"/>
          <a:cs typeface="Times New Roman" panose="02020603050405020304" pitchFamily="18" charset="0"/>
        </a:defRPr>
      </a:pPr>
      <a:endParaRPr lang="lt-LT"/>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0.36332</cdr:x>
      <cdr:y>0.54582</cdr:y>
    </cdr:from>
    <cdr:to>
      <cdr:x>0.44426</cdr:x>
      <cdr:y>0.66594</cdr:y>
    </cdr:to>
    <cdr:sp macro="" textlink="">
      <cdr:nvSpPr>
        <cdr:cNvPr id="2" name="Stačiakampis 1"/>
        <cdr:cNvSpPr/>
      </cdr:nvSpPr>
      <cdr:spPr>
        <a:xfrm xmlns:a="http://schemas.openxmlformats.org/drawingml/2006/main">
          <a:off x="1917186" y="1746844"/>
          <a:ext cx="427108" cy="38443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lt-LT" sz="1800" b="1">
              <a:solidFill>
                <a:sysClr val="windowText" lastClr="000000"/>
              </a:solidFill>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0.79018</cdr:x>
      <cdr:y>0.59482</cdr:y>
    </cdr:from>
    <cdr:to>
      <cdr:x>0.87112</cdr:x>
      <cdr:y>0.71494</cdr:y>
    </cdr:to>
    <cdr:sp macro="" textlink="">
      <cdr:nvSpPr>
        <cdr:cNvPr id="3" name="Stačiakampis 2"/>
        <cdr:cNvSpPr/>
      </cdr:nvSpPr>
      <cdr:spPr>
        <a:xfrm xmlns:a="http://schemas.openxmlformats.org/drawingml/2006/main">
          <a:off x="4169662" y="1903671"/>
          <a:ext cx="427108" cy="38443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lt-LT" sz="1800" b="1">
              <a:solidFill>
                <a:sysClr val="windowText" lastClr="000000"/>
              </a:solidFill>
              <a:latin typeface="Times New Roman" panose="02020603050405020304" pitchFamily="18" charset="0"/>
              <a:cs typeface="Times New Roman" panose="02020603050405020304" pitchFamily="18" charset="0"/>
            </a:rPr>
            <a:t>*</a:t>
          </a:r>
        </a:p>
      </cdr:txBody>
    </cdr:sp>
  </cdr:relSizeAnchor>
</c:userShapes>
</file>

<file path=word/drawings/drawing10.xml><?xml version="1.0" encoding="utf-8"?>
<c:userShapes xmlns:c="http://schemas.openxmlformats.org/drawingml/2006/chart">
  <cdr:relSizeAnchor xmlns:cdr="http://schemas.openxmlformats.org/drawingml/2006/chartDrawing">
    <cdr:from>
      <cdr:x>0.79198</cdr:x>
      <cdr:y>0.57994</cdr:y>
    </cdr:from>
    <cdr:to>
      <cdr:x>0.87293</cdr:x>
      <cdr:y>0.70006</cdr:y>
    </cdr:to>
    <cdr:sp macro="" textlink="">
      <cdr:nvSpPr>
        <cdr:cNvPr id="3" name="Stačiakampis 2"/>
        <cdr:cNvSpPr/>
      </cdr:nvSpPr>
      <cdr:spPr>
        <a:xfrm xmlns:a="http://schemas.openxmlformats.org/drawingml/2006/main">
          <a:off x="4179186" y="1856037"/>
          <a:ext cx="427109" cy="38443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lt-LT" sz="1800" b="1">
              <a:solidFill>
                <a:sysClr val="windowText" lastClr="000000"/>
              </a:solidFill>
              <a:latin typeface="Times New Roman" panose="02020603050405020304" pitchFamily="18" charset="0"/>
              <a:cs typeface="Times New Roman" panose="02020603050405020304" pitchFamily="18" charset="0"/>
            </a:rPr>
            <a:t>*</a:t>
          </a:r>
        </a:p>
      </cdr:txBody>
    </cdr:sp>
  </cdr:relSizeAnchor>
</c:userShapes>
</file>

<file path=word/drawings/drawing11.xml><?xml version="1.0" encoding="utf-8"?>
<c:userShapes xmlns:c="http://schemas.openxmlformats.org/drawingml/2006/chart">
  <cdr:relSizeAnchor xmlns:cdr="http://schemas.openxmlformats.org/drawingml/2006/chartDrawing">
    <cdr:from>
      <cdr:x>0.38508</cdr:x>
      <cdr:y>0.14258</cdr:y>
    </cdr:from>
    <cdr:to>
      <cdr:x>0.46603</cdr:x>
      <cdr:y>0.26163</cdr:y>
    </cdr:to>
    <cdr:sp macro="" textlink="">
      <cdr:nvSpPr>
        <cdr:cNvPr id="2" name="Stačiakampis 1"/>
        <cdr:cNvSpPr/>
      </cdr:nvSpPr>
      <cdr:spPr>
        <a:xfrm xmlns:a="http://schemas.openxmlformats.org/drawingml/2006/main">
          <a:off x="2032000" y="460375"/>
          <a:ext cx="427161" cy="38443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lt-LT" sz="1800" b="1">
              <a:solidFill>
                <a:sysClr val="windowText" lastClr="000000"/>
              </a:solidFill>
              <a:latin typeface="Times New Roman" panose="02020603050405020304" pitchFamily="18" charset="0"/>
              <a:cs typeface="Times New Roman" panose="02020603050405020304" pitchFamily="18" charset="0"/>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0.72902</cdr:x>
      <cdr:y>0.10311</cdr:y>
    </cdr:from>
    <cdr:to>
      <cdr:x>0.80995</cdr:x>
      <cdr:y>0.1982</cdr:y>
    </cdr:to>
    <cdr:sp macro="" textlink="">
      <cdr:nvSpPr>
        <cdr:cNvPr id="3" name="Stačiakampis 2"/>
        <cdr:cNvSpPr/>
      </cdr:nvSpPr>
      <cdr:spPr>
        <a:xfrm xmlns:a="http://schemas.openxmlformats.org/drawingml/2006/main">
          <a:off x="3860825" y="327041"/>
          <a:ext cx="428597" cy="30160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lt-LT" sz="1800" b="1">
              <a:solidFill>
                <a:sysClr val="windowText" lastClr="000000"/>
              </a:solidFill>
              <a:latin typeface="Times New Roman" panose="02020603050405020304" pitchFamily="18" charset="0"/>
              <a:cs typeface="Times New Roman" panose="02020603050405020304" pitchFamily="18" charset="0"/>
            </a:rPr>
            <a:t>*</a:t>
          </a:r>
        </a:p>
      </cdr:txBody>
    </cdr:sp>
  </cdr:relSizeAnchor>
</c:userShapes>
</file>

<file path=word/drawings/drawing3.xml><?xml version="1.0" encoding="utf-8"?>
<c:userShapes xmlns:c="http://schemas.openxmlformats.org/drawingml/2006/chart">
  <cdr:relSizeAnchor xmlns:cdr="http://schemas.openxmlformats.org/drawingml/2006/chartDrawing">
    <cdr:from>
      <cdr:x>0.22276</cdr:x>
      <cdr:y>0.09925</cdr:y>
    </cdr:from>
    <cdr:to>
      <cdr:x>0.30369</cdr:x>
      <cdr:y>0.21937</cdr:y>
    </cdr:to>
    <cdr:sp macro="" textlink="">
      <cdr:nvSpPr>
        <cdr:cNvPr id="2" name="Stačiakampis 1"/>
        <cdr:cNvSpPr/>
      </cdr:nvSpPr>
      <cdr:spPr>
        <a:xfrm xmlns:a="http://schemas.openxmlformats.org/drawingml/2006/main">
          <a:off x="1196673" y="327101"/>
          <a:ext cx="434764" cy="39587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lt-LT" sz="1800" b="1">
              <a:solidFill>
                <a:sysClr val="windowText" lastClr="000000"/>
              </a:solidFill>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0.4327</cdr:x>
      <cdr:y>0.05528</cdr:y>
    </cdr:from>
    <cdr:to>
      <cdr:x>0.51363</cdr:x>
      <cdr:y>0.1754</cdr:y>
    </cdr:to>
    <cdr:sp macro="" textlink="">
      <cdr:nvSpPr>
        <cdr:cNvPr id="3" name="Stačiakampis 2"/>
        <cdr:cNvSpPr/>
      </cdr:nvSpPr>
      <cdr:spPr>
        <a:xfrm xmlns:a="http://schemas.openxmlformats.org/drawingml/2006/main">
          <a:off x="2324512" y="182178"/>
          <a:ext cx="434764" cy="39587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lt-LT" sz="1800" b="1">
              <a:solidFill>
                <a:sysClr val="windowText" lastClr="000000"/>
              </a:solidFill>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0.64776</cdr:x>
      <cdr:y>0.30732</cdr:y>
    </cdr:from>
    <cdr:to>
      <cdr:x>0.72869</cdr:x>
      <cdr:y>0.42744</cdr:y>
    </cdr:to>
    <cdr:sp macro="" textlink="">
      <cdr:nvSpPr>
        <cdr:cNvPr id="4" name="Stačiakampis 3"/>
        <cdr:cNvSpPr/>
      </cdr:nvSpPr>
      <cdr:spPr>
        <a:xfrm xmlns:a="http://schemas.openxmlformats.org/drawingml/2006/main">
          <a:off x="3479820" y="1012827"/>
          <a:ext cx="434764" cy="39587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lt-LT" sz="1800" b="1">
              <a:solidFill>
                <a:sysClr val="windowText" lastClr="000000"/>
              </a:solidFill>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0.87293</cdr:x>
      <cdr:y>0.4605</cdr:y>
    </cdr:from>
    <cdr:to>
      <cdr:x>0.95386</cdr:x>
      <cdr:y>0.58062</cdr:y>
    </cdr:to>
    <cdr:sp macro="" textlink="">
      <cdr:nvSpPr>
        <cdr:cNvPr id="5" name="Stačiakampis 4"/>
        <cdr:cNvSpPr/>
      </cdr:nvSpPr>
      <cdr:spPr>
        <a:xfrm xmlns:a="http://schemas.openxmlformats.org/drawingml/2006/main">
          <a:off x="4689479" y="1517644"/>
          <a:ext cx="434764" cy="39587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lt-LT" sz="1800" b="1">
              <a:solidFill>
                <a:sysClr val="windowText" lastClr="000000"/>
              </a:solidFill>
              <a:latin typeface="Times New Roman" panose="02020603050405020304" pitchFamily="18" charset="0"/>
              <a:cs typeface="Times New Roman" panose="02020603050405020304" pitchFamily="18" charset="0"/>
            </a:rPr>
            <a:t>*</a:t>
          </a:r>
        </a:p>
      </cdr:txBody>
    </cdr:sp>
  </cdr:relSizeAnchor>
</c:userShapes>
</file>

<file path=word/drawings/drawing4.xml><?xml version="1.0" encoding="utf-8"?>
<c:userShapes xmlns:c="http://schemas.openxmlformats.org/drawingml/2006/chart">
  <cdr:relSizeAnchor xmlns:cdr="http://schemas.openxmlformats.org/drawingml/2006/chartDrawing">
    <cdr:from>
      <cdr:x>0.73621</cdr:x>
      <cdr:y>0.00701</cdr:y>
    </cdr:from>
    <cdr:to>
      <cdr:x>0.81714</cdr:x>
      <cdr:y>0.1021</cdr:y>
    </cdr:to>
    <cdr:sp macro="" textlink="">
      <cdr:nvSpPr>
        <cdr:cNvPr id="3" name="Stačiakampis 2"/>
        <cdr:cNvSpPr/>
      </cdr:nvSpPr>
      <cdr:spPr>
        <a:xfrm xmlns:a="http://schemas.openxmlformats.org/drawingml/2006/main">
          <a:off x="3898902" y="22241"/>
          <a:ext cx="428597" cy="30160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lt-LT" sz="1800" b="1">
              <a:solidFill>
                <a:sysClr val="windowText" lastClr="000000"/>
              </a:solidFill>
              <a:latin typeface="Times New Roman" panose="02020603050405020304" pitchFamily="18" charset="0"/>
              <a:cs typeface="Times New Roman" panose="02020603050405020304" pitchFamily="18" charset="0"/>
            </a:rPr>
            <a:t>*</a:t>
          </a:r>
        </a:p>
      </cdr:txBody>
    </cdr:sp>
  </cdr:relSizeAnchor>
</c:userShapes>
</file>

<file path=word/drawings/drawing5.xml><?xml version="1.0" encoding="utf-8"?>
<c:userShapes xmlns:c="http://schemas.openxmlformats.org/drawingml/2006/chart">
  <cdr:relSizeAnchor xmlns:cdr="http://schemas.openxmlformats.org/drawingml/2006/chartDrawing">
    <cdr:from>
      <cdr:x>0.35971</cdr:x>
      <cdr:y>0.13213</cdr:y>
    </cdr:from>
    <cdr:to>
      <cdr:x>0.44065</cdr:x>
      <cdr:y>0.25225</cdr:y>
    </cdr:to>
    <cdr:sp macro="" textlink="">
      <cdr:nvSpPr>
        <cdr:cNvPr id="2" name="Stačiakampis 1"/>
        <cdr:cNvSpPr/>
      </cdr:nvSpPr>
      <cdr:spPr>
        <a:xfrm xmlns:a="http://schemas.openxmlformats.org/drawingml/2006/main">
          <a:off x="1905000" y="419100"/>
          <a:ext cx="428625" cy="381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lt-LT" sz="1800" b="1">
              <a:solidFill>
                <a:sysClr val="windowText" lastClr="000000"/>
              </a:solidFill>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0.78657</cdr:x>
      <cdr:y>0.17518</cdr:y>
    </cdr:from>
    <cdr:to>
      <cdr:x>0.86751</cdr:x>
      <cdr:y>0.2953</cdr:y>
    </cdr:to>
    <cdr:sp macro="" textlink="">
      <cdr:nvSpPr>
        <cdr:cNvPr id="3" name="Stačiakampis 2"/>
        <cdr:cNvSpPr/>
      </cdr:nvSpPr>
      <cdr:spPr>
        <a:xfrm xmlns:a="http://schemas.openxmlformats.org/drawingml/2006/main">
          <a:off x="4165600" y="555625"/>
          <a:ext cx="428625" cy="381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lt-LT" sz="1800" b="1">
              <a:solidFill>
                <a:sysClr val="windowText" lastClr="000000"/>
              </a:solidFill>
              <a:latin typeface="Times New Roman" panose="02020603050405020304" pitchFamily="18" charset="0"/>
              <a:cs typeface="Times New Roman" panose="02020603050405020304" pitchFamily="18" charset="0"/>
            </a:rPr>
            <a:t>*</a:t>
          </a:r>
        </a:p>
      </cdr:txBody>
    </cdr:sp>
  </cdr:relSizeAnchor>
</c:userShapes>
</file>

<file path=word/drawings/drawing6.xml><?xml version="1.0" encoding="utf-8"?>
<c:userShapes xmlns:c="http://schemas.openxmlformats.org/drawingml/2006/chart">
  <cdr:relSizeAnchor xmlns:cdr="http://schemas.openxmlformats.org/drawingml/2006/chartDrawing">
    <cdr:from>
      <cdr:x>0.73082</cdr:x>
      <cdr:y>0.02503</cdr:y>
    </cdr:from>
    <cdr:to>
      <cdr:x>0.81175</cdr:x>
      <cdr:y>0.12012</cdr:y>
    </cdr:to>
    <cdr:sp macro="" textlink="">
      <cdr:nvSpPr>
        <cdr:cNvPr id="3" name="Stačiakampis 2"/>
        <cdr:cNvSpPr/>
      </cdr:nvSpPr>
      <cdr:spPr>
        <a:xfrm xmlns:a="http://schemas.openxmlformats.org/drawingml/2006/main">
          <a:off x="3870346" y="79375"/>
          <a:ext cx="428597" cy="3016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lt-LT" sz="1800" b="1">
              <a:solidFill>
                <a:sysClr val="windowText" lastClr="000000"/>
              </a:solidFill>
              <a:latin typeface="Times New Roman" panose="02020603050405020304" pitchFamily="18" charset="0"/>
              <a:cs typeface="Times New Roman" panose="02020603050405020304" pitchFamily="18" charset="0"/>
            </a:rPr>
            <a:t>*</a:t>
          </a:r>
        </a:p>
      </cdr:txBody>
    </cdr:sp>
  </cdr:relSizeAnchor>
</c:userShapes>
</file>

<file path=word/drawings/drawing7.xml><?xml version="1.0" encoding="utf-8"?>
<c:userShapes xmlns:c="http://schemas.openxmlformats.org/drawingml/2006/chart">
  <cdr:relSizeAnchor xmlns:cdr="http://schemas.openxmlformats.org/drawingml/2006/chartDrawing">
    <cdr:from>
      <cdr:x>0.22453</cdr:x>
      <cdr:y>0.05879</cdr:y>
    </cdr:from>
    <cdr:to>
      <cdr:x>0.30546</cdr:x>
      <cdr:y>0.17891</cdr:y>
    </cdr:to>
    <cdr:sp macro="" textlink="">
      <cdr:nvSpPr>
        <cdr:cNvPr id="2" name="Stačiakampis 1"/>
        <cdr:cNvSpPr/>
      </cdr:nvSpPr>
      <cdr:spPr>
        <a:xfrm xmlns:a="http://schemas.openxmlformats.org/drawingml/2006/main">
          <a:off x="1206205" y="193757"/>
          <a:ext cx="434763" cy="39587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lt-LT" sz="1800" b="1">
              <a:solidFill>
                <a:sysClr val="windowText" lastClr="000000"/>
              </a:solidFill>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0.43802</cdr:x>
      <cdr:y>0.08418</cdr:y>
    </cdr:from>
    <cdr:to>
      <cdr:x>0.51895</cdr:x>
      <cdr:y>0.2043</cdr:y>
    </cdr:to>
    <cdr:sp macro="" textlink="">
      <cdr:nvSpPr>
        <cdr:cNvPr id="3" name="Stačiakampis 2"/>
        <cdr:cNvSpPr/>
      </cdr:nvSpPr>
      <cdr:spPr>
        <a:xfrm xmlns:a="http://schemas.openxmlformats.org/drawingml/2006/main">
          <a:off x="2353107" y="277436"/>
          <a:ext cx="434764" cy="39587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lt-LT" sz="1800" b="1">
              <a:solidFill>
                <a:sysClr val="windowText" lastClr="000000"/>
              </a:solidFill>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0.65485</cdr:x>
      <cdr:y>0.26686</cdr:y>
    </cdr:from>
    <cdr:to>
      <cdr:x>0.73578</cdr:x>
      <cdr:y>0.38698</cdr:y>
    </cdr:to>
    <cdr:sp macro="" textlink="">
      <cdr:nvSpPr>
        <cdr:cNvPr id="4" name="Stačiakampis 3"/>
        <cdr:cNvSpPr/>
      </cdr:nvSpPr>
      <cdr:spPr>
        <a:xfrm xmlns:a="http://schemas.openxmlformats.org/drawingml/2006/main">
          <a:off x="3517900" y="879475"/>
          <a:ext cx="434764" cy="39587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lt-LT" sz="1800" b="1">
              <a:solidFill>
                <a:sysClr val="windowText" lastClr="000000"/>
              </a:solidFill>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0.86584</cdr:x>
      <cdr:y>0.47495</cdr:y>
    </cdr:from>
    <cdr:to>
      <cdr:x>0.94677</cdr:x>
      <cdr:y>0.59507</cdr:y>
    </cdr:to>
    <cdr:sp macro="" textlink="">
      <cdr:nvSpPr>
        <cdr:cNvPr id="5" name="Stačiakampis 4"/>
        <cdr:cNvSpPr/>
      </cdr:nvSpPr>
      <cdr:spPr>
        <a:xfrm xmlns:a="http://schemas.openxmlformats.org/drawingml/2006/main">
          <a:off x="4651375" y="1565275"/>
          <a:ext cx="434764" cy="39587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lt-LT" sz="1800" b="1">
              <a:solidFill>
                <a:sysClr val="windowText" lastClr="000000"/>
              </a:solidFill>
              <a:latin typeface="Times New Roman" panose="02020603050405020304" pitchFamily="18" charset="0"/>
              <a:cs typeface="Times New Roman" panose="02020603050405020304" pitchFamily="18" charset="0"/>
            </a:rPr>
            <a:t>*</a:t>
          </a:r>
        </a:p>
      </cdr:txBody>
    </cdr:sp>
  </cdr:relSizeAnchor>
</c:userShapes>
</file>

<file path=word/drawings/drawing8.xml><?xml version="1.0" encoding="utf-8"?>
<c:userShapes xmlns:c="http://schemas.openxmlformats.org/drawingml/2006/chart">
  <cdr:relSizeAnchor xmlns:cdr="http://schemas.openxmlformats.org/drawingml/2006/chartDrawing">
    <cdr:from>
      <cdr:x>0.72542</cdr:x>
      <cdr:y>0.02503</cdr:y>
    </cdr:from>
    <cdr:to>
      <cdr:x>0.80635</cdr:x>
      <cdr:y>0.12012</cdr:y>
    </cdr:to>
    <cdr:sp macro="" textlink="">
      <cdr:nvSpPr>
        <cdr:cNvPr id="3" name="Stačiakampis 2"/>
        <cdr:cNvSpPr/>
      </cdr:nvSpPr>
      <cdr:spPr>
        <a:xfrm xmlns:a="http://schemas.openxmlformats.org/drawingml/2006/main">
          <a:off x="3841775" y="79391"/>
          <a:ext cx="428597" cy="30160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lt-LT" sz="1800" b="1">
              <a:solidFill>
                <a:sysClr val="windowText" lastClr="000000"/>
              </a:solidFill>
              <a:latin typeface="Times New Roman" panose="02020603050405020304" pitchFamily="18" charset="0"/>
              <a:cs typeface="Times New Roman" panose="02020603050405020304" pitchFamily="18" charset="0"/>
            </a:rPr>
            <a:t>*</a:t>
          </a:r>
        </a:p>
      </cdr:txBody>
    </cdr:sp>
  </cdr:relSizeAnchor>
</c:userShapes>
</file>

<file path=word/drawings/drawing9.xml><?xml version="1.0" encoding="utf-8"?>
<c:userShapes xmlns:c="http://schemas.openxmlformats.org/drawingml/2006/chart">
  <cdr:relSizeAnchor xmlns:cdr="http://schemas.openxmlformats.org/drawingml/2006/chartDrawing">
    <cdr:from>
      <cdr:x>0.79198</cdr:x>
      <cdr:y>0.55738</cdr:y>
    </cdr:from>
    <cdr:to>
      <cdr:x>0.87293</cdr:x>
      <cdr:y>0.6775</cdr:y>
    </cdr:to>
    <cdr:sp macro="" textlink="">
      <cdr:nvSpPr>
        <cdr:cNvPr id="3" name="Stačiakampis 2"/>
        <cdr:cNvSpPr/>
      </cdr:nvSpPr>
      <cdr:spPr>
        <a:xfrm xmlns:a="http://schemas.openxmlformats.org/drawingml/2006/main">
          <a:off x="3756718" y="1412215"/>
          <a:ext cx="383982" cy="30434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lt-LT" sz="1800" b="1">
              <a:solidFill>
                <a:sysClr val="windowText" lastClr="000000"/>
              </a:solidFill>
              <a:latin typeface="Times New Roman" panose="02020603050405020304" pitchFamily="18" charset="0"/>
              <a:cs typeface="Times New Roman" panose="02020603050405020304" pitchFamily="18" charset="0"/>
            </a:rPr>
            <a:t>*</a:t>
          </a:r>
        </a:p>
      </cdr:txBody>
    </cdr:sp>
  </cdr:relSizeAnchor>
</c:userShape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61E83-FABC-458A-954E-D69815CB7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59200</Words>
  <Characters>33744</Characters>
  <Application>Microsoft Office Word</Application>
  <DocSecurity>0</DocSecurity>
  <Lines>281</Lines>
  <Paragraphs>185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92759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Audrius</cp:lastModifiedBy>
  <cp:revision>14</cp:revision>
  <cp:lastPrinted>2014-05-22T21:03:00Z</cp:lastPrinted>
  <dcterms:created xsi:type="dcterms:W3CDTF">2014-05-22T19:16:00Z</dcterms:created>
  <dcterms:modified xsi:type="dcterms:W3CDTF">2014-05-22T21:03:00Z</dcterms:modified>
</cp:coreProperties>
</file>